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5298F" w14:textId="4FC6D40D" w:rsidR="006C7459" w:rsidRPr="0009028A" w:rsidRDefault="003E2F57" w:rsidP="00637388">
      <w:pPr>
        <w:spacing w:after="0"/>
        <w:rPr>
          <w:rFonts w:ascii="Arial" w:hAnsi="Arial" w:cs="Arial"/>
          <w:noProof/>
        </w:rPr>
      </w:pPr>
      <w:bookmarkStart w:id="1" w:name="_GoBack"/>
      <w:bookmarkEnd w:id="1"/>
      <w:r w:rsidRPr="0009028A">
        <w:rPr>
          <w:rFonts w:ascii="Arial" w:hAnsi="Arial" w:cs="Arial"/>
          <w:noProof/>
          <w:lang w:eastAsia="es-CO"/>
        </w:rPr>
        <w:drawing>
          <wp:inline distT="0" distB="0" distL="0" distR="0" wp14:anchorId="042D54DD" wp14:editId="50B05854">
            <wp:extent cx="6553439" cy="5004000"/>
            <wp:effectExtent l="0" t="0" r="0" b="6350"/>
            <wp:docPr id="1" name="Imagen 1" descr="cid:image004.jpg@01D4FF80.A0F6E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4.jpg@01D4FF80.A0F6E9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53439" cy="5004000"/>
                    </a:xfrm>
                    <a:prstGeom prst="rect">
                      <a:avLst/>
                    </a:prstGeom>
                    <a:noFill/>
                    <a:ln>
                      <a:noFill/>
                    </a:ln>
                  </pic:spPr>
                </pic:pic>
              </a:graphicData>
            </a:graphic>
          </wp:inline>
        </w:drawing>
      </w:r>
    </w:p>
    <w:p w14:paraId="54482B70" w14:textId="77777777" w:rsidR="00C8462E" w:rsidRPr="0009028A" w:rsidRDefault="00CA5E2B" w:rsidP="00D4664C">
      <w:pPr>
        <w:ind w:left="-709" w:right="-994"/>
        <w:rPr>
          <w:rFonts w:ascii="Arial" w:hAnsi="Arial" w:cs="Arial"/>
          <w:noProof/>
        </w:rPr>
      </w:pPr>
      <w:r w:rsidRPr="0009028A">
        <w:rPr>
          <w:rFonts w:ascii="Arial" w:hAnsi="Arial" w:cs="Arial"/>
          <w:b/>
          <w:noProof/>
          <w:sz w:val="16"/>
          <w:szCs w:val="16"/>
          <w:lang w:eastAsia="es-CO"/>
        </w:rPr>
        <mc:AlternateContent>
          <mc:Choice Requires="wps">
            <w:drawing>
              <wp:anchor distT="0" distB="0" distL="114300" distR="114300" simplePos="0" relativeHeight="251660288" behindDoc="0" locked="0" layoutInCell="1" allowOverlap="1" wp14:anchorId="687781FD" wp14:editId="4BC2AFA9">
                <wp:simplePos x="0" y="0"/>
                <wp:positionH relativeFrom="page">
                  <wp:posOffset>-9525</wp:posOffset>
                </wp:positionH>
                <wp:positionV relativeFrom="paragraph">
                  <wp:posOffset>6230620</wp:posOffset>
                </wp:positionV>
                <wp:extent cx="7772400" cy="186690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7772400" cy="1866900"/>
                        </a:xfrm>
                        <a:prstGeom prst="rect">
                          <a:avLst/>
                        </a:prstGeom>
                        <a:solidFill>
                          <a:srgbClr val="002060"/>
                        </a:solidFill>
                      </wps:spPr>
                      <wps:style>
                        <a:lnRef idx="2">
                          <a:schemeClr val="accent5">
                            <a:shade val="50000"/>
                          </a:schemeClr>
                        </a:lnRef>
                        <a:fillRef idx="1">
                          <a:schemeClr val="accent5"/>
                        </a:fillRef>
                        <a:effectRef idx="0">
                          <a:schemeClr val="accent5"/>
                        </a:effectRef>
                        <a:fontRef idx="minor">
                          <a:schemeClr val="lt1"/>
                        </a:fontRef>
                      </wps:style>
                      <wps:txbx>
                        <w:txbxContent>
                          <w:p w14:paraId="266DBB22" w14:textId="77777777" w:rsidR="00F26CE9" w:rsidRPr="003B66D6" w:rsidRDefault="00F26CE9" w:rsidP="004E5C8C">
                            <w:pPr>
                              <w:ind w:left="709"/>
                              <w:jc w:val="both"/>
                              <w:rPr>
                                <w:rFonts w:ascii="FranklinGothic-Demi" w:hAnsi="FranklinGothic-Demi" w:cs="FranklinGothic-Demi"/>
                                <w:b/>
                                <w:color w:val="FFFFFF" w:themeColor="background1"/>
                                <w:sz w:val="51"/>
                                <w:szCs w:val="21"/>
                              </w:rPr>
                            </w:pPr>
                            <w:r w:rsidRPr="003B66D6">
                              <w:rPr>
                                <w:rFonts w:ascii="FranklinGothic-Demi" w:hAnsi="FranklinGothic-Demi" w:cs="FranklinGothic-Demi"/>
                                <w:b/>
                                <w:color w:val="FFFFFF" w:themeColor="background1"/>
                                <w:sz w:val="51"/>
                                <w:szCs w:val="21"/>
                              </w:rPr>
                              <w:t xml:space="preserve">Grupo Argos S.A. </w:t>
                            </w:r>
                          </w:p>
                          <w:p w14:paraId="5AB0C3BE" w14:textId="77777777" w:rsidR="00F26CE9" w:rsidRPr="001C7DA8" w:rsidRDefault="00F26CE9" w:rsidP="004E5C8C">
                            <w:pPr>
                              <w:ind w:left="709"/>
                              <w:rPr>
                                <w:rFonts w:ascii="FranklinGothic-Demi" w:hAnsi="FranklinGothic-Demi" w:cs="FranklinGothic-Demi"/>
                                <w:b/>
                                <w:color w:val="FFFFFF" w:themeColor="background1"/>
                                <w:sz w:val="32"/>
                                <w:szCs w:val="32"/>
                              </w:rPr>
                            </w:pPr>
                            <w:r w:rsidRPr="001C7DA8">
                              <w:rPr>
                                <w:rFonts w:ascii="FranklinGothic-Demi" w:hAnsi="FranklinGothic-Demi" w:cs="FranklinGothic-Demi"/>
                                <w:b/>
                                <w:color w:val="FFFFFF" w:themeColor="background1"/>
                                <w:sz w:val="32"/>
                                <w:szCs w:val="32"/>
                              </w:rPr>
                              <w:t xml:space="preserve">Estados financieros separados condensados para el período intermedio de </w:t>
                            </w:r>
                            <w:r>
                              <w:rPr>
                                <w:rFonts w:ascii="FranklinGothic-Demi" w:hAnsi="FranklinGothic-Demi" w:cs="FranklinGothic-Demi"/>
                                <w:b/>
                                <w:color w:val="FFFFFF" w:themeColor="background1"/>
                                <w:sz w:val="32"/>
                                <w:szCs w:val="32"/>
                              </w:rPr>
                              <w:t xml:space="preserve">nueve meses terminado el </w:t>
                            </w:r>
                            <w:r w:rsidRPr="001C7DA8">
                              <w:rPr>
                                <w:rFonts w:ascii="FranklinGothic-Demi" w:hAnsi="FranklinGothic-Demi" w:cs="FranklinGothic-Demi"/>
                                <w:b/>
                                <w:color w:val="FFFFFF" w:themeColor="background1"/>
                                <w:sz w:val="32"/>
                                <w:szCs w:val="32"/>
                              </w:rPr>
                              <w:t>3</w:t>
                            </w:r>
                            <w:r>
                              <w:rPr>
                                <w:rFonts w:ascii="FranklinGothic-Demi" w:hAnsi="FranklinGothic-Demi" w:cs="FranklinGothic-Demi"/>
                                <w:b/>
                                <w:color w:val="FFFFFF" w:themeColor="background1"/>
                                <w:sz w:val="32"/>
                                <w:szCs w:val="32"/>
                              </w:rPr>
                              <w:t xml:space="preserve">0 de septiembre </w:t>
                            </w:r>
                            <w:r w:rsidRPr="001C7DA8">
                              <w:rPr>
                                <w:rFonts w:ascii="FranklinGothic-Demi" w:hAnsi="FranklinGothic-Demi" w:cs="FranklinGothic-Demi"/>
                                <w:b/>
                                <w:color w:val="FFFFFF" w:themeColor="background1"/>
                                <w:sz w:val="32"/>
                                <w:szCs w:val="32"/>
                              </w:rPr>
                              <w:t>de 201</w:t>
                            </w:r>
                            <w:r>
                              <w:rPr>
                                <w:rFonts w:ascii="FranklinGothic-Demi" w:hAnsi="FranklinGothic-Demi" w:cs="FranklinGothic-Demi"/>
                                <w:b/>
                                <w:color w:val="FFFFFF" w:themeColor="background1"/>
                                <w:sz w:val="32"/>
                                <w:szCs w:val="32"/>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781FD" id="Rectángulo 8" o:spid="_x0000_s1026" style="position:absolute;left:0;text-align:left;margin-left:-.75pt;margin-top:490.6pt;width:612pt;height:14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" fillcolor="#002060" strokecolor="#1f3763 [1608]" strokeweight="1pt">
                <v:textbox>
                  <w:txbxContent>
                    <w:p w14:paraId="266DBB22" w14:textId="77777777" w:rsidR="00F26CE9" w:rsidRPr="003B66D6" w:rsidRDefault="00F26CE9" w:rsidP="004E5C8C">
                      <w:pPr>
                        <w:ind w:left="709"/>
                        <w:jc w:val="both"/>
                        <w:rPr>
                          <w:rFonts w:ascii="FranklinGothic-Demi" w:hAnsi="FranklinGothic-Demi" w:cs="FranklinGothic-Demi"/>
                          <w:b/>
                          <w:color w:val="FFFFFF" w:themeColor="background1"/>
                          <w:sz w:val="51"/>
                          <w:szCs w:val="21"/>
                        </w:rPr>
                      </w:pPr>
                      <w:r w:rsidRPr="003B66D6">
                        <w:rPr>
                          <w:rFonts w:ascii="FranklinGothic-Demi" w:hAnsi="FranklinGothic-Demi" w:cs="FranklinGothic-Demi"/>
                          <w:b/>
                          <w:color w:val="FFFFFF" w:themeColor="background1"/>
                          <w:sz w:val="51"/>
                          <w:szCs w:val="21"/>
                        </w:rPr>
                        <w:t xml:space="preserve">Grupo Argos S.A. </w:t>
                      </w:r>
                    </w:p>
                    <w:p w14:paraId="5AB0C3BE" w14:textId="77777777" w:rsidR="00F26CE9" w:rsidRPr="001C7DA8" w:rsidRDefault="00F26CE9" w:rsidP="004E5C8C">
                      <w:pPr>
                        <w:ind w:left="709"/>
                        <w:rPr>
                          <w:rFonts w:ascii="FranklinGothic-Demi" w:hAnsi="FranklinGothic-Demi" w:cs="FranklinGothic-Demi"/>
                          <w:b/>
                          <w:color w:val="FFFFFF" w:themeColor="background1"/>
                          <w:sz w:val="32"/>
                          <w:szCs w:val="32"/>
                        </w:rPr>
                      </w:pPr>
                      <w:r w:rsidRPr="001C7DA8">
                        <w:rPr>
                          <w:rFonts w:ascii="FranklinGothic-Demi" w:hAnsi="FranklinGothic-Demi" w:cs="FranklinGothic-Demi"/>
                          <w:b/>
                          <w:color w:val="FFFFFF" w:themeColor="background1"/>
                          <w:sz w:val="32"/>
                          <w:szCs w:val="32"/>
                        </w:rPr>
                        <w:t xml:space="preserve">Estados financieros separados condensados para el período intermedio de </w:t>
                      </w:r>
                      <w:r>
                        <w:rPr>
                          <w:rFonts w:ascii="FranklinGothic-Demi" w:hAnsi="FranklinGothic-Demi" w:cs="FranklinGothic-Demi"/>
                          <w:b/>
                          <w:color w:val="FFFFFF" w:themeColor="background1"/>
                          <w:sz w:val="32"/>
                          <w:szCs w:val="32"/>
                        </w:rPr>
                        <w:t xml:space="preserve">nueve meses terminado el </w:t>
                      </w:r>
                      <w:r w:rsidRPr="001C7DA8">
                        <w:rPr>
                          <w:rFonts w:ascii="FranklinGothic-Demi" w:hAnsi="FranklinGothic-Demi" w:cs="FranklinGothic-Demi"/>
                          <w:b/>
                          <w:color w:val="FFFFFF" w:themeColor="background1"/>
                          <w:sz w:val="32"/>
                          <w:szCs w:val="32"/>
                        </w:rPr>
                        <w:t>3</w:t>
                      </w:r>
                      <w:r>
                        <w:rPr>
                          <w:rFonts w:ascii="FranklinGothic-Demi" w:hAnsi="FranklinGothic-Demi" w:cs="FranklinGothic-Demi"/>
                          <w:b/>
                          <w:color w:val="FFFFFF" w:themeColor="background1"/>
                          <w:sz w:val="32"/>
                          <w:szCs w:val="32"/>
                        </w:rPr>
                        <w:t xml:space="preserve">0 de septiembre </w:t>
                      </w:r>
                      <w:r w:rsidRPr="001C7DA8">
                        <w:rPr>
                          <w:rFonts w:ascii="FranklinGothic-Demi" w:hAnsi="FranklinGothic-Demi" w:cs="FranklinGothic-Demi"/>
                          <w:b/>
                          <w:color w:val="FFFFFF" w:themeColor="background1"/>
                          <w:sz w:val="32"/>
                          <w:szCs w:val="32"/>
                        </w:rPr>
                        <w:t>de 201</w:t>
                      </w:r>
                      <w:r>
                        <w:rPr>
                          <w:rFonts w:ascii="FranklinGothic-Demi" w:hAnsi="FranklinGothic-Demi" w:cs="FranklinGothic-Demi"/>
                          <w:b/>
                          <w:color w:val="FFFFFF" w:themeColor="background1"/>
                          <w:sz w:val="32"/>
                          <w:szCs w:val="32"/>
                        </w:rPr>
                        <w:t>8</w:t>
                      </w:r>
                    </w:p>
                  </w:txbxContent>
                </v:textbox>
                <w10:wrap anchorx="page"/>
              </v:rect>
            </w:pict>
          </mc:Fallback>
        </mc:AlternateContent>
      </w:r>
      <w:r w:rsidR="006C7459" w:rsidRPr="0009028A">
        <w:rPr>
          <w:rFonts w:ascii="Arial" w:hAnsi="Arial" w:cs="Arial"/>
          <w:noProof/>
        </w:rPr>
        <w:br w:type="page"/>
      </w:r>
    </w:p>
    <w:sdt>
      <w:sdtPr>
        <w:rPr>
          <w:rFonts w:asciiTheme="minorHAnsi" w:eastAsiaTheme="minorHAnsi" w:hAnsiTheme="minorHAnsi" w:cstheme="minorBidi"/>
          <w:b w:val="0"/>
          <w:color w:val="auto"/>
          <w:sz w:val="22"/>
          <w:szCs w:val="22"/>
          <w:lang w:val="es-ES" w:eastAsia="en-US"/>
        </w:rPr>
        <w:id w:val="1802650745"/>
        <w:docPartObj>
          <w:docPartGallery w:val="Table of Contents"/>
          <w:docPartUnique/>
        </w:docPartObj>
      </w:sdtPr>
      <w:sdtEndPr>
        <w:rPr>
          <w:rFonts w:ascii="Arial" w:hAnsi="Arial" w:cs="Arial"/>
          <w:bCs/>
        </w:rPr>
      </w:sdtEndPr>
      <w:sdtContent>
        <w:p w14:paraId="6FB75561" w14:textId="77777777" w:rsidR="00D42B87" w:rsidRPr="0009028A" w:rsidRDefault="00D42B87" w:rsidP="00D100F1">
          <w:pPr>
            <w:pStyle w:val="TtuloTDC"/>
            <w:rPr>
              <w:lang w:val="es-ES"/>
            </w:rPr>
          </w:pPr>
          <w:r w:rsidRPr="0009028A">
            <w:rPr>
              <w:lang w:val="es-ES"/>
            </w:rPr>
            <w:t>Contenido</w:t>
          </w:r>
        </w:p>
        <w:p w14:paraId="67536771" w14:textId="77777777" w:rsidR="00C31C4E" w:rsidRPr="0009028A" w:rsidRDefault="00C31C4E" w:rsidP="00C31C4E">
          <w:pPr>
            <w:rPr>
              <w:rFonts w:ascii="Arial" w:hAnsi="Arial" w:cs="Arial"/>
              <w:lang w:val="es-ES" w:eastAsia="es-CO"/>
            </w:rPr>
          </w:pPr>
        </w:p>
        <w:p w14:paraId="3E8A7889" w14:textId="50160986" w:rsidR="00BB37BE" w:rsidRDefault="00D42B87">
          <w:pPr>
            <w:pStyle w:val="TDC1"/>
            <w:rPr>
              <w:rFonts w:eastAsiaTheme="minorEastAsia"/>
              <w:b w:val="0"/>
              <w:bCs w:val="0"/>
              <w:caps w:val="0"/>
              <w:noProof/>
              <w:sz w:val="22"/>
              <w:szCs w:val="22"/>
              <w:lang w:eastAsia="es-CO"/>
            </w:rPr>
          </w:pPr>
          <w:r w:rsidRPr="006E6D1F">
            <w:rPr>
              <w:rFonts w:ascii="Arial" w:hAnsi="Arial" w:cs="Arial"/>
              <w:sz w:val="18"/>
              <w:szCs w:val="18"/>
            </w:rPr>
            <w:fldChar w:fldCharType="begin"/>
          </w:r>
          <w:r w:rsidRPr="006E6D1F">
            <w:rPr>
              <w:rFonts w:ascii="Arial" w:hAnsi="Arial" w:cs="Arial"/>
              <w:sz w:val="18"/>
              <w:szCs w:val="18"/>
            </w:rPr>
            <w:instrText xml:space="preserve"> TOC \o "1-3" \h \z \u </w:instrText>
          </w:r>
          <w:r w:rsidRPr="006E6D1F">
            <w:rPr>
              <w:rFonts w:ascii="Arial" w:hAnsi="Arial" w:cs="Arial"/>
              <w:sz w:val="18"/>
              <w:szCs w:val="18"/>
            </w:rPr>
            <w:fldChar w:fldCharType="separate"/>
          </w:r>
          <w:hyperlink w:anchor="_Toc8735025" w:history="1">
            <w:r w:rsidR="00BB37BE" w:rsidRPr="001E4CC7">
              <w:rPr>
                <w:rStyle w:val="Hipervnculo"/>
                <w:noProof/>
              </w:rPr>
              <w:t>Estados intermedios condensados separados de situación financiera</w:t>
            </w:r>
            <w:r w:rsidR="00BB37BE">
              <w:rPr>
                <w:noProof/>
                <w:webHidden/>
              </w:rPr>
              <w:tab/>
            </w:r>
            <w:r w:rsidR="00BB37BE">
              <w:rPr>
                <w:noProof/>
                <w:webHidden/>
              </w:rPr>
              <w:fldChar w:fldCharType="begin"/>
            </w:r>
            <w:r w:rsidR="00BB37BE">
              <w:rPr>
                <w:noProof/>
                <w:webHidden/>
              </w:rPr>
              <w:instrText xml:space="preserve"> PAGEREF _Toc8735025 \h </w:instrText>
            </w:r>
            <w:r w:rsidR="00BB37BE">
              <w:rPr>
                <w:noProof/>
                <w:webHidden/>
              </w:rPr>
            </w:r>
            <w:r w:rsidR="00BB37BE">
              <w:rPr>
                <w:noProof/>
                <w:webHidden/>
              </w:rPr>
              <w:fldChar w:fldCharType="separate"/>
            </w:r>
            <w:r w:rsidR="00BB37BE">
              <w:rPr>
                <w:noProof/>
                <w:webHidden/>
              </w:rPr>
              <w:t>5</w:t>
            </w:r>
            <w:r w:rsidR="00BB37BE">
              <w:rPr>
                <w:noProof/>
                <w:webHidden/>
              </w:rPr>
              <w:fldChar w:fldCharType="end"/>
            </w:r>
          </w:hyperlink>
        </w:p>
        <w:p w14:paraId="613EF290" w14:textId="172DEA5A" w:rsidR="00BB37BE" w:rsidRDefault="00A05F94">
          <w:pPr>
            <w:pStyle w:val="TDC1"/>
            <w:rPr>
              <w:rFonts w:eastAsiaTheme="minorEastAsia"/>
              <w:b w:val="0"/>
              <w:bCs w:val="0"/>
              <w:caps w:val="0"/>
              <w:noProof/>
              <w:sz w:val="22"/>
              <w:szCs w:val="22"/>
              <w:lang w:eastAsia="es-CO"/>
            </w:rPr>
          </w:pPr>
          <w:hyperlink w:anchor="_Toc8735026" w:history="1">
            <w:r w:rsidR="00BB37BE" w:rsidRPr="001E4CC7">
              <w:rPr>
                <w:rStyle w:val="Hipervnculo"/>
                <w:noProof/>
              </w:rPr>
              <w:t>Estados intermedios condensados separados de resultados</w:t>
            </w:r>
            <w:r w:rsidR="00BB37BE">
              <w:rPr>
                <w:noProof/>
                <w:webHidden/>
              </w:rPr>
              <w:tab/>
            </w:r>
            <w:r w:rsidR="00BB37BE">
              <w:rPr>
                <w:noProof/>
                <w:webHidden/>
              </w:rPr>
              <w:fldChar w:fldCharType="begin"/>
            </w:r>
            <w:r w:rsidR="00BB37BE">
              <w:rPr>
                <w:noProof/>
                <w:webHidden/>
              </w:rPr>
              <w:instrText xml:space="preserve"> PAGEREF _Toc8735026 \h </w:instrText>
            </w:r>
            <w:r w:rsidR="00BB37BE">
              <w:rPr>
                <w:noProof/>
                <w:webHidden/>
              </w:rPr>
            </w:r>
            <w:r w:rsidR="00BB37BE">
              <w:rPr>
                <w:noProof/>
                <w:webHidden/>
              </w:rPr>
              <w:fldChar w:fldCharType="separate"/>
            </w:r>
            <w:r w:rsidR="00BB37BE">
              <w:rPr>
                <w:noProof/>
                <w:webHidden/>
              </w:rPr>
              <w:t>7</w:t>
            </w:r>
            <w:r w:rsidR="00BB37BE">
              <w:rPr>
                <w:noProof/>
                <w:webHidden/>
              </w:rPr>
              <w:fldChar w:fldCharType="end"/>
            </w:r>
          </w:hyperlink>
        </w:p>
        <w:p w14:paraId="46EC7380" w14:textId="72C94662" w:rsidR="00BB37BE" w:rsidRDefault="00A05F94">
          <w:pPr>
            <w:pStyle w:val="TDC1"/>
            <w:rPr>
              <w:rFonts w:eastAsiaTheme="minorEastAsia"/>
              <w:b w:val="0"/>
              <w:bCs w:val="0"/>
              <w:caps w:val="0"/>
              <w:noProof/>
              <w:sz w:val="22"/>
              <w:szCs w:val="22"/>
              <w:lang w:eastAsia="es-CO"/>
            </w:rPr>
          </w:pPr>
          <w:hyperlink w:anchor="_Toc8735027" w:history="1">
            <w:r w:rsidR="00BB37BE" w:rsidRPr="001E4CC7">
              <w:rPr>
                <w:rStyle w:val="Hipervnculo"/>
                <w:noProof/>
              </w:rPr>
              <w:t>Es</w:t>
            </w:r>
            <w:r w:rsidR="00BB37BE" w:rsidRPr="001E4CC7">
              <w:rPr>
                <w:rStyle w:val="Hipervnculo"/>
                <w:rFonts w:ascii="Arial" w:hAnsi="Arial" w:cs="Arial"/>
                <w:noProof/>
              </w:rPr>
              <w:t>tados intermedios condensados separados de otro resultado integral</w:t>
            </w:r>
            <w:r w:rsidR="00BB37BE">
              <w:rPr>
                <w:noProof/>
                <w:webHidden/>
              </w:rPr>
              <w:tab/>
            </w:r>
            <w:r w:rsidR="00BB37BE">
              <w:rPr>
                <w:noProof/>
                <w:webHidden/>
              </w:rPr>
              <w:fldChar w:fldCharType="begin"/>
            </w:r>
            <w:r w:rsidR="00BB37BE">
              <w:rPr>
                <w:noProof/>
                <w:webHidden/>
              </w:rPr>
              <w:instrText xml:space="preserve"> PAGEREF _Toc8735027 \h </w:instrText>
            </w:r>
            <w:r w:rsidR="00BB37BE">
              <w:rPr>
                <w:noProof/>
                <w:webHidden/>
              </w:rPr>
            </w:r>
            <w:r w:rsidR="00BB37BE">
              <w:rPr>
                <w:noProof/>
                <w:webHidden/>
              </w:rPr>
              <w:fldChar w:fldCharType="separate"/>
            </w:r>
            <w:r w:rsidR="00BB37BE">
              <w:rPr>
                <w:noProof/>
                <w:webHidden/>
              </w:rPr>
              <w:t>8</w:t>
            </w:r>
            <w:r w:rsidR="00BB37BE">
              <w:rPr>
                <w:noProof/>
                <w:webHidden/>
              </w:rPr>
              <w:fldChar w:fldCharType="end"/>
            </w:r>
          </w:hyperlink>
        </w:p>
        <w:p w14:paraId="7817D2A2" w14:textId="076C935A" w:rsidR="00BB37BE" w:rsidRDefault="00A05F94">
          <w:pPr>
            <w:pStyle w:val="TDC1"/>
            <w:rPr>
              <w:rFonts w:eastAsiaTheme="minorEastAsia"/>
              <w:b w:val="0"/>
              <w:bCs w:val="0"/>
              <w:caps w:val="0"/>
              <w:noProof/>
              <w:sz w:val="22"/>
              <w:szCs w:val="22"/>
              <w:lang w:eastAsia="es-CO"/>
            </w:rPr>
          </w:pPr>
          <w:hyperlink w:anchor="_Toc8735028" w:history="1">
            <w:r w:rsidR="00BB37BE" w:rsidRPr="001E4CC7">
              <w:rPr>
                <w:rStyle w:val="Hipervnculo"/>
                <w:noProof/>
              </w:rPr>
              <w:t>Estados intermedios condensados separados de cambios en el patrimonio</w:t>
            </w:r>
            <w:r w:rsidR="00BB37BE">
              <w:rPr>
                <w:noProof/>
                <w:webHidden/>
              </w:rPr>
              <w:tab/>
            </w:r>
            <w:r w:rsidR="00BB37BE">
              <w:rPr>
                <w:noProof/>
                <w:webHidden/>
              </w:rPr>
              <w:fldChar w:fldCharType="begin"/>
            </w:r>
            <w:r w:rsidR="00BB37BE">
              <w:rPr>
                <w:noProof/>
                <w:webHidden/>
              </w:rPr>
              <w:instrText xml:space="preserve"> PAGEREF _Toc8735028 \h </w:instrText>
            </w:r>
            <w:r w:rsidR="00BB37BE">
              <w:rPr>
                <w:noProof/>
                <w:webHidden/>
              </w:rPr>
            </w:r>
            <w:r w:rsidR="00BB37BE">
              <w:rPr>
                <w:noProof/>
                <w:webHidden/>
              </w:rPr>
              <w:fldChar w:fldCharType="separate"/>
            </w:r>
            <w:r w:rsidR="00BB37BE">
              <w:rPr>
                <w:noProof/>
                <w:webHidden/>
              </w:rPr>
              <w:t>9</w:t>
            </w:r>
            <w:r w:rsidR="00BB37BE">
              <w:rPr>
                <w:noProof/>
                <w:webHidden/>
              </w:rPr>
              <w:fldChar w:fldCharType="end"/>
            </w:r>
          </w:hyperlink>
        </w:p>
        <w:p w14:paraId="44F88896" w14:textId="20CE0D58" w:rsidR="00BB37BE" w:rsidRDefault="00A05F94">
          <w:pPr>
            <w:pStyle w:val="TDC1"/>
            <w:rPr>
              <w:rFonts w:eastAsiaTheme="minorEastAsia"/>
              <w:b w:val="0"/>
              <w:bCs w:val="0"/>
              <w:caps w:val="0"/>
              <w:noProof/>
              <w:sz w:val="22"/>
              <w:szCs w:val="22"/>
              <w:lang w:eastAsia="es-CO"/>
            </w:rPr>
          </w:pPr>
          <w:hyperlink w:anchor="_Toc8735029" w:history="1">
            <w:r w:rsidR="00BB37BE" w:rsidRPr="001E4CC7">
              <w:rPr>
                <w:rStyle w:val="Hipervnculo"/>
                <w:noProof/>
              </w:rPr>
              <w:t>Estados intermedios condensados separados de flujos de efectivo</w:t>
            </w:r>
            <w:r w:rsidR="00BB37BE">
              <w:rPr>
                <w:noProof/>
                <w:webHidden/>
              </w:rPr>
              <w:tab/>
            </w:r>
            <w:r w:rsidR="00BB37BE">
              <w:rPr>
                <w:noProof/>
                <w:webHidden/>
              </w:rPr>
              <w:fldChar w:fldCharType="begin"/>
            </w:r>
            <w:r w:rsidR="00BB37BE">
              <w:rPr>
                <w:noProof/>
                <w:webHidden/>
              </w:rPr>
              <w:instrText xml:space="preserve"> PAGEREF _Toc8735029 \h </w:instrText>
            </w:r>
            <w:r w:rsidR="00BB37BE">
              <w:rPr>
                <w:noProof/>
                <w:webHidden/>
              </w:rPr>
            </w:r>
            <w:r w:rsidR="00BB37BE">
              <w:rPr>
                <w:noProof/>
                <w:webHidden/>
              </w:rPr>
              <w:fldChar w:fldCharType="separate"/>
            </w:r>
            <w:r w:rsidR="00BB37BE">
              <w:rPr>
                <w:noProof/>
                <w:webHidden/>
              </w:rPr>
              <w:t>10</w:t>
            </w:r>
            <w:r w:rsidR="00BB37BE">
              <w:rPr>
                <w:noProof/>
                <w:webHidden/>
              </w:rPr>
              <w:fldChar w:fldCharType="end"/>
            </w:r>
          </w:hyperlink>
        </w:p>
        <w:p w14:paraId="0D9CC686" w14:textId="232F3844" w:rsidR="00BB37BE" w:rsidRDefault="00A05F94">
          <w:pPr>
            <w:pStyle w:val="TDC1"/>
            <w:rPr>
              <w:rFonts w:eastAsiaTheme="minorEastAsia"/>
              <w:b w:val="0"/>
              <w:bCs w:val="0"/>
              <w:caps w:val="0"/>
              <w:noProof/>
              <w:sz w:val="22"/>
              <w:szCs w:val="22"/>
              <w:lang w:eastAsia="es-CO"/>
            </w:rPr>
          </w:pPr>
          <w:hyperlink w:anchor="_Toc8735030" w:history="1">
            <w:r w:rsidR="00BB37BE" w:rsidRPr="001E4CC7">
              <w:rPr>
                <w:rStyle w:val="Hipervnculo"/>
                <w:noProof/>
              </w:rPr>
              <w:t>Notas a los estados financieros intermedios condensados separados</w:t>
            </w:r>
            <w:r w:rsidR="00BB37BE">
              <w:rPr>
                <w:noProof/>
                <w:webHidden/>
              </w:rPr>
              <w:tab/>
            </w:r>
            <w:r w:rsidR="00BB37BE">
              <w:rPr>
                <w:noProof/>
                <w:webHidden/>
              </w:rPr>
              <w:fldChar w:fldCharType="begin"/>
            </w:r>
            <w:r w:rsidR="00BB37BE">
              <w:rPr>
                <w:noProof/>
                <w:webHidden/>
              </w:rPr>
              <w:instrText xml:space="preserve"> PAGEREF _Toc8735030 \h </w:instrText>
            </w:r>
            <w:r w:rsidR="00BB37BE">
              <w:rPr>
                <w:noProof/>
                <w:webHidden/>
              </w:rPr>
            </w:r>
            <w:r w:rsidR="00BB37BE">
              <w:rPr>
                <w:noProof/>
                <w:webHidden/>
              </w:rPr>
              <w:fldChar w:fldCharType="separate"/>
            </w:r>
            <w:r w:rsidR="00BB37BE">
              <w:rPr>
                <w:noProof/>
                <w:webHidden/>
              </w:rPr>
              <w:t>12</w:t>
            </w:r>
            <w:r w:rsidR="00BB37BE">
              <w:rPr>
                <w:noProof/>
                <w:webHidden/>
              </w:rPr>
              <w:fldChar w:fldCharType="end"/>
            </w:r>
          </w:hyperlink>
        </w:p>
        <w:p w14:paraId="5278C8F6" w14:textId="20CB6925" w:rsidR="00BB37BE" w:rsidRDefault="00A05F94">
          <w:pPr>
            <w:pStyle w:val="TDC1"/>
            <w:rPr>
              <w:rFonts w:eastAsiaTheme="minorEastAsia"/>
              <w:b w:val="0"/>
              <w:bCs w:val="0"/>
              <w:caps w:val="0"/>
              <w:noProof/>
              <w:sz w:val="22"/>
              <w:szCs w:val="22"/>
              <w:lang w:eastAsia="es-CO"/>
            </w:rPr>
          </w:pPr>
          <w:hyperlink w:anchor="_Toc8735031" w:history="1">
            <w:r w:rsidR="00BB37BE" w:rsidRPr="001E4CC7">
              <w:rPr>
                <w:rStyle w:val="Hipervnculo"/>
                <w:noProof/>
              </w:rPr>
              <w:t>Nota 1: Entidad que reporta</w:t>
            </w:r>
            <w:r w:rsidR="00BB37BE">
              <w:rPr>
                <w:noProof/>
                <w:webHidden/>
              </w:rPr>
              <w:tab/>
            </w:r>
            <w:r w:rsidR="00BB37BE">
              <w:rPr>
                <w:noProof/>
                <w:webHidden/>
              </w:rPr>
              <w:fldChar w:fldCharType="begin"/>
            </w:r>
            <w:r w:rsidR="00BB37BE">
              <w:rPr>
                <w:noProof/>
                <w:webHidden/>
              </w:rPr>
              <w:instrText xml:space="preserve"> PAGEREF _Toc8735031 \h </w:instrText>
            </w:r>
            <w:r w:rsidR="00BB37BE">
              <w:rPr>
                <w:noProof/>
                <w:webHidden/>
              </w:rPr>
            </w:r>
            <w:r w:rsidR="00BB37BE">
              <w:rPr>
                <w:noProof/>
                <w:webHidden/>
              </w:rPr>
              <w:fldChar w:fldCharType="separate"/>
            </w:r>
            <w:r w:rsidR="00BB37BE">
              <w:rPr>
                <w:noProof/>
                <w:webHidden/>
              </w:rPr>
              <w:t>12</w:t>
            </w:r>
            <w:r w:rsidR="00BB37BE">
              <w:rPr>
                <w:noProof/>
                <w:webHidden/>
              </w:rPr>
              <w:fldChar w:fldCharType="end"/>
            </w:r>
          </w:hyperlink>
        </w:p>
        <w:p w14:paraId="7EC26DBD" w14:textId="38E1168C" w:rsidR="00BB37BE" w:rsidRDefault="00A05F94">
          <w:pPr>
            <w:pStyle w:val="TDC1"/>
            <w:rPr>
              <w:rFonts w:eastAsiaTheme="minorEastAsia"/>
              <w:b w:val="0"/>
              <w:bCs w:val="0"/>
              <w:caps w:val="0"/>
              <w:noProof/>
              <w:sz w:val="22"/>
              <w:szCs w:val="22"/>
              <w:lang w:eastAsia="es-CO"/>
            </w:rPr>
          </w:pPr>
          <w:hyperlink w:anchor="_Toc8735032" w:history="1">
            <w:r w:rsidR="00BB37BE" w:rsidRPr="001E4CC7">
              <w:rPr>
                <w:rStyle w:val="Hipervnculo"/>
                <w:noProof/>
              </w:rPr>
              <w:t>Nota 2: Bases de preparación de los estados financieros intermedios condensados separados</w:t>
            </w:r>
            <w:r w:rsidR="00BB37BE">
              <w:rPr>
                <w:noProof/>
                <w:webHidden/>
              </w:rPr>
              <w:tab/>
            </w:r>
            <w:r w:rsidR="00BB37BE">
              <w:rPr>
                <w:noProof/>
                <w:webHidden/>
              </w:rPr>
              <w:fldChar w:fldCharType="begin"/>
            </w:r>
            <w:r w:rsidR="00BB37BE">
              <w:rPr>
                <w:noProof/>
                <w:webHidden/>
              </w:rPr>
              <w:instrText xml:space="preserve"> PAGEREF _Toc8735032 \h </w:instrText>
            </w:r>
            <w:r w:rsidR="00BB37BE">
              <w:rPr>
                <w:noProof/>
                <w:webHidden/>
              </w:rPr>
            </w:r>
            <w:r w:rsidR="00BB37BE">
              <w:rPr>
                <w:noProof/>
                <w:webHidden/>
              </w:rPr>
              <w:fldChar w:fldCharType="separate"/>
            </w:r>
            <w:r w:rsidR="00BB37BE">
              <w:rPr>
                <w:noProof/>
                <w:webHidden/>
              </w:rPr>
              <w:t>12</w:t>
            </w:r>
            <w:r w:rsidR="00BB37BE">
              <w:rPr>
                <w:noProof/>
                <w:webHidden/>
              </w:rPr>
              <w:fldChar w:fldCharType="end"/>
            </w:r>
          </w:hyperlink>
        </w:p>
        <w:p w14:paraId="03F8ECD7" w14:textId="0CA13332" w:rsidR="00BB37BE" w:rsidRDefault="00A05F94">
          <w:pPr>
            <w:pStyle w:val="TDC2"/>
            <w:tabs>
              <w:tab w:val="right" w:leader="dot" w:pos="10338"/>
            </w:tabs>
            <w:rPr>
              <w:rFonts w:eastAsiaTheme="minorEastAsia"/>
              <w:smallCaps w:val="0"/>
              <w:noProof/>
              <w:sz w:val="22"/>
              <w:szCs w:val="22"/>
              <w:lang w:eastAsia="es-CO"/>
            </w:rPr>
          </w:pPr>
          <w:hyperlink w:anchor="_Toc8735033" w:history="1">
            <w:r w:rsidR="00BB37BE" w:rsidRPr="001E4CC7">
              <w:rPr>
                <w:rStyle w:val="Hipervnculo"/>
                <w:rFonts w:ascii="Arial" w:hAnsi="Arial" w:cs="Arial"/>
                <w:noProof/>
              </w:rPr>
              <w:t>2.1. Marco técnico normativo</w:t>
            </w:r>
            <w:r w:rsidR="00BB37BE">
              <w:rPr>
                <w:noProof/>
                <w:webHidden/>
              </w:rPr>
              <w:tab/>
            </w:r>
            <w:r w:rsidR="00BB37BE">
              <w:rPr>
                <w:noProof/>
                <w:webHidden/>
              </w:rPr>
              <w:fldChar w:fldCharType="begin"/>
            </w:r>
            <w:r w:rsidR="00BB37BE">
              <w:rPr>
                <w:noProof/>
                <w:webHidden/>
              </w:rPr>
              <w:instrText xml:space="preserve"> PAGEREF _Toc8735033 \h </w:instrText>
            </w:r>
            <w:r w:rsidR="00BB37BE">
              <w:rPr>
                <w:noProof/>
                <w:webHidden/>
              </w:rPr>
            </w:r>
            <w:r w:rsidR="00BB37BE">
              <w:rPr>
                <w:noProof/>
                <w:webHidden/>
              </w:rPr>
              <w:fldChar w:fldCharType="separate"/>
            </w:r>
            <w:r w:rsidR="00BB37BE">
              <w:rPr>
                <w:noProof/>
                <w:webHidden/>
              </w:rPr>
              <w:t>12</w:t>
            </w:r>
            <w:r w:rsidR="00BB37BE">
              <w:rPr>
                <w:noProof/>
                <w:webHidden/>
              </w:rPr>
              <w:fldChar w:fldCharType="end"/>
            </w:r>
          </w:hyperlink>
        </w:p>
        <w:p w14:paraId="7FA2AD46" w14:textId="0FA3DD44" w:rsidR="00BB37BE" w:rsidRDefault="00A05F94">
          <w:pPr>
            <w:pStyle w:val="TDC2"/>
            <w:tabs>
              <w:tab w:val="right" w:leader="dot" w:pos="10338"/>
            </w:tabs>
            <w:rPr>
              <w:rFonts w:eastAsiaTheme="minorEastAsia"/>
              <w:smallCaps w:val="0"/>
              <w:noProof/>
              <w:sz w:val="22"/>
              <w:szCs w:val="22"/>
              <w:lang w:eastAsia="es-CO"/>
            </w:rPr>
          </w:pPr>
          <w:hyperlink w:anchor="_Toc8735034" w:history="1">
            <w:r w:rsidR="00BB37BE" w:rsidRPr="001E4CC7">
              <w:rPr>
                <w:rStyle w:val="Hipervnculo"/>
                <w:rFonts w:ascii="Arial" w:hAnsi="Arial" w:cs="Arial"/>
                <w:noProof/>
              </w:rPr>
              <w:t>2.2. Bases de medición</w:t>
            </w:r>
            <w:r w:rsidR="00BB37BE">
              <w:rPr>
                <w:noProof/>
                <w:webHidden/>
              </w:rPr>
              <w:tab/>
            </w:r>
            <w:r w:rsidR="00BB37BE">
              <w:rPr>
                <w:noProof/>
                <w:webHidden/>
              </w:rPr>
              <w:fldChar w:fldCharType="begin"/>
            </w:r>
            <w:r w:rsidR="00BB37BE">
              <w:rPr>
                <w:noProof/>
                <w:webHidden/>
              </w:rPr>
              <w:instrText xml:space="preserve"> PAGEREF _Toc8735034 \h </w:instrText>
            </w:r>
            <w:r w:rsidR="00BB37BE">
              <w:rPr>
                <w:noProof/>
                <w:webHidden/>
              </w:rPr>
            </w:r>
            <w:r w:rsidR="00BB37BE">
              <w:rPr>
                <w:noProof/>
                <w:webHidden/>
              </w:rPr>
              <w:fldChar w:fldCharType="separate"/>
            </w:r>
            <w:r w:rsidR="00BB37BE">
              <w:rPr>
                <w:noProof/>
                <w:webHidden/>
              </w:rPr>
              <w:t>13</w:t>
            </w:r>
            <w:r w:rsidR="00BB37BE">
              <w:rPr>
                <w:noProof/>
                <w:webHidden/>
              </w:rPr>
              <w:fldChar w:fldCharType="end"/>
            </w:r>
          </w:hyperlink>
        </w:p>
        <w:p w14:paraId="1EDE46F9" w14:textId="32FFA393" w:rsidR="00BB37BE" w:rsidRDefault="00A05F94">
          <w:pPr>
            <w:pStyle w:val="TDC2"/>
            <w:tabs>
              <w:tab w:val="right" w:leader="dot" w:pos="10338"/>
            </w:tabs>
            <w:rPr>
              <w:rFonts w:eastAsiaTheme="minorEastAsia"/>
              <w:smallCaps w:val="0"/>
              <w:noProof/>
              <w:sz w:val="22"/>
              <w:szCs w:val="22"/>
              <w:lang w:eastAsia="es-CO"/>
            </w:rPr>
          </w:pPr>
          <w:hyperlink w:anchor="_Toc8735035" w:history="1">
            <w:r w:rsidR="00BB37BE" w:rsidRPr="001E4CC7">
              <w:rPr>
                <w:rStyle w:val="Hipervnculo"/>
                <w:rFonts w:ascii="Arial" w:hAnsi="Arial" w:cs="Arial"/>
                <w:noProof/>
              </w:rPr>
              <w:t>2.3. Moneda funcional y de presentación</w:t>
            </w:r>
            <w:r w:rsidR="00BB37BE">
              <w:rPr>
                <w:noProof/>
                <w:webHidden/>
              </w:rPr>
              <w:tab/>
            </w:r>
            <w:r w:rsidR="00BB37BE">
              <w:rPr>
                <w:noProof/>
                <w:webHidden/>
              </w:rPr>
              <w:fldChar w:fldCharType="begin"/>
            </w:r>
            <w:r w:rsidR="00BB37BE">
              <w:rPr>
                <w:noProof/>
                <w:webHidden/>
              </w:rPr>
              <w:instrText xml:space="preserve"> PAGEREF _Toc8735035 \h </w:instrText>
            </w:r>
            <w:r w:rsidR="00BB37BE">
              <w:rPr>
                <w:noProof/>
                <w:webHidden/>
              </w:rPr>
            </w:r>
            <w:r w:rsidR="00BB37BE">
              <w:rPr>
                <w:noProof/>
                <w:webHidden/>
              </w:rPr>
              <w:fldChar w:fldCharType="separate"/>
            </w:r>
            <w:r w:rsidR="00BB37BE">
              <w:rPr>
                <w:noProof/>
                <w:webHidden/>
              </w:rPr>
              <w:t>13</w:t>
            </w:r>
            <w:r w:rsidR="00BB37BE">
              <w:rPr>
                <w:noProof/>
                <w:webHidden/>
              </w:rPr>
              <w:fldChar w:fldCharType="end"/>
            </w:r>
          </w:hyperlink>
        </w:p>
        <w:p w14:paraId="505591B4" w14:textId="648212CC" w:rsidR="00BB37BE" w:rsidRDefault="00A05F94">
          <w:pPr>
            <w:pStyle w:val="TDC2"/>
            <w:tabs>
              <w:tab w:val="right" w:leader="dot" w:pos="10338"/>
            </w:tabs>
            <w:rPr>
              <w:rFonts w:eastAsiaTheme="minorEastAsia"/>
              <w:smallCaps w:val="0"/>
              <w:noProof/>
              <w:sz w:val="22"/>
              <w:szCs w:val="22"/>
              <w:lang w:eastAsia="es-CO"/>
            </w:rPr>
          </w:pPr>
          <w:hyperlink w:anchor="_Toc8735036" w:history="1">
            <w:r w:rsidR="00BB37BE" w:rsidRPr="001E4CC7">
              <w:rPr>
                <w:rStyle w:val="Hipervnculo"/>
                <w:rFonts w:ascii="Arial" w:hAnsi="Arial" w:cs="Arial"/>
                <w:noProof/>
              </w:rPr>
              <w:t>2.4. Uso de estimaciones y juicios</w:t>
            </w:r>
            <w:r w:rsidR="00BB37BE">
              <w:rPr>
                <w:noProof/>
                <w:webHidden/>
              </w:rPr>
              <w:tab/>
            </w:r>
            <w:r w:rsidR="00BB37BE">
              <w:rPr>
                <w:noProof/>
                <w:webHidden/>
              </w:rPr>
              <w:fldChar w:fldCharType="begin"/>
            </w:r>
            <w:r w:rsidR="00BB37BE">
              <w:rPr>
                <w:noProof/>
                <w:webHidden/>
              </w:rPr>
              <w:instrText xml:space="preserve"> PAGEREF _Toc8735036 \h </w:instrText>
            </w:r>
            <w:r w:rsidR="00BB37BE">
              <w:rPr>
                <w:noProof/>
                <w:webHidden/>
              </w:rPr>
            </w:r>
            <w:r w:rsidR="00BB37BE">
              <w:rPr>
                <w:noProof/>
                <w:webHidden/>
              </w:rPr>
              <w:fldChar w:fldCharType="separate"/>
            </w:r>
            <w:r w:rsidR="00BB37BE">
              <w:rPr>
                <w:noProof/>
                <w:webHidden/>
              </w:rPr>
              <w:t>13</w:t>
            </w:r>
            <w:r w:rsidR="00BB37BE">
              <w:rPr>
                <w:noProof/>
                <w:webHidden/>
              </w:rPr>
              <w:fldChar w:fldCharType="end"/>
            </w:r>
          </w:hyperlink>
        </w:p>
        <w:p w14:paraId="7DC378A9" w14:textId="52FEA822" w:rsidR="00BB37BE" w:rsidRDefault="00A05F94">
          <w:pPr>
            <w:pStyle w:val="TDC2"/>
            <w:tabs>
              <w:tab w:val="right" w:leader="dot" w:pos="10338"/>
            </w:tabs>
            <w:rPr>
              <w:rFonts w:eastAsiaTheme="minorEastAsia"/>
              <w:smallCaps w:val="0"/>
              <w:noProof/>
              <w:sz w:val="22"/>
              <w:szCs w:val="22"/>
              <w:lang w:eastAsia="es-CO"/>
            </w:rPr>
          </w:pPr>
          <w:hyperlink w:anchor="_Toc8735037" w:history="1">
            <w:r w:rsidR="00BB37BE" w:rsidRPr="001E4CC7">
              <w:rPr>
                <w:rStyle w:val="Hipervnculo"/>
                <w:rFonts w:ascii="Arial" w:hAnsi="Arial" w:cs="Arial"/>
                <w:noProof/>
              </w:rPr>
              <w:t>2.5. Cambios en políticas contables significativas</w:t>
            </w:r>
            <w:r w:rsidR="00BB37BE">
              <w:rPr>
                <w:noProof/>
                <w:webHidden/>
              </w:rPr>
              <w:tab/>
            </w:r>
            <w:r w:rsidR="00BB37BE">
              <w:rPr>
                <w:noProof/>
                <w:webHidden/>
              </w:rPr>
              <w:fldChar w:fldCharType="begin"/>
            </w:r>
            <w:r w:rsidR="00BB37BE">
              <w:rPr>
                <w:noProof/>
                <w:webHidden/>
              </w:rPr>
              <w:instrText xml:space="preserve"> PAGEREF _Toc8735037 \h </w:instrText>
            </w:r>
            <w:r w:rsidR="00BB37BE">
              <w:rPr>
                <w:noProof/>
                <w:webHidden/>
              </w:rPr>
            </w:r>
            <w:r w:rsidR="00BB37BE">
              <w:rPr>
                <w:noProof/>
                <w:webHidden/>
              </w:rPr>
              <w:fldChar w:fldCharType="separate"/>
            </w:r>
            <w:r w:rsidR="00BB37BE">
              <w:rPr>
                <w:noProof/>
                <w:webHidden/>
              </w:rPr>
              <w:t>15</w:t>
            </w:r>
            <w:r w:rsidR="00BB37BE">
              <w:rPr>
                <w:noProof/>
                <w:webHidden/>
              </w:rPr>
              <w:fldChar w:fldCharType="end"/>
            </w:r>
          </w:hyperlink>
        </w:p>
        <w:p w14:paraId="4EF8D62B" w14:textId="010F2F08" w:rsidR="00BB37BE" w:rsidRDefault="00A05F94">
          <w:pPr>
            <w:pStyle w:val="TDC1"/>
            <w:rPr>
              <w:rFonts w:eastAsiaTheme="minorEastAsia"/>
              <w:b w:val="0"/>
              <w:bCs w:val="0"/>
              <w:caps w:val="0"/>
              <w:noProof/>
              <w:sz w:val="22"/>
              <w:szCs w:val="22"/>
              <w:lang w:eastAsia="es-CO"/>
            </w:rPr>
          </w:pPr>
          <w:hyperlink w:anchor="_Toc8735038" w:history="1">
            <w:r w:rsidR="00BB37BE" w:rsidRPr="001E4CC7">
              <w:rPr>
                <w:rStyle w:val="Hipervnculo"/>
                <w:noProof/>
              </w:rPr>
              <w:t>Nota 3: Normas emitidas por IASB</w:t>
            </w:r>
            <w:r w:rsidR="00BB37BE">
              <w:rPr>
                <w:noProof/>
                <w:webHidden/>
              </w:rPr>
              <w:tab/>
            </w:r>
            <w:r w:rsidR="00BB37BE">
              <w:rPr>
                <w:noProof/>
                <w:webHidden/>
              </w:rPr>
              <w:fldChar w:fldCharType="begin"/>
            </w:r>
            <w:r w:rsidR="00BB37BE">
              <w:rPr>
                <w:noProof/>
                <w:webHidden/>
              </w:rPr>
              <w:instrText xml:space="preserve"> PAGEREF _Toc8735038 \h </w:instrText>
            </w:r>
            <w:r w:rsidR="00BB37BE">
              <w:rPr>
                <w:noProof/>
                <w:webHidden/>
              </w:rPr>
            </w:r>
            <w:r w:rsidR="00BB37BE">
              <w:rPr>
                <w:noProof/>
                <w:webHidden/>
              </w:rPr>
              <w:fldChar w:fldCharType="separate"/>
            </w:r>
            <w:r w:rsidR="00BB37BE">
              <w:rPr>
                <w:noProof/>
                <w:webHidden/>
              </w:rPr>
              <w:t>15</w:t>
            </w:r>
            <w:r w:rsidR="00BB37BE">
              <w:rPr>
                <w:noProof/>
                <w:webHidden/>
              </w:rPr>
              <w:fldChar w:fldCharType="end"/>
            </w:r>
          </w:hyperlink>
        </w:p>
        <w:p w14:paraId="3B3D0351" w14:textId="6E24F837" w:rsidR="00BB37BE" w:rsidRDefault="00A05F94">
          <w:pPr>
            <w:pStyle w:val="TDC2"/>
            <w:tabs>
              <w:tab w:val="right" w:leader="dot" w:pos="10338"/>
            </w:tabs>
            <w:rPr>
              <w:rFonts w:eastAsiaTheme="minorEastAsia"/>
              <w:smallCaps w:val="0"/>
              <w:noProof/>
              <w:sz w:val="22"/>
              <w:szCs w:val="22"/>
              <w:lang w:eastAsia="es-CO"/>
            </w:rPr>
          </w:pPr>
          <w:hyperlink w:anchor="_Toc8735039" w:history="1">
            <w:r w:rsidR="00BB37BE" w:rsidRPr="001E4CC7">
              <w:rPr>
                <w:rStyle w:val="Hipervnculo"/>
                <w:rFonts w:ascii="Arial" w:hAnsi="Arial" w:cs="Arial"/>
                <w:noProof/>
              </w:rPr>
              <w:t>3.1. Normas y enmiendas aplicables a partir del 1 de enero de 2019</w:t>
            </w:r>
            <w:r w:rsidR="00BB37BE">
              <w:rPr>
                <w:noProof/>
                <w:webHidden/>
              </w:rPr>
              <w:tab/>
            </w:r>
            <w:r w:rsidR="00BB37BE">
              <w:rPr>
                <w:noProof/>
                <w:webHidden/>
              </w:rPr>
              <w:fldChar w:fldCharType="begin"/>
            </w:r>
            <w:r w:rsidR="00BB37BE">
              <w:rPr>
                <w:noProof/>
                <w:webHidden/>
              </w:rPr>
              <w:instrText xml:space="preserve"> PAGEREF _Toc8735039 \h </w:instrText>
            </w:r>
            <w:r w:rsidR="00BB37BE">
              <w:rPr>
                <w:noProof/>
                <w:webHidden/>
              </w:rPr>
            </w:r>
            <w:r w:rsidR="00BB37BE">
              <w:rPr>
                <w:noProof/>
                <w:webHidden/>
              </w:rPr>
              <w:fldChar w:fldCharType="separate"/>
            </w:r>
            <w:r w:rsidR="00BB37BE">
              <w:rPr>
                <w:noProof/>
                <w:webHidden/>
              </w:rPr>
              <w:t>15</w:t>
            </w:r>
            <w:r w:rsidR="00BB37BE">
              <w:rPr>
                <w:noProof/>
                <w:webHidden/>
              </w:rPr>
              <w:fldChar w:fldCharType="end"/>
            </w:r>
          </w:hyperlink>
        </w:p>
        <w:p w14:paraId="2EB51025" w14:textId="2C91FFF3" w:rsidR="00BB37BE" w:rsidRDefault="00A05F94">
          <w:pPr>
            <w:pStyle w:val="TDC1"/>
            <w:rPr>
              <w:rFonts w:eastAsiaTheme="minorEastAsia"/>
              <w:b w:val="0"/>
              <w:bCs w:val="0"/>
              <w:caps w:val="0"/>
              <w:noProof/>
              <w:sz w:val="22"/>
              <w:szCs w:val="22"/>
              <w:lang w:eastAsia="es-CO"/>
            </w:rPr>
          </w:pPr>
          <w:hyperlink w:anchor="_Toc8735040" w:history="1">
            <w:r w:rsidR="00BB37BE" w:rsidRPr="001E4CC7">
              <w:rPr>
                <w:rStyle w:val="Hipervnculo"/>
                <w:noProof/>
              </w:rPr>
              <w:t>Nota 4: Políticas contables significativas</w:t>
            </w:r>
            <w:r w:rsidR="00BB37BE">
              <w:rPr>
                <w:noProof/>
                <w:webHidden/>
              </w:rPr>
              <w:tab/>
            </w:r>
            <w:r w:rsidR="00BB37BE">
              <w:rPr>
                <w:noProof/>
                <w:webHidden/>
              </w:rPr>
              <w:fldChar w:fldCharType="begin"/>
            </w:r>
            <w:r w:rsidR="00BB37BE">
              <w:rPr>
                <w:noProof/>
                <w:webHidden/>
              </w:rPr>
              <w:instrText xml:space="preserve"> PAGEREF _Toc8735040 \h </w:instrText>
            </w:r>
            <w:r w:rsidR="00BB37BE">
              <w:rPr>
                <w:noProof/>
                <w:webHidden/>
              </w:rPr>
            </w:r>
            <w:r w:rsidR="00BB37BE">
              <w:rPr>
                <w:noProof/>
                <w:webHidden/>
              </w:rPr>
              <w:fldChar w:fldCharType="separate"/>
            </w:r>
            <w:r w:rsidR="00BB37BE">
              <w:rPr>
                <w:noProof/>
                <w:webHidden/>
              </w:rPr>
              <w:t>18</w:t>
            </w:r>
            <w:r w:rsidR="00BB37BE">
              <w:rPr>
                <w:noProof/>
                <w:webHidden/>
              </w:rPr>
              <w:fldChar w:fldCharType="end"/>
            </w:r>
          </w:hyperlink>
        </w:p>
        <w:p w14:paraId="73392D7C" w14:textId="4FE17E2C" w:rsidR="00BB37BE" w:rsidRDefault="00A05F94">
          <w:pPr>
            <w:pStyle w:val="TDC2"/>
            <w:tabs>
              <w:tab w:val="right" w:leader="dot" w:pos="10338"/>
            </w:tabs>
            <w:rPr>
              <w:rFonts w:eastAsiaTheme="minorEastAsia"/>
              <w:smallCaps w:val="0"/>
              <w:noProof/>
              <w:sz w:val="22"/>
              <w:szCs w:val="22"/>
              <w:lang w:eastAsia="es-CO"/>
            </w:rPr>
          </w:pPr>
          <w:hyperlink w:anchor="_Toc8735041" w:history="1">
            <w:r w:rsidR="00BB37BE" w:rsidRPr="001E4CC7">
              <w:rPr>
                <w:rStyle w:val="Hipervnculo"/>
                <w:rFonts w:ascii="Arial" w:hAnsi="Arial" w:cs="Arial"/>
                <w:noProof/>
              </w:rPr>
              <w:t>4.1. Las inversiones en subsidiarias, asociadas y negocios conjuntos</w:t>
            </w:r>
            <w:r w:rsidR="00BB37BE">
              <w:rPr>
                <w:noProof/>
                <w:webHidden/>
              </w:rPr>
              <w:tab/>
            </w:r>
            <w:r w:rsidR="00BB37BE">
              <w:rPr>
                <w:noProof/>
                <w:webHidden/>
              </w:rPr>
              <w:fldChar w:fldCharType="begin"/>
            </w:r>
            <w:r w:rsidR="00BB37BE">
              <w:rPr>
                <w:noProof/>
                <w:webHidden/>
              </w:rPr>
              <w:instrText xml:space="preserve"> PAGEREF _Toc8735041 \h </w:instrText>
            </w:r>
            <w:r w:rsidR="00BB37BE">
              <w:rPr>
                <w:noProof/>
                <w:webHidden/>
              </w:rPr>
            </w:r>
            <w:r w:rsidR="00BB37BE">
              <w:rPr>
                <w:noProof/>
                <w:webHidden/>
              </w:rPr>
              <w:fldChar w:fldCharType="separate"/>
            </w:r>
            <w:r w:rsidR="00BB37BE">
              <w:rPr>
                <w:noProof/>
                <w:webHidden/>
              </w:rPr>
              <w:t>18</w:t>
            </w:r>
            <w:r w:rsidR="00BB37BE">
              <w:rPr>
                <w:noProof/>
                <w:webHidden/>
              </w:rPr>
              <w:fldChar w:fldCharType="end"/>
            </w:r>
          </w:hyperlink>
        </w:p>
        <w:p w14:paraId="7392EA46" w14:textId="7045623E" w:rsidR="00BB37BE" w:rsidRDefault="00A05F94">
          <w:pPr>
            <w:pStyle w:val="TDC2"/>
            <w:tabs>
              <w:tab w:val="right" w:leader="dot" w:pos="10338"/>
            </w:tabs>
            <w:rPr>
              <w:rFonts w:eastAsiaTheme="minorEastAsia"/>
              <w:smallCaps w:val="0"/>
              <w:noProof/>
              <w:sz w:val="22"/>
              <w:szCs w:val="22"/>
              <w:lang w:eastAsia="es-CO"/>
            </w:rPr>
          </w:pPr>
          <w:hyperlink w:anchor="_Toc8735042" w:history="1">
            <w:r w:rsidR="00BB37BE" w:rsidRPr="001E4CC7">
              <w:rPr>
                <w:rStyle w:val="Hipervnculo"/>
                <w:rFonts w:ascii="Arial" w:hAnsi="Arial" w:cs="Arial"/>
                <w:noProof/>
              </w:rPr>
              <w:t>4.2. Moneda extranjera</w:t>
            </w:r>
            <w:r w:rsidR="00BB37BE">
              <w:rPr>
                <w:noProof/>
                <w:webHidden/>
              </w:rPr>
              <w:tab/>
            </w:r>
            <w:r w:rsidR="00BB37BE">
              <w:rPr>
                <w:noProof/>
                <w:webHidden/>
              </w:rPr>
              <w:fldChar w:fldCharType="begin"/>
            </w:r>
            <w:r w:rsidR="00BB37BE">
              <w:rPr>
                <w:noProof/>
                <w:webHidden/>
              </w:rPr>
              <w:instrText xml:space="preserve"> PAGEREF _Toc8735042 \h </w:instrText>
            </w:r>
            <w:r w:rsidR="00BB37BE">
              <w:rPr>
                <w:noProof/>
                <w:webHidden/>
              </w:rPr>
            </w:r>
            <w:r w:rsidR="00BB37BE">
              <w:rPr>
                <w:noProof/>
                <w:webHidden/>
              </w:rPr>
              <w:fldChar w:fldCharType="separate"/>
            </w:r>
            <w:r w:rsidR="00BB37BE">
              <w:rPr>
                <w:noProof/>
                <w:webHidden/>
              </w:rPr>
              <w:t>19</w:t>
            </w:r>
            <w:r w:rsidR="00BB37BE">
              <w:rPr>
                <w:noProof/>
                <w:webHidden/>
              </w:rPr>
              <w:fldChar w:fldCharType="end"/>
            </w:r>
          </w:hyperlink>
        </w:p>
        <w:p w14:paraId="663285ED" w14:textId="0D5D4D00" w:rsidR="00BB37BE" w:rsidRDefault="00A05F94">
          <w:pPr>
            <w:pStyle w:val="TDC2"/>
            <w:tabs>
              <w:tab w:val="right" w:leader="dot" w:pos="10338"/>
            </w:tabs>
            <w:rPr>
              <w:rFonts w:eastAsiaTheme="minorEastAsia"/>
              <w:smallCaps w:val="0"/>
              <w:noProof/>
              <w:sz w:val="22"/>
              <w:szCs w:val="22"/>
              <w:lang w:eastAsia="es-CO"/>
            </w:rPr>
          </w:pPr>
          <w:hyperlink w:anchor="_Toc8735043" w:history="1">
            <w:r w:rsidR="00BB37BE" w:rsidRPr="001E4CC7">
              <w:rPr>
                <w:rStyle w:val="Hipervnculo"/>
                <w:rFonts w:ascii="Arial" w:hAnsi="Arial" w:cs="Arial"/>
                <w:noProof/>
              </w:rPr>
              <w:t>4.3. Instrumentos financieros</w:t>
            </w:r>
            <w:r w:rsidR="00BB37BE">
              <w:rPr>
                <w:noProof/>
                <w:webHidden/>
              </w:rPr>
              <w:tab/>
            </w:r>
            <w:r w:rsidR="00BB37BE">
              <w:rPr>
                <w:noProof/>
                <w:webHidden/>
              </w:rPr>
              <w:fldChar w:fldCharType="begin"/>
            </w:r>
            <w:r w:rsidR="00BB37BE">
              <w:rPr>
                <w:noProof/>
                <w:webHidden/>
              </w:rPr>
              <w:instrText xml:space="preserve"> PAGEREF _Toc8735043 \h </w:instrText>
            </w:r>
            <w:r w:rsidR="00BB37BE">
              <w:rPr>
                <w:noProof/>
                <w:webHidden/>
              </w:rPr>
            </w:r>
            <w:r w:rsidR="00BB37BE">
              <w:rPr>
                <w:noProof/>
                <w:webHidden/>
              </w:rPr>
              <w:fldChar w:fldCharType="separate"/>
            </w:r>
            <w:r w:rsidR="00BB37BE">
              <w:rPr>
                <w:noProof/>
                <w:webHidden/>
              </w:rPr>
              <w:t>19</w:t>
            </w:r>
            <w:r w:rsidR="00BB37BE">
              <w:rPr>
                <w:noProof/>
                <w:webHidden/>
              </w:rPr>
              <w:fldChar w:fldCharType="end"/>
            </w:r>
          </w:hyperlink>
        </w:p>
        <w:p w14:paraId="3B48B0BC" w14:textId="01A28A4B" w:rsidR="00BB37BE" w:rsidRDefault="00A05F94">
          <w:pPr>
            <w:pStyle w:val="TDC2"/>
            <w:tabs>
              <w:tab w:val="right" w:leader="dot" w:pos="10338"/>
            </w:tabs>
            <w:rPr>
              <w:rFonts w:eastAsiaTheme="minorEastAsia"/>
              <w:smallCaps w:val="0"/>
              <w:noProof/>
              <w:sz w:val="22"/>
              <w:szCs w:val="22"/>
              <w:lang w:eastAsia="es-CO"/>
            </w:rPr>
          </w:pPr>
          <w:hyperlink w:anchor="_Toc8735044" w:history="1">
            <w:r w:rsidR="00BB37BE" w:rsidRPr="001E4CC7">
              <w:rPr>
                <w:rStyle w:val="Hipervnculo"/>
                <w:rFonts w:ascii="Arial" w:hAnsi="Arial" w:cs="Arial"/>
                <w:noProof/>
              </w:rPr>
              <w:t>4.3.1. Reconocimiento y medición inicial</w:t>
            </w:r>
            <w:r w:rsidR="00BB37BE">
              <w:rPr>
                <w:noProof/>
                <w:webHidden/>
              </w:rPr>
              <w:tab/>
            </w:r>
            <w:r w:rsidR="00BB37BE">
              <w:rPr>
                <w:noProof/>
                <w:webHidden/>
              </w:rPr>
              <w:fldChar w:fldCharType="begin"/>
            </w:r>
            <w:r w:rsidR="00BB37BE">
              <w:rPr>
                <w:noProof/>
                <w:webHidden/>
              </w:rPr>
              <w:instrText xml:space="preserve"> PAGEREF _Toc8735044 \h </w:instrText>
            </w:r>
            <w:r w:rsidR="00BB37BE">
              <w:rPr>
                <w:noProof/>
                <w:webHidden/>
              </w:rPr>
            </w:r>
            <w:r w:rsidR="00BB37BE">
              <w:rPr>
                <w:noProof/>
                <w:webHidden/>
              </w:rPr>
              <w:fldChar w:fldCharType="separate"/>
            </w:r>
            <w:r w:rsidR="00BB37BE">
              <w:rPr>
                <w:noProof/>
                <w:webHidden/>
              </w:rPr>
              <w:t>19</w:t>
            </w:r>
            <w:r w:rsidR="00BB37BE">
              <w:rPr>
                <w:noProof/>
                <w:webHidden/>
              </w:rPr>
              <w:fldChar w:fldCharType="end"/>
            </w:r>
          </w:hyperlink>
        </w:p>
        <w:p w14:paraId="6EB0FBC1" w14:textId="1D4F7564" w:rsidR="00BB37BE" w:rsidRDefault="00A05F94">
          <w:pPr>
            <w:pStyle w:val="TDC2"/>
            <w:tabs>
              <w:tab w:val="right" w:leader="dot" w:pos="10338"/>
            </w:tabs>
            <w:rPr>
              <w:rFonts w:eastAsiaTheme="minorEastAsia"/>
              <w:smallCaps w:val="0"/>
              <w:noProof/>
              <w:sz w:val="22"/>
              <w:szCs w:val="22"/>
              <w:lang w:eastAsia="es-CO"/>
            </w:rPr>
          </w:pPr>
          <w:hyperlink w:anchor="_Toc8735045" w:history="1">
            <w:r w:rsidR="00BB37BE" w:rsidRPr="001E4CC7">
              <w:rPr>
                <w:rStyle w:val="Hipervnculo"/>
                <w:rFonts w:ascii="Arial" w:hAnsi="Arial" w:cs="Arial"/>
                <w:noProof/>
              </w:rPr>
              <w:t>4.3.2. Reconocimiento y medición</w:t>
            </w:r>
            <w:r w:rsidR="00BB37BE">
              <w:rPr>
                <w:noProof/>
                <w:webHidden/>
              </w:rPr>
              <w:tab/>
            </w:r>
            <w:r w:rsidR="00BB37BE">
              <w:rPr>
                <w:noProof/>
                <w:webHidden/>
              </w:rPr>
              <w:fldChar w:fldCharType="begin"/>
            </w:r>
            <w:r w:rsidR="00BB37BE">
              <w:rPr>
                <w:noProof/>
                <w:webHidden/>
              </w:rPr>
              <w:instrText xml:space="preserve"> PAGEREF _Toc8735045 \h </w:instrText>
            </w:r>
            <w:r w:rsidR="00BB37BE">
              <w:rPr>
                <w:noProof/>
                <w:webHidden/>
              </w:rPr>
            </w:r>
            <w:r w:rsidR="00BB37BE">
              <w:rPr>
                <w:noProof/>
                <w:webHidden/>
              </w:rPr>
              <w:fldChar w:fldCharType="separate"/>
            </w:r>
            <w:r w:rsidR="00BB37BE">
              <w:rPr>
                <w:noProof/>
                <w:webHidden/>
              </w:rPr>
              <w:t>20</w:t>
            </w:r>
            <w:r w:rsidR="00BB37BE">
              <w:rPr>
                <w:noProof/>
                <w:webHidden/>
              </w:rPr>
              <w:fldChar w:fldCharType="end"/>
            </w:r>
          </w:hyperlink>
        </w:p>
        <w:p w14:paraId="16B704B1" w14:textId="733100A6" w:rsidR="00BB37BE" w:rsidRDefault="00A05F94">
          <w:pPr>
            <w:pStyle w:val="TDC2"/>
            <w:tabs>
              <w:tab w:val="right" w:leader="dot" w:pos="10338"/>
            </w:tabs>
            <w:rPr>
              <w:rFonts w:eastAsiaTheme="minorEastAsia"/>
              <w:smallCaps w:val="0"/>
              <w:noProof/>
              <w:sz w:val="22"/>
              <w:szCs w:val="22"/>
              <w:lang w:eastAsia="es-CO"/>
            </w:rPr>
          </w:pPr>
          <w:hyperlink w:anchor="_Toc8735046" w:history="1">
            <w:r w:rsidR="00BB37BE" w:rsidRPr="001E4CC7">
              <w:rPr>
                <w:rStyle w:val="Hipervnculo"/>
                <w:rFonts w:ascii="Arial" w:hAnsi="Arial" w:cs="Arial"/>
                <w:noProof/>
              </w:rPr>
              <w:t>4.3.3. Activos financieros</w:t>
            </w:r>
            <w:r w:rsidR="00BB37BE">
              <w:rPr>
                <w:noProof/>
                <w:webHidden/>
              </w:rPr>
              <w:tab/>
            </w:r>
            <w:r w:rsidR="00BB37BE">
              <w:rPr>
                <w:noProof/>
                <w:webHidden/>
              </w:rPr>
              <w:fldChar w:fldCharType="begin"/>
            </w:r>
            <w:r w:rsidR="00BB37BE">
              <w:rPr>
                <w:noProof/>
                <w:webHidden/>
              </w:rPr>
              <w:instrText xml:space="preserve"> PAGEREF _Toc8735046 \h </w:instrText>
            </w:r>
            <w:r w:rsidR="00BB37BE">
              <w:rPr>
                <w:noProof/>
                <w:webHidden/>
              </w:rPr>
            </w:r>
            <w:r w:rsidR="00BB37BE">
              <w:rPr>
                <w:noProof/>
                <w:webHidden/>
              </w:rPr>
              <w:fldChar w:fldCharType="separate"/>
            </w:r>
            <w:r w:rsidR="00BB37BE">
              <w:rPr>
                <w:noProof/>
                <w:webHidden/>
              </w:rPr>
              <w:t>21</w:t>
            </w:r>
            <w:r w:rsidR="00BB37BE">
              <w:rPr>
                <w:noProof/>
                <w:webHidden/>
              </w:rPr>
              <w:fldChar w:fldCharType="end"/>
            </w:r>
          </w:hyperlink>
        </w:p>
        <w:p w14:paraId="063BAB3C" w14:textId="0DDAD195" w:rsidR="00BB37BE" w:rsidRDefault="00A05F94">
          <w:pPr>
            <w:pStyle w:val="TDC2"/>
            <w:tabs>
              <w:tab w:val="right" w:leader="dot" w:pos="10338"/>
            </w:tabs>
            <w:rPr>
              <w:rFonts w:eastAsiaTheme="minorEastAsia"/>
              <w:smallCaps w:val="0"/>
              <w:noProof/>
              <w:sz w:val="22"/>
              <w:szCs w:val="22"/>
              <w:lang w:eastAsia="es-CO"/>
            </w:rPr>
          </w:pPr>
          <w:hyperlink w:anchor="_Toc8735047" w:history="1">
            <w:r w:rsidR="00BB37BE" w:rsidRPr="001E4CC7">
              <w:rPr>
                <w:rStyle w:val="Hipervnculo"/>
                <w:rFonts w:ascii="Arial" w:hAnsi="Arial" w:cs="Arial"/>
                <w:noProof/>
              </w:rPr>
              <w:t>4.3.4. Pasivos financieros</w:t>
            </w:r>
            <w:r w:rsidR="00BB37BE">
              <w:rPr>
                <w:noProof/>
                <w:webHidden/>
              </w:rPr>
              <w:tab/>
            </w:r>
            <w:r w:rsidR="00BB37BE">
              <w:rPr>
                <w:noProof/>
                <w:webHidden/>
              </w:rPr>
              <w:fldChar w:fldCharType="begin"/>
            </w:r>
            <w:r w:rsidR="00BB37BE">
              <w:rPr>
                <w:noProof/>
                <w:webHidden/>
              </w:rPr>
              <w:instrText xml:space="preserve"> PAGEREF _Toc8735047 \h </w:instrText>
            </w:r>
            <w:r w:rsidR="00BB37BE">
              <w:rPr>
                <w:noProof/>
                <w:webHidden/>
              </w:rPr>
            </w:r>
            <w:r w:rsidR="00BB37BE">
              <w:rPr>
                <w:noProof/>
                <w:webHidden/>
              </w:rPr>
              <w:fldChar w:fldCharType="separate"/>
            </w:r>
            <w:r w:rsidR="00BB37BE">
              <w:rPr>
                <w:noProof/>
                <w:webHidden/>
              </w:rPr>
              <w:t>24</w:t>
            </w:r>
            <w:r w:rsidR="00BB37BE">
              <w:rPr>
                <w:noProof/>
                <w:webHidden/>
              </w:rPr>
              <w:fldChar w:fldCharType="end"/>
            </w:r>
          </w:hyperlink>
        </w:p>
        <w:p w14:paraId="3A24C15D" w14:textId="03A7321E" w:rsidR="00BB37BE" w:rsidRDefault="00A05F94">
          <w:pPr>
            <w:pStyle w:val="TDC2"/>
            <w:tabs>
              <w:tab w:val="right" w:leader="dot" w:pos="10338"/>
            </w:tabs>
            <w:rPr>
              <w:rFonts w:eastAsiaTheme="minorEastAsia"/>
              <w:smallCaps w:val="0"/>
              <w:noProof/>
              <w:sz w:val="22"/>
              <w:szCs w:val="22"/>
              <w:lang w:eastAsia="es-CO"/>
            </w:rPr>
          </w:pPr>
          <w:hyperlink w:anchor="_Toc8735048" w:history="1">
            <w:r w:rsidR="00BB37BE" w:rsidRPr="001E4CC7">
              <w:rPr>
                <w:rStyle w:val="Hipervnculo"/>
                <w:rFonts w:ascii="Arial" w:hAnsi="Arial" w:cs="Arial"/>
                <w:noProof/>
              </w:rPr>
              <w:t>4.3.5. Costo amortizado y tasa de interés efectiva</w:t>
            </w:r>
            <w:r w:rsidR="00BB37BE">
              <w:rPr>
                <w:noProof/>
                <w:webHidden/>
              </w:rPr>
              <w:tab/>
            </w:r>
            <w:r w:rsidR="00BB37BE">
              <w:rPr>
                <w:noProof/>
                <w:webHidden/>
              </w:rPr>
              <w:fldChar w:fldCharType="begin"/>
            </w:r>
            <w:r w:rsidR="00BB37BE">
              <w:rPr>
                <w:noProof/>
                <w:webHidden/>
              </w:rPr>
              <w:instrText xml:space="preserve"> PAGEREF _Toc8735048 \h </w:instrText>
            </w:r>
            <w:r w:rsidR="00BB37BE">
              <w:rPr>
                <w:noProof/>
                <w:webHidden/>
              </w:rPr>
            </w:r>
            <w:r w:rsidR="00BB37BE">
              <w:rPr>
                <w:noProof/>
                <w:webHidden/>
              </w:rPr>
              <w:fldChar w:fldCharType="separate"/>
            </w:r>
            <w:r w:rsidR="00BB37BE">
              <w:rPr>
                <w:noProof/>
                <w:webHidden/>
              </w:rPr>
              <w:t>25</w:t>
            </w:r>
            <w:r w:rsidR="00BB37BE">
              <w:rPr>
                <w:noProof/>
                <w:webHidden/>
              </w:rPr>
              <w:fldChar w:fldCharType="end"/>
            </w:r>
          </w:hyperlink>
        </w:p>
        <w:p w14:paraId="2F1AD8D7" w14:textId="342369C5" w:rsidR="00BB37BE" w:rsidRDefault="00A05F94">
          <w:pPr>
            <w:pStyle w:val="TDC2"/>
            <w:tabs>
              <w:tab w:val="right" w:leader="dot" w:pos="10338"/>
            </w:tabs>
            <w:rPr>
              <w:rFonts w:eastAsiaTheme="minorEastAsia"/>
              <w:smallCaps w:val="0"/>
              <w:noProof/>
              <w:sz w:val="22"/>
              <w:szCs w:val="22"/>
              <w:lang w:eastAsia="es-CO"/>
            </w:rPr>
          </w:pPr>
          <w:hyperlink w:anchor="_Toc8735049" w:history="1">
            <w:r w:rsidR="00BB37BE" w:rsidRPr="001E4CC7">
              <w:rPr>
                <w:rStyle w:val="Hipervnculo"/>
                <w:rFonts w:ascii="Arial" w:hAnsi="Arial" w:cs="Arial"/>
                <w:noProof/>
              </w:rPr>
              <w:t>4.3.6. Ingresos por intereses</w:t>
            </w:r>
            <w:r w:rsidR="00BB37BE">
              <w:rPr>
                <w:noProof/>
                <w:webHidden/>
              </w:rPr>
              <w:tab/>
            </w:r>
            <w:r w:rsidR="00BB37BE">
              <w:rPr>
                <w:noProof/>
                <w:webHidden/>
              </w:rPr>
              <w:fldChar w:fldCharType="begin"/>
            </w:r>
            <w:r w:rsidR="00BB37BE">
              <w:rPr>
                <w:noProof/>
                <w:webHidden/>
              </w:rPr>
              <w:instrText xml:space="preserve"> PAGEREF _Toc8735049 \h </w:instrText>
            </w:r>
            <w:r w:rsidR="00BB37BE">
              <w:rPr>
                <w:noProof/>
                <w:webHidden/>
              </w:rPr>
            </w:r>
            <w:r w:rsidR="00BB37BE">
              <w:rPr>
                <w:noProof/>
                <w:webHidden/>
              </w:rPr>
              <w:fldChar w:fldCharType="separate"/>
            </w:r>
            <w:r w:rsidR="00BB37BE">
              <w:rPr>
                <w:noProof/>
                <w:webHidden/>
              </w:rPr>
              <w:t>25</w:t>
            </w:r>
            <w:r w:rsidR="00BB37BE">
              <w:rPr>
                <w:noProof/>
                <w:webHidden/>
              </w:rPr>
              <w:fldChar w:fldCharType="end"/>
            </w:r>
          </w:hyperlink>
        </w:p>
        <w:p w14:paraId="33FD7198" w14:textId="259BB146" w:rsidR="00BB37BE" w:rsidRDefault="00A05F94">
          <w:pPr>
            <w:pStyle w:val="TDC2"/>
            <w:tabs>
              <w:tab w:val="right" w:leader="dot" w:pos="10338"/>
            </w:tabs>
            <w:rPr>
              <w:rFonts w:eastAsiaTheme="minorEastAsia"/>
              <w:smallCaps w:val="0"/>
              <w:noProof/>
              <w:sz w:val="22"/>
              <w:szCs w:val="22"/>
              <w:lang w:eastAsia="es-CO"/>
            </w:rPr>
          </w:pPr>
          <w:hyperlink w:anchor="_Toc8735050" w:history="1">
            <w:r w:rsidR="00BB37BE" w:rsidRPr="001E4CC7">
              <w:rPr>
                <w:rStyle w:val="Hipervnculo"/>
                <w:rFonts w:ascii="Arial" w:hAnsi="Arial" w:cs="Arial"/>
                <w:noProof/>
              </w:rPr>
              <w:t>4.3.7. Compensación de instrumentos financieros</w:t>
            </w:r>
            <w:r w:rsidR="00BB37BE">
              <w:rPr>
                <w:noProof/>
                <w:webHidden/>
              </w:rPr>
              <w:tab/>
            </w:r>
            <w:r w:rsidR="00BB37BE">
              <w:rPr>
                <w:noProof/>
                <w:webHidden/>
              </w:rPr>
              <w:fldChar w:fldCharType="begin"/>
            </w:r>
            <w:r w:rsidR="00BB37BE">
              <w:rPr>
                <w:noProof/>
                <w:webHidden/>
              </w:rPr>
              <w:instrText xml:space="preserve"> PAGEREF _Toc8735050 \h </w:instrText>
            </w:r>
            <w:r w:rsidR="00BB37BE">
              <w:rPr>
                <w:noProof/>
                <w:webHidden/>
              </w:rPr>
            </w:r>
            <w:r w:rsidR="00BB37BE">
              <w:rPr>
                <w:noProof/>
                <w:webHidden/>
              </w:rPr>
              <w:fldChar w:fldCharType="separate"/>
            </w:r>
            <w:r w:rsidR="00BB37BE">
              <w:rPr>
                <w:noProof/>
                <w:webHidden/>
              </w:rPr>
              <w:t>25</w:t>
            </w:r>
            <w:r w:rsidR="00BB37BE">
              <w:rPr>
                <w:noProof/>
                <w:webHidden/>
              </w:rPr>
              <w:fldChar w:fldCharType="end"/>
            </w:r>
          </w:hyperlink>
        </w:p>
        <w:p w14:paraId="1CFBA49F" w14:textId="55135E38" w:rsidR="00BB37BE" w:rsidRDefault="00A05F94">
          <w:pPr>
            <w:pStyle w:val="TDC2"/>
            <w:tabs>
              <w:tab w:val="right" w:leader="dot" w:pos="10338"/>
            </w:tabs>
            <w:rPr>
              <w:rFonts w:eastAsiaTheme="minorEastAsia"/>
              <w:smallCaps w:val="0"/>
              <w:noProof/>
              <w:sz w:val="22"/>
              <w:szCs w:val="22"/>
              <w:lang w:eastAsia="es-CO"/>
            </w:rPr>
          </w:pPr>
          <w:hyperlink w:anchor="_Toc8735051" w:history="1">
            <w:r w:rsidR="00BB37BE" w:rsidRPr="001E4CC7">
              <w:rPr>
                <w:rStyle w:val="Hipervnculo"/>
                <w:rFonts w:ascii="Arial" w:hAnsi="Arial" w:cs="Arial"/>
                <w:noProof/>
              </w:rPr>
              <w:t>4.3.8. Valores razonables</w:t>
            </w:r>
            <w:r w:rsidR="00BB37BE">
              <w:rPr>
                <w:noProof/>
                <w:webHidden/>
              </w:rPr>
              <w:tab/>
            </w:r>
            <w:r w:rsidR="00BB37BE">
              <w:rPr>
                <w:noProof/>
                <w:webHidden/>
              </w:rPr>
              <w:fldChar w:fldCharType="begin"/>
            </w:r>
            <w:r w:rsidR="00BB37BE">
              <w:rPr>
                <w:noProof/>
                <w:webHidden/>
              </w:rPr>
              <w:instrText xml:space="preserve"> PAGEREF _Toc8735051 \h </w:instrText>
            </w:r>
            <w:r w:rsidR="00BB37BE">
              <w:rPr>
                <w:noProof/>
                <w:webHidden/>
              </w:rPr>
            </w:r>
            <w:r w:rsidR="00BB37BE">
              <w:rPr>
                <w:noProof/>
                <w:webHidden/>
              </w:rPr>
              <w:fldChar w:fldCharType="separate"/>
            </w:r>
            <w:r w:rsidR="00BB37BE">
              <w:rPr>
                <w:noProof/>
                <w:webHidden/>
              </w:rPr>
              <w:t>25</w:t>
            </w:r>
            <w:r w:rsidR="00BB37BE">
              <w:rPr>
                <w:noProof/>
                <w:webHidden/>
              </w:rPr>
              <w:fldChar w:fldCharType="end"/>
            </w:r>
          </w:hyperlink>
        </w:p>
        <w:p w14:paraId="7CE7176A" w14:textId="4EA5FAD5" w:rsidR="00BB37BE" w:rsidRDefault="00A05F94">
          <w:pPr>
            <w:pStyle w:val="TDC2"/>
            <w:tabs>
              <w:tab w:val="right" w:leader="dot" w:pos="10338"/>
            </w:tabs>
            <w:rPr>
              <w:rFonts w:eastAsiaTheme="minorEastAsia"/>
              <w:smallCaps w:val="0"/>
              <w:noProof/>
              <w:sz w:val="22"/>
              <w:szCs w:val="22"/>
              <w:lang w:eastAsia="es-CO"/>
            </w:rPr>
          </w:pPr>
          <w:hyperlink w:anchor="_Toc8735052" w:history="1">
            <w:r w:rsidR="00BB37BE" w:rsidRPr="001E4CC7">
              <w:rPr>
                <w:rStyle w:val="Hipervnculo"/>
                <w:rFonts w:ascii="Arial" w:hAnsi="Arial" w:cs="Arial"/>
                <w:noProof/>
              </w:rPr>
              <w:t>4.3.9. Deterioro de instrumentos financieros</w:t>
            </w:r>
            <w:r w:rsidR="00BB37BE">
              <w:rPr>
                <w:noProof/>
                <w:webHidden/>
              </w:rPr>
              <w:tab/>
            </w:r>
            <w:r w:rsidR="00BB37BE">
              <w:rPr>
                <w:noProof/>
                <w:webHidden/>
              </w:rPr>
              <w:fldChar w:fldCharType="begin"/>
            </w:r>
            <w:r w:rsidR="00BB37BE">
              <w:rPr>
                <w:noProof/>
                <w:webHidden/>
              </w:rPr>
              <w:instrText xml:space="preserve"> PAGEREF _Toc8735052 \h </w:instrText>
            </w:r>
            <w:r w:rsidR="00BB37BE">
              <w:rPr>
                <w:noProof/>
                <w:webHidden/>
              </w:rPr>
            </w:r>
            <w:r w:rsidR="00BB37BE">
              <w:rPr>
                <w:noProof/>
                <w:webHidden/>
              </w:rPr>
              <w:fldChar w:fldCharType="separate"/>
            </w:r>
            <w:r w:rsidR="00BB37BE">
              <w:rPr>
                <w:noProof/>
                <w:webHidden/>
              </w:rPr>
              <w:t>26</w:t>
            </w:r>
            <w:r w:rsidR="00BB37BE">
              <w:rPr>
                <w:noProof/>
                <w:webHidden/>
              </w:rPr>
              <w:fldChar w:fldCharType="end"/>
            </w:r>
          </w:hyperlink>
        </w:p>
        <w:p w14:paraId="487A2B6D" w14:textId="2DC3576A" w:rsidR="00BB37BE" w:rsidRDefault="00A05F94">
          <w:pPr>
            <w:pStyle w:val="TDC2"/>
            <w:tabs>
              <w:tab w:val="right" w:leader="dot" w:pos="10338"/>
            </w:tabs>
            <w:rPr>
              <w:rFonts w:eastAsiaTheme="minorEastAsia"/>
              <w:smallCaps w:val="0"/>
              <w:noProof/>
              <w:sz w:val="22"/>
              <w:szCs w:val="22"/>
              <w:lang w:eastAsia="es-CO"/>
            </w:rPr>
          </w:pPr>
          <w:hyperlink w:anchor="_Toc8735053" w:history="1">
            <w:r w:rsidR="00BB37BE" w:rsidRPr="001E4CC7">
              <w:rPr>
                <w:rStyle w:val="Hipervnculo"/>
                <w:rFonts w:ascii="Arial" w:hAnsi="Arial" w:cs="Arial"/>
                <w:noProof/>
              </w:rPr>
              <w:t>4.3.9.1. Activos financieros medidos a costo amortizado</w:t>
            </w:r>
            <w:r w:rsidR="00BB37BE">
              <w:rPr>
                <w:noProof/>
                <w:webHidden/>
              </w:rPr>
              <w:tab/>
            </w:r>
            <w:r w:rsidR="00BB37BE">
              <w:rPr>
                <w:noProof/>
                <w:webHidden/>
              </w:rPr>
              <w:fldChar w:fldCharType="begin"/>
            </w:r>
            <w:r w:rsidR="00BB37BE">
              <w:rPr>
                <w:noProof/>
                <w:webHidden/>
              </w:rPr>
              <w:instrText xml:space="preserve"> PAGEREF _Toc8735053 \h </w:instrText>
            </w:r>
            <w:r w:rsidR="00BB37BE">
              <w:rPr>
                <w:noProof/>
                <w:webHidden/>
              </w:rPr>
            </w:r>
            <w:r w:rsidR="00BB37BE">
              <w:rPr>
                <w:noProof/>
                <w:webHidden/>
              </w:rPr>
              <w:fldChar w:fldCharType="separate"/>
            </w:r>
            <w:r w:rsidR="00BB37BE">
              <w:rPr>
                <w:noProof/>
                <w:webHidden/>
              </w:rPr>
              <w:t>26</w:t>
            </w:r>
            <w:r w:rsidR="00BB37BE">
              <w:rPr>
                <w:noProof/>
                <w:webHidden/>
              </w:rPr>
              <w:fldChar w:fldCharType="end"/>
            </w:r>
          </w:hyperlink>
        </w:p>
        <w:p w14:paraId="11E0E06C" w14:textId="29978DC4" w:rsidR="00BB37BE" w:rsidRDefault="00A05F94">
          <w:pPr>
            <w:pStyle w:val="TDC2"/>
            <w:tabs>
              <w:tab w:val="right" w:leader="dot" w:pos="10338"/>
            </w:tabs>
            <w:rPr>
              <w:rFonts w:eastAsiaTheme="minorEastAsia"/>
              <w:smallCaps w:val="0"/>
              <w:noProof/>
              <w:sz w:val="22"/>
              <w:szCs w:val="22"/>
              <w:lang w:eastAsia="es-CO"/>
            </w:rPr>
          </w:pPr>
          <w:hyperlink w:anchor="_Toc8735054" w:history="1">
            <w:r w:rsidR="00BB37BE" w:rsidRPr="001E4CC7">
              <w:rPr>
                <w:rStyle w:val="Hipervnculo"/>
                <w:rFonts w:ascii="Arial" w:hAnsi="Arial" w:cs="Arial"/>
                <w:noProof/>
              </w:rPr>
              <w:t>4.4. Efectivo y equivalente al efectivo</w:t>
            </w:r>
            <w:r w:rsidR="00BB37BE">
              <w:rPr>
                <w:noProof/>
                <w:webHidden/>
              </w:rPr>
              <w:tab/>
            </w:r>
            <w:r w:rsidR="00BB37BE">
              <w:rPr>
                <w:noProof/>
                <w:webHidden/>
              </w:rPr>
              <w:fldChar w:fldCharType="begin"/>
            </w:r>
            <w:r w:rsidR="00BB37BE">
              <w:rPr>
                <w:noProof/>
                <w:webHidden/>
              </w:rPr>
              <w:instrText xml:space="preserve"> PAGEREF _Toc8735054 \h </w:instrText>
            </w:r>
            <w:r w:rsidR="00BB37BE">
              <w:rPr>
                <w:noProof/>
                <w:webHidden/>
              </w:rPr>
            </w:r>
            <w:r w:rsidR="00BB37BE">
              <w:rPr>
                <w:noProof/>
                <w:webHidden/>
              </w:rPr>
              <w:fldChar w:fldCharType="separate"/>
            </w:r>
            <w:r w:rsidR="00BB37BE">
              <w:rPr>
                <w:noProof/>
                <w:webHidden/>
              </w:rPr>
              <w:t>27</w:t>
            </w:r>
            <w:r w:rsidR="00BB37BE">
              <w:rPr>
                <w:noProof/>
                <w:webHidden/>
              </w:rPr>
              <w:fldChar w:fldCharType="end"/>
            </w:r>
          </w:hyperlink>
        </w:p>
        <w:p w14:paraId="7B0E5151" w14:textId="5AF4CE83" w:rsidR="00BB37BE" w:rsidRDefault="00A05F94">
          <w:pPr>
            <w:pStyle w:val="TDC2"/>
            <w:tabs>
              <w:tab w:val="right" w:leader="dot" w:pos="10338"/>
            </w:tabs>
            <w:rPr>
              <w:rFonts w:eastAsiaTheme="minorEastAsia"/>
              <w:smallCaps w:val="0"/>
              <w:noProof/>
              <w:sz w:val="22"/>
              <w:szCs w:val="22"/>
              <w:lang w:eastAsia="es-CO"/>
            </w:rPr>
          </w:pPr>
          <w:hyperlink w:anchor="_Toc8735055" w:history="1">
            <w:r w:rsidR="00BB37BE" w:rsidRPr="001E4CC7">
              <w:rPr>
                <w:rStyle w:val="Hipervnculo"/>
                <w:rFonts w:ascii="Arial" w:hAnsi="Arial" w:cs="Arial"/>
                <w:noProof/>
              </w:rPr>
              <w:t>4.5. Propiedades, planta y equipo</w:t>
            </w:r>
            <w:r w:rsidR="00BB37BE">
              <w:rPr>
                <w:noProof/>
                <w:webHidden/>
              </w:rPr>
              <w:tab/>
            </w:r>
            <w:r w:rsidR="00BB37BE">
              <w:rPr>
                <w:noProof/>
                <w:webHidden/>
              </w:rPr>
              <w:fldChar w:fldCharType="begin"/>
            </w:r>
            <w:r w:rsidR="00BB37BE">
              <w:rPr>
                <w:noProof/>
                <w:webHidden/>
              </w:rPr>
              <w:instrText xml:space="preserve"> PAGEREF _Toc8735055 \h </w:instrText>
            </w:r>
            <w:r w:rsidR="00BB37BE">
              <w:rPr>
                <w:noProof/>
                <w:webHidden/>
              </w:rPr>
            </w:r>
            <w:r w:rsidR="00BB37BE">
              <w:rPr>
                <w:noProof/>
                <w:webHidden/>
              </w:rPr>
              <w:fldChar w:fldCharType="separate"/>
            </w:r>
            <w:r w:rsidR="00BB37BE">
              <w:rPr>
                <w:noProof/>
                <w:webHidden/>
              </w:rPr>
              <w:t>27</w:t>
            </w:r>
            <w:r w:rsidR="00BB37BE">
              <w:rPr>
                <w:noProof/>
                <w:webHidden/>
              </w:rPr>
              <w:fldChar w:fldCharType="end"/>
            </w:r>
          </w:hyperlink>
        </w:p>
        <w:p w14:paraId="6F529891" w14:textId="5B31E7FF" w:rsidR="00BB37BE" w:rsidRDefault="00A05F94">
          <w:pPr>
            <w:pStyle w:val="TDC2"/>
            <w:tabs>
              <w:tab w:val="right" w:leader="dot" w:pos="10338"/>
            </w:tabs>
            <w:rPr>
              <w:rFonts w:eastAsiaTheme="minorEastAsia"/>
              <w:smallCaps w:val="0"/>
              <w:noProof/>
              <w:sz w:val="22"/>
              <w:szCs w:val="22"/>
              <w:lang w:eastAsia="es-CO"/>
            </w:rPr>
          </w:pPr>
          <w:hyperlink w:anchor="_Toc8735056" w:history="1">
            <w:r w:rsidR="00BB37BE" w:rsidRPr="001E4CC7">
              <w:rPr>
                <w:rStyle w:val="Hipervnculo"/>
                <w:rFonts w:ascii="Arial" w:hAnsi="Arial" w:cs="Arial"/>
                <w:noProof/>
              </w:rPr>
              <w:t>4.5.1. Reconocimiento y medición</w:t>
            </w:r>
            <w:r w:rsidR="00BB37BE">
              <w:rPr>
                <w:noProof/>
                <w:webHidden/>
              </w:rPr>
              <w:tab/>
            </w:r>
            <w:r w:rsidR="00BB37BE">
              <w:rPr>
                <w:noProof/>
                <w:webHidden/>
              </w:rPr>
              <w:fldChar w:fldCharType="begin"/>
            </w:r>
            <w:r w:rsidR="00BB37BE">
              <w:rPr>
                <w:noProof/>
                <w:webHidden/>
              </w:rPr>
              <w:instrText xml:space="preserve"> PAGEREF _Toc8735056 \h </w:instrText>
            </w:r>
            <w:r w:rsidR="00BB37BE">
              <w:rPr>
                <w:noProof/>
                <w:webHidden/>
              </w:rPr>
            </w:r>
            <w:r w:rsidR="00BB37BE">
              <w:rPr>
                <w:noProof/>
                <w:webHidden/>
              </w:rPr>
              <w:fldChar w:fldCharType="separate"/>
            </w:r>
            <w:r w:rsidR="00BB37BE">
              <w:rPr>
                <w:noProof/>
                <w:webHidden/>
              </w:rPr>
              <w:t>27</w:t>
            </w:r>
            <w:r w:rsidR="00BB37BE">
              <w:rPr>
                <w:noProof/>
                <w:webHidden/>
              </w:rPr>
              <w:fldChar w:fldCharType="end"/>
            </w:r>
          </w:hyperlink>
        </w:p>
        <w:p w14:paraId="4EB3F487" w14:textId="6A25D485" w:rsidR="00BB37BE" w:rsidRDefault="00A05F94">
          <w:pPr>
            <w:pStyle w:val="TDC2"/>
            <w:tabs>
              <w:tab w:val="right" w:leader="dot" w:pos="10338"/>
            </w:tabs>
            <w:rPr>
              <w:rFonts w:eastAsiaTheme="minorEastAsia"/>
              <w:smallCaps w:val="0"/>
              <w:noProof/>
              <w:sz w:val="22"/>
              <w:szCs w:val="22"/>
              <w:lang w:eastAsia="es-CO"/>
            </w:rPr>
          </w:pPr>
          <w:hyperlink w:anchor="_Toc8735057" w:history="1">
            <w:r w:rsidR="00BB37BE" w:rsidRPr="001E4CC7">
              <w:rPr>
                <w:rStyle w:val="Hipervnculo"/>
                <w:rFonts w:ascii="Arial" w:hAnsi="Arial" w:cs="Arial"/>
                <w:noProof/>
              </w:rPr>
              <w:t>4.5.2. Costos posteriores</w:t>
            </w:r>
            <w:r w:rsidR="00BB37BE">
              <w:rPr>
                <w:noProof/>
                <w:webHidden/>
              </w:rPr>
              <w:tab/>
            </w:r>
            <w:r w:rsidR="00BB37BE">
              <w:rPr>
                <w:noProof/>
                <w:webHidden/>
              </w:rPr>
              <w:fldChar w:fldCharType="begin"/>
            </w:r>
            <w:r w:rsidR="00BB37BE">
              <w:rPr>
                <w:noProof/>
                <w:webHidden/>
              </w:rPr>
              <w:instrText xml:space="preserve"> PAGEREF _Toc8735057 \h </w:instrText>
            </w:r>
            <w:r w:rsidR="00BB37BE">
              <w:rPr>
                <w:noProof/>
                <w:webHidden/>
              </w:rPr>
            </w:r>
            <w:r w:rsidR="00BB37BE">
              <w:rPr>
                <w:noProof/>
                <w:webHidden/>
              </w:rPr>
              <w:fldChar w:fldCharType="separate"/>
            </w:r>
            <w:r w:rsidR="00BB37BE">
              <w:rPr>
                <w:noProof/>
                <w:webHidden/>
              </w:rPr>
              <w:t>27</w:t>
            </w:r>
            <w:r w:rsidR="00BB37BE">
              <w:rPr>
                <w:noProof/>
                <w:webHidden/>
              </w:rPr>
              <w:fldChar w:fldCharType="end"/>
            </w:r>
          </w:hyperlink>
        </w:p>
        <w:p w14:paraId="68B8B0A3" w14:textId="0DAA03A6" w:rsidR="00BB37BE" w:rsidRDefault="00A05F94">
          <w:pPr>
            <w:pStyle w:val="TDC2"/>
            <w:tabs>
              <w:tab w:val="right" w:leader="dot" w:pos="10338"/>
            </w:tabs>
            <w:rPr>
              <w:rFonts w:eastAsiaTheme="minorEastAsia"/>
              <w:smallCaps w:val="0"/>
              <w:noProof/>
              <w:sz w:val="22"/>
              <w:szCs w:val="22"/>
              <w:lang w:eastAsia="es-CO"/>
            </w:rPr>
          </w:pPr>
          <w:hyperlink w:anchor="_Toc8735058" w:history="1">
            <w:r w:rsidR="00BB37BE" w:rsidRPr="001E4CC7">
              <w:rPr>
                <w:rStyle w:val="Hipervnculo"/>
                <w:rFonts w:ascii="Arial" w:hAnsi="Arial" w:cs="Arial"/>
                <w:noProof/>
              </w:rPr>
              <w:t>4.5.3. Depreciación</w:t>
            </w:r>
            <w:r w:rsidR="00BB37BE">
              <w:rPr>
                <w:noProof/>
                <w:webHidden/>
              </w:rPr>
              <w:tab/>
            </w:r>
            <w:r w:rsidR="00BB37BE">
              <w:rPr>
                <w:noProof/>
                <w:webHidden/>
              </w:rPr>
              <w:fldChar w:fldCharType="begin"/>
            </w:r>
            <w:r w:rsidR="00BB37BE">
              <w:rPr>
                <w:noProof/>
                <w:webHidden/>
              </w:rPr>
              <w:instrText xml:space="preserve"> PAGEREF _Toc8735058 \h </w:instrText>
            </w:r>
            <w:r w:rsidR="00BB37BE">
              <w:rPr>
                <w:noProof/>
                <w:webHidden/>
              </w:rPr>
            </w:r>
            <w:r w:rsidR="00BB37BE">
              <w:rPr>
                <w:noProof/>
                <w:webHidden/>
              </w:rPr>
              <w:fldChar w:fldCharType="separate"/>
            </w:r>
            <w:r w:rsidR="00BB37BE">
              <w:rPr>
                <w:noProof/>
                <w:webHidden/>
              </w:rPr>
              <w:t>27</w:t>
            </w:r>
            <w:r w:rsidR="00BB37BE">
              <w:rPr>
                <w:noProof/>
                <w:webHidden/>
              </w:rPr>
              <w:fldChar w:fldCharType="end"/>
            </w:r>
          </w:hyperlink>
        </w:p>
        <w:p w14:paraId="105D5601" w14:textId="5B097907" w:rsidR="00BB37BE" w:rsidRDefault="00A05F94">
          <w:pPr>
            <w:pStyle w:val="TDC2"/>
            <w:tabs>
              <w:tab w:val="right" w:leader="dot" w:pos="10338"/>
            </w:tabs>
            <w:rPr>
              <w:rFonts w:eastAsiaTheme="minorEastAsia"/>
              <w:smallCaps w:val="0"/>
              <w:noProof/>
              <w:sz w:val="22"/>
              <w:szCs w:val="22"/>
              <w:lang w:eastAsia="es-CO"/>
            </w:rPr>
          </w:pPr>
          <w:hyperlink w:anchor="_Toc8735059" w:history="1">
            <w:r w:rsidR="00BB37BE" w:rsidRPr="001E4CC7">
              <w:rPr>
                <w:rStyle w:val="Hipervnculo"/>
                <w:rFonts w:ascii="Arial" w:hAnsi="Arial" w:cs="Arial"/>
                <w:noProof/>
              </w:rPr>
              <w:t>4.6. Activos intangibles</w:t>
            </w:r>
            <w:r w:rsidR="00BB37BE">
              <w:rPr>
                <w:noProof/>
                <w:webHidden/>
              </w:rPr>
              <w:tab/>
            </w:r>
            <w:r w:rsidR="00BB37BE">
              <w:rPr>
                <w:noProof/>
                <w:webHidden/>
              </w:rPr>
              <w:fldChar w:fldCharType="begin"/>
            </w:r>
            <w:r w:rsidR="00BB37BE">
              <w:rPr>
                <w:noProof/>
                <w:webHidden/>
              </w:rPr>
              <w:instrText xml:space="preserve"> PAGEREF _Toc8735059 \h </w:instrText>
            </w:r>
            <w:r w:rsidR="00BB37BE">
              <w:rPr>
                <w:noProof/>
                <w:webHidden/>
              </w:rPr>
            </w:r>
            <w:r w:rsidR="00BB37BE">
              <w:rPr>
                <w:noProof/>
                <w:webHidden/>
              </w:rPr>
              <w:fldChar w:fldCharType="separate"/>
            </w:r>
            <w:r w:rsidR="00BB37BE">
              <w:rPr>
                <w:noProof/>
                <w:webHidden/>
              </w:rPr>
              <w:t>28</w:t>
            </w:r>
            <w:r w:rsidR="00BB37BE">
              <w:rPr>
                <w:noProof/>
                <w:webHidden/>
              </w:rPr>
              <w:fldChar w:fldCharType="end"/>
            </w:r>
          </w:hyperlink>
        </w:p>
        <w:p w14:paraId="67B91058" w14:textId="1B841488" w:rsidR="00BB37BE" w:rsidRDefault="00A05F94">
          <w:pPr>
            <w:pStyle w:val="TDC2"/>
            <w:tabs>
              <w:tab w:val="right" w:leader="dot" w:pos="10338"/>
            </w:tabs>
            <w:rPr>
              <w:rFonts w:eastAsiaTheme="minorEastAsia"/>
              <w:smallCaps w:val="0"/>
              <w:noProof/>
              <w:sz w:val="22"/>
              <w:szCs w:val="22"/>
              <w:lang w:eastAsia="es-CO"/>
            </w:rPr>
          </w:pPr>
          <w:hyperlink w:anchor="_Toc8735060" w:history="1">
            <w:r w:rsidR="00BB37BE" w:rsidRPr="001E4CC7">
              <w:rPr>
                <w:rStyle w:val="Hipervnculo"/>
                <w:rFonts w:ascii="Arial" w:hAnsi="Arial" w:cs="Arial"/>
                <w:noProof/>
              </w:rPr>
              <w:t>4.7. Acuerdo de concesión</w:t>
            </w:r>
            <w:r w:rsidR="00BB37BE">
              <w:rPr>
                <w:noProof/>
                <w:webHidden/>
              </w:rPr>
              <w:tab/>
            </w:r>
            <w:r w:rsidR="00BB37BE">
              <w:rPr>
                <w:noProof/>
                <w:webHidden/>
              </w:rPr>
              <w:fldChar w:fldCharType="begin"/>
            </w:r>
            <w:r w:rsidR="00BB37BE">
              <w:rPr>
                <w:noProof/>
                <w:webHidden/>
              </w:rPr>
              <w:instrText xml:space="preserve"> PAGEREF _Toc8735060 \h </w:instrText>
            </w:r>
            <w:r w:rsidR="00BB37BE">
              <w:rPr>
                <w:noProof/>
                <w:webHidden/>
              </w:rPr>
            </w:r>
            <w:r w:rsidR="00BB37BE">
              <w:rPr>
                <w:noProof/>
                <w:webHidden/>
              </w:rPr>
              <w:fldChar w:fldCharType="separate"/>
            </w:r>
            <w:r w:rsidR="00BB37BE">
              <w:rPr>
                <w:noProof/>
                <w:webHidden/>
              </w:rPr>
              <w:t>29</w:t>
            </w:r>
            <w:r w:rsidR="00BB37BE">
              <w:rPr>
                <w:noProof/>
                <w:webHidden/>
              </w:rPr>
              <w:fldChar w:fldCharType="end"/>
            </w:r>
          </w:hyperlink>
        </w:p>
        <w:p w14:paraId="41B4F1B6" w14:textId="33D047D7" w:rsidR="00BB37BE" w:rsidRDefault="00A05F94">
          <w:pPr>
            <w:pStyle w:val="TDC2"/>
            <w:tabs>
              <w:tab w:val="right" w:leader="dot" w:pos="10338"/>
            </w:tabs>
            <w:rPr>
              <w:rFonts w:eastAsiaTheme="minorEastAsia"/>
              <w:smallCaps w:val="0"/>
              <w:noProof/>
              <w:sz w:val="22"/>
              <w:szCs w:val="22"/>
              <w:lang w:eastAsia="es-CO"/>
            </w:rPr>
          </w:pPr>
          <w:hyperlink w:anchor="_Toc8735061" w:history="1">
            <w:r w:rsidR="00BB37BE" w:rsidRPr="001E4CC7">
              <w:rPr>
                <w:rStyle w:val="Hipervnculo"/>
                <w:rFonts w:ascii="Arial" w:hAnsi="Arial" w:cs="Arial"/>
                <w:noProof/>
              </w:rPr>
              <w:t>4.8. Activos no financieros</w:t>
            </w:r>
            <w:r w:rsidR="00BB37BE">
              <w:rPr>
                <w:noProof/>
                <w:webHidden/>
              </w:rPr>
              <w:tab/>
            </w:r>
            <w:r w:rsidR="00BB37BE">
              <w:rPr>
                <w:noProof/>
                <w:webHidden/>
              </w:rPr>
              <w:fldChar w:fldCharType="begin"/>
            </w:r>
            <w:r w:rsidR="00BB37BE">
              <w:rPr>
                <w:noProof/>
                <w:webHidden/>
              </w:rPr>
              <w:instrText xml:space="preserve"> PAGEREF _Toc8735061 \h </w:instrText>
            </w:r>
            <w:r w:rsidR="00BB37BE">
              <w:rPr>
                <w:noProof/>
                <w:webHidden/>
              </w:rPr>
            </w:r>
            <w:r w:rsidR="00BB37BE">
              <w:rPr>
                <w:noProof/>
                <w:webHidden/>
              </w:rPr>
              <w:fldChar w:fldCharType="separate"/>
            </w:r>
            <w:r w:rsidR="00BB37BE">
              <w:rPr>
                <w:noProof/>
                <w:webHidden/>
              </w:rPr>
              <w:t>30</w:t>
            </w:r>
            <w:r w:rsidR="00BB37BE">
              <w:rPr>
                <w:noProof/>
                <w:webHidden/>
              </w:rPr>
              <w:fldChar w:fldCharType="end"/>
            </w:r>
          </w:hyperlink>
        </w:p>
        <w:p w14:paraId="55A9A29D" w14:textId="08BC7B75" w:rsidR="00BB37BE" w:rsidRDefault="00A05F94">
          <w:pPr>
            <w:pStyle w:val="TDC2"/>
            <w:tabs>
              <w:tab w:val="right" w:leader="dot" w:pos="10338"/>
            </w:tabs>
            <w:rPr>
              <w:rFonts w:eastAsiaTheme="minorEastAsia"/>
              <w:smallCaps w:val="0"/>
              <w:noProof/>
              <w:sz w:val="22"/>
              <w:szCs w:val="22"/>
              <w:lang w:eastAsia="es-CO"/>
            </w:rPr>
          </w:pPr>
          <w:hyperlink w:anchor="_Toc8735062" w:history="1">
            <w:r w:rsidR="00BB37BE" w:rsidRPr="001E4CC7">
              <w:rPr>
                <w:rStyle w:val="Hipervnculo"/>
                <w:rFonts w:ascii="Arial" w:hAnsi="Arial" w:cs="Arial"/>
                <w:noProof/>
              </w:rPr>
              <w:t>4.9. Activos no corrientes clasificados como mantenidos para la venta</w:t>
            </w:r>
            <w:r w:rsidR="00BB37BE">
              <w:rPr>
                <w:noProof/>
                <w:webHidden/>
              </w:rPr>
              <w:tab/>
            </w:r>
            <w:r w:rsidR="00BB37BE">
              <w:rPr>
                <w:noProof/>
                <w:webHidden/>
              </w:rPr>
              <w:fldChar w:fldCharType="begin"/>
            </w:r>
            <w:r w:rsidR="00BB37BE">
              <w:rPr>
                <w:noProof/>
                <w:webHidden/>
              </w:rPr>
              <w:instrText xml:space="preserve"> PAGEREF _Toc8735062 \h </w:instrText>
            </w:r>
            <w:r w:rsidR="00BB37BE">
              <w:rPr>
                <w:noProof/>
                <w:webHidden/>
              </w:rPr>
            </w:r>
            <w:r w:rsidR="00BB37BE">
              <w:rPr>
                <w:noProof/>
                <w:webHidden/>
              </w:rPr>
              <w:fldChar w:fldCharType="separate"/>
            </w:r>
            <w:r w:rsidR="00BB37BE">
              <w:rPr>
                <w:noProof/>
                <w:webHidden/>
              </w:rPr>
              <w:t>30</w:t>
            </w:r>
            <w:r w:rsidR="00BB37BE">
              <w:rPr>
                <w:noProof/>
                <w:webHidden/>
              </w:rPr>
              <w:fldChar w:fldCharType="end"/>
            </w:r>
          </w:hyperlink>
        </w:p>
        <w:p w14:paraId="67D05685" w14:textId="059712AA" w:rsidR="00BB37BE" w:rsidRDefault="00A05F94">
          <w:pPr>
            <w:pStyle w:val="TDC2"/>
            <w:tabs>
              <w:tab w:val="right" w:leader="dot" w:pos="10338"/>
            </w:tabs>
            <w:rPr>
              <w:rFonts w:eastAsiaTheme="minorEastAsia"/>
              <w:smallCaps w:val="0"/>
              <w:noProof/>
              <w:sz w:val="22"/>
              <w:szCs w:val="22"/>
              <w:lang w:eastAsia="es-CO"/>
            </w:rPr>
          </w:pPr>
          <w:hyperlink w:anchor="_Toc8735063" w:history="1">
            <w:r w:rsidR="00BB37BE" w:rsidRPr="001E4CC7">
              <w:rPr>
                <w:rStyle w:val="Hipervnculo"/>
                <w:rFonts w:ascii="Arial" w:hAnsi="Arial" w:cs="Arial"/>
                <w:noProof/>
              </w:rPr>
              <w:t>4.10. Beneficios a los empleados</w:t>
            </w:r>
            <w:r w:rsidR="00BB37BE">
              <w:rPr>
                <w:noProof/>
                <w:webHidden/>
              </w:rPr>
              <w:tab/>
            </w:r>
            <w:r w:rsidR="00BB37BE">
              <w:rPr>
                <w:noProof/>
                <w:webHidden/>
              </w:rPr>
              <w:fldChar w:fldCharType="begin"/>
            </w:r>
            <w:r w:rsidR="00BB37BE">
              <w:rPr>
                <w:noProof/>
                <w:webHidden/>
              </w:rPr>
              <w:instrText xml:space="preserve"> PAGEREF _Toc8735063 \h </w:instrText>
            </w:r>
            <w:r w:rsidR="00BB37BE">
              <w:rPr>
                <w:noProof/>
                <w:webHidden/>
              </w:rPr>
            </w:r>
            <w:r w:rsidR="00BB37BE">
              <w:rPr>
                <w:noProof/>
                <w:webHidden/>
              </w:rPr>
              <w:fldChar w:fldCharType="separate"/>
            </w:r>
            <w:r w:rsidR="00BB37BE">
              <w:rPr>
                <w:noProof/>
                <w:webHidden/>
              </w:rPr>
              <w:t>31</w:t>
            </w:r>
            <w:r w:rsidR="00BB37BE">
              <w:rPr>
                <w:noProof/>
                <w:webHidden/>
              </w:rPr>
              <w:fldChar w:fldCharType="end"/>
            </w:r>
          </w:hyperlink>
        </w:p>
        <w:p w14:paraId="3E942553" w14:textId="2FBCAEC3" w:rsidR="00BB37BE" w:rsidRDefault="00A05F94">
          <w:pPr>
            <w:pStyle w:val="TDC2"/>
            <w:tabs>
              <w:tab w:val="right" w:leader="dot" w:pos="10338"/>
            </w:tabs>
            <w:rPr>
              <w:rFonts w:eastAsiaTheme="minorEastAsia"/>
              <w:smallCaps w:val="0"/>
              <w:noProof/>
              <w:sz w:val="22"/>
              <w:szCs w:val="22"/>
              <w:lang w:eastAsia="es-CO"/>
            </w:rPr>
          </w:pPr>
          <w:hyperlink w:anchor="_Toc8735064" w:history="1">
            <w:r w:rsidR="00BB37BE" w:rsidRPr="001E4CC7">
              <w:rPr>
                <w:rStyle w:val="Hipervnculo"/>
                <w:rFonts w:ascii="Arial" w:hAnsi="Arial" w:cs="Arial"/>
                <w:noProof/>
              </w:rPr>
              <w:t>4.10.1. Beneficios a corto plazo</w:t>
            </w:r>
            <w:r w:rsidR="00BB37BE">
              <w:rPr>
                <w:noProof/>
                <w:webHidden/>
              </w:rPr>
              <w:tab/>
            </w:r>
            <w:r w:rsidR="00BB37BE">
              <w:rPr>
                <w:noProof/>
                <w:webHidden/>
              </w:rPr>
              <w:fldChar w:fldCharType="begin"/>
            </w:r>
            <w:r w:rsidR="00BB37BE">
              <w:rPr>
                <w:noProof/>
                <w:webHidden/>
              </w:rPr>
              <w:instrText xml:space="preserve"> PAGEREF _Toc8735064 \h </w:instrText>
            </w:r>
            <w:r w:rsidR="00BB37BE">
              <w:rPr>
                <w:noProof/>
                <w:webHidden/>
              </w:rPr>
            </w:r>
            <w:r w:rsidR="00BB37BE">
              <w:rPr>
                <w:noProof/>
                <w:webHidden/>
              </w:rPr>
              <w:fldChar w:fldCharType="separate"/>
            </w:r>
            <w:r w:rsidR="00BB37BE">
              <w:rPr>
                <w:noProof/>
                <w:webHidden/>
              </w:rPr>
              <w:t>31</w:t>
            </w:r>
            <w:r w:rsidR="00BB37BE">
              <w:rPr>
                <w:noProof/>
                <w:webHidden/>
              </w:rPr>
              <w:fldChar w:fldCharType="end"/>
            </w:r>
          </w:hyperlink>
        </w:p>
        <w:p w14:paraId="5468C867" w14:textId="573A4571" w:rsidR="00BB37BE" w:rsidRDefault="00A05F94">
          <w:pPr>
            <w:pStyle w:val="TDC2"/>
            <w:tabs>
              <w:tab w:val="right" w:leader="dot" w:pos="10338"/>
            </w:tabs>
            <w:rPr>
              <w:rFonts w:eastAsiaTheme="minorEastAsia"/>
              <w:smallCaps w:val="0"/>
              <w:noProof/>
              <w:sz w:val="22"/>
              <w:szCs w:val="22"/>
              <w:lang w:eastAsia="es-CO"/>
            </w:rPr>
          </w:pPr>
          <w:hyperlink w:anchor="_Toc8735065" w:history="1">
            <w:r w:rsidR="00BB37BE" w:rsidRPr="001E4CC7">
              <w:rPr>
                <w:rStyle w:val="Hipervnculo"/>
                <w:rFonts w:ascii="Arial" w:hAnsi="Arial" w:cs="Arial"/>
                <w:noProof/>
              </w:rPr>
              <w:t>4.10.2. Planes de beneficios definidos</w:t>
            </w:r>
            <w:r w:rsidR="00BB37BE">
              <w:rPr>
                <w:noProof/>
                <w:webHidden/>
              </w:rPr>
              <w:tab/>
            </w:r>
            <w:r w:rsidR="00BB37BE">
              <w:rPr>
                <w:noProof/>
                <w:webHidden/>
              </w:rPr>
              <w:fldChar w:fldCharType="begin"/>
            </w:r>
            <w:r w:rsidR="00BB37BE">
              <w:rPr>
                <w:noProof/>
                <w:webHidden/>
              </w:rPr>
              <w:instrText xml:space="preserve"> PAGEREF _Toc8735065 \h </w:instrText>
            </w:r>
            <w:r w:rsidR="00BB37BE">
              <w:rPr>
                <w:noProof/>
                <w:webHidden/>
              </w:rPr>
            </w:r>
            <w:r w:rsidR="00BB37BE">
              <w:rPr>
                <w:noProof/>
                <w:webHidden/>
              </w:rPr>
              <w:fldChar w:fldCharType="separate"/>
            </w:r>
            <w:r w:rsidR="00BB37BE">
              <w:rPr>
                <w:noProof/>
                <w:webHidden/>
              </w:rPr>
              <w:t>31</w:t>
            </w:r>
            <w:r w:rsidR="00BB37BE">
              <w:rPr>
                <w:noProof/>
                <w:webHidden/>
              </w:rPr>
              <w:fldChar w:fldCharType="end"/>
            </w:r>
          </w:hyperlink>
        </w:p>
        <w:p w14:paraId="52DCFCCC" w14:textId="764B950B" w:rsidR="00BB37BE" w:rsidRDefault="00A05F94">
          <w:pPr>
            <w:pStyle w:val="TDC2"/>
            <w:tabs>
              <w:tab w:val="right" w:leader="dot" w:pos="10338"/>
            </w:tabs>
            <w:rPr>
              <w:rFonts w:eastAsiaTheme="minorEastAsia"/>
              <w:smallCaps w:val="0"/>
              <w:noProof/>
              <w:sz w:val="22"/>
              <w:szCs w:val="22"/>
              <w:lang w:eastAsia="es-CO"/>
            </w:rPr>
          </w:pPr>
          <w:hyperlink w:anchor="_Toc8735066" w:history="1">
            <w:r w:rsidR="00BB37BE" w:rsidRPr="001E4CC7">
              <w:rPr>
                <w:rStyle w:val="Hipervnculo"/>
                <w:rFonts w:ascii="Arial" w:hAnsi="Arial" w:cs="Arial"/>
                <w:noProof/>
              </w:rPr>
              <w:t>4.10.3. Planes de aportaciones definidas</w:t>
            </w:r>
            <w:r w:rsidR="00BB37BE">
              <w:rPr>
                <w:noProof/>
                <w:webHidden/>
              </w:rPr>
              <w:tab/>
            </w:r>
            <w:r w:rsidR="00BB37BE">
              <w:rPr>
                <w:noProof/>
                <w:webHidden/>
              </w:rPr>
              <w:fldChar w:fldCharType="begin"/>
            </w:r>
            <w:r w:rsidR="00BB37BE">
              <w:rPr>
                <w:noProof/>
                <w:webHidden/>
              </w:rPr>
              <w:instrText xml:space="preserve"> PAGEREF _Toc8735066 \h </w:instrText>
            </w:r>
            <w:r w:rsidR="00BB37BE">
              <w:rPr>
                <w:noProof/>
                <w:webHidden/>
              </w:rPr>
            </w:r>
            <w:r w:rsidR="00BB37BE">
              <w:rPr>
                <w:noProof/>
                <w:webHidden/>
              </w:rPr>
              <w:fldChar w:fldCharType="separate"/>
            </w:r>
            <w:r w:rsidR="00BB37BE">
              <w:rPr>
                <w:noProof/>
                <w:webHidden/>
              </w:rPr>
              <w:t>31</w:t>
            </w:r>
            <w:r w:rsidR="00BB37BE">
              <w:rPr>
                <w:noProof/>
                <w:webHidden/>
              </w:rPr>
              <w:fldChar w:fldCharType="end"/>
            </w:r>
          </w:hyperlink>
        </w:p>
        <w:p w14:paraId="02DAEEBC" w14:textId="0C10CDE3" w:rsidR="00BB37BE" w:rsidRDefault="00A05F94">
          <w:pPr>
            <w:pStyle w:val="TDC2"/>
            <w:tabs>
              <w:tab w:val="right" w:leader="dot" w:pos="10338"/>
            </w:tabs>
            <w:rPr>
              <w:rFonts w:eastAsiaTheme="minorEastAsia"/>
              <w:smallCaps w:val="0"/>
              <w:noProof/>
              <w:sz w:val="22"/>
              <w:szCs w:val="22"/>
              <w:lang w:eastAsia="es-CO"/>
            </w:rPr>
          </w:pPr>
          <w:hyperlink w:anchor="_Toc8735067" w:history="1">
            <w:r w:rsidR="00BB37BE" w:rsidRPr="001E4CC7">
              <w:rPr>
                <w:rStyle w:val="Hipervnculo"/>
                <w:rFonts w:ascii="Arial" w:hAnsi="Arial" w:cs="Arial"/>
                <w:noProof/>
              </w:rPr>
              <w:t>4.10.4. Beneficios por terminación</w:t>
            </w:r>
            <w:r w:rsidR="00BB37BE">
              <w:rPr>
                <w:noProof/>
                <w:webHidden/>
              </w:rPr>
              <w:tab/>
            </w:r>
            <w:r w:rsidR="00BB37BE">
              <w:rPr>
                <w:noProof/>
                <w:webHidden/>
              </w:rPr>
              <w:fldChar w:fldCharType="begin"/>
            </w:r>
            <w:r w:rsidR="00BB37BE">
              <w:rPr>
                <w:noProof/>
                <w:webHidden/>
              </w:rPr>
              <w:instrText xml:space="preserve"> PAGEREF _Toc8735067 \h </w:instrText>
            </w:r>
            <w:r w:rsidR="00BB37BE">
              <w:rPr>
                <w:noProof/>
                <w:webHidden/>
              </w:rPr>
            </w:r>
            <w:r w:rsidR="00BB37BE">
              <w:rPr>
                <w:noProof/>
                <w:webHidden/>
              </w:rPr>
              <w:fldChar w:fldCharType="separate"/>
            </w:r>
            <w:r w:rsidR="00BB37BE">
              <w:rPr>
                <w:noProof/>
                <w:webHidden/>
              </w:rPr>
              <w:t>32</w:t>
            </w:r>
            <w:r w:rsidR="00BB37BE">
              <w:rPr>
                <w:noProof/>
                <w:webHidden/>
              </w:rPr>
              <w:fldChar w:fldCharType="end"/>
            </w:r>
          </w:hyperlink>
        </w:p>
        <w:p w14:paraId="240566DC" w14:textId="37E89359" w:rsidR="00BB37BE" w:rsidRDefault="00A05F94">
          <w:pPr>
            <w:pStyle w:val="TDC2"/>
            <w:tabs>
              <w:tab w:val="right" w:leader="dot" w:pos="10338"/>
            </w:tabs>
            <w:rPr>
              <w:rFonts w:eastAsiaTheme="minorEastAsia"/>
              <w:smallCaps w:val="0"/>
              <w:noProof/>
              <w:sz w:val="22"/>
              <w:szCs w:val="22"/>
              <w:lang w:eastAsia="es-CO"/>
            </w:rPr>
          </w:pPr>
          <w:hyperlink w:anchor="_Toc8735068" w:history="1">
            <w:r w:rsidR="00BB37BE" w:rsidRPr="001E4CC7">
              <w:rPr>
                <w:rStyle w:val="Hipervnculo"/>
                <w:rFonts w:ascii="Arial" w:hAnsi="Arial" w:cs="Arial"/>
                <w:noProof/>
              </w:rPr>
              <w:t>4.11. Provisiones</w:t>
            </w:r>
            <w:r w:rsidR="00BB37BE">
              <w:rPr>
                <w:noProof/>
                <w:webHidden/>
              </w:rPr>
              <w:tab/>
            </w:r>
            <w:r w:rsidR="00BB37BE">
              <w:rPr>
                <w:noProof/>
                <w:webHidden/>
              </w:rPr>
              <w:fldChar w:fldCharType="begin"/>
            </w:r>
            <w:r w:rsidR="00BB37BE">
              <w:rPr>
                <w:noProof/>
                <w:webHidden/>
              </w:rPr>
              <w:instrText xml:space="preserve"> PAGEREF _Toc8735068 \h </w:instrText>
            </w:r>
            <w:r w:rsidR="00BB37BE">
              <w:rPr>
                <w:noProof/>
                <w:webHidden/>
              </w:rPr>
            </w:r>
            <w:r w:rsidR="00BB37BE">
              <w:rPr>
                <w:noProof/>
                <w:webHidden/>
              </w:rPr>
              <w:fldChar w:fldCharType="separate"/>
            </w:r>
            <w:r w:rsidR="00BB37BE">
              <w:rPr>
                <w:noProof/>
                <w:webHidden/>
              </w:rPr>
              <w:t>32</w:t>
            </w:r>
            <w:r w:rsidR="00BB37BE">
              <w:rPr>
                <w:noProof/>
                <w:webHidden/>
              </w:rPr>
              <w:fldChar w:fldCharType="end"/>
            </w:r>
          </w:hyperlink>
        </w:p>
        <w:p w14:paraId="7E47C11D" w14:textId="1247AB24" w:rsidR="00BB37BE" w:rsidRDefault="00A05F94">
          <w:pPr>
            <w:pStyle w:val="TDC2"/>
            <w:tabs>
              <w:tab w:val="right" w:leader="dot" w:pos="10338"/>
            </w:tabs>
            <w:rPr>
              <w:rFonts w:eastAsiaTheme="minorEastAsia"/>
              <w:smallCaps w:val="0"/>
              <w:noProof/>
              <w:sz w:val="22"/>
              <w:szCs w:val="22"/>
              <w:lang w:eastAsia="es-CO"/>
            </w:rPr>
          </w:pPr>
          <w:hyperlink w:anchor="_Toc8735069" w:history="1">
            <w:r w:rsidR="00BB37BE" w:rsidRPr="001E4CC7">
              <w:rPr>
                <w:rStyle w:val="Hipervnculo"/>
                <w:rFonts w:ascii="Arial" w:hAnsi="Arial" w:cs="Arial"/>
                <w:noProof/>
              </w:rPr>
              <w:t>4.11.1. Litigios</w:t>
            </w:r>
            <w:r w:rsidR="00BB37BE">
              <w:rPr>
                <w:noProof/>
                <w:webHidden/>
              </w:rPr>
              <w:tab/>
            </w:r>
            <w:r w:rsidR="00BB37BE">
              <w:rPr>
                <w:noProof/>
                <w:webHidden/>
              </w:rPr>
              <w:fldChar w:fldCharType="begin"/>
            </w:r>
            <w:r w:rsidR="00BB37BE">
              <w:rPr>
                <w:noProof/>
                <w:webHidden/>
              </w:rPr>
              <w:instrText xml:space="preserve"> PAGEREF _Toc8735069 \h </w:instrText>
            </w:r>
            <w:r w:rsidR="00BB37BE">
              <w:rPr>
                <w:noProof/>
                <w:webHidden/>
              </w:rPr>
            </w:r>
            <w:r w:rsidR="00BB37BE">
              <w:rPr>
                <w:noProof/>
                <w:webHidden/>
              </w:rPr>
              <w:fldChar w:fldCharType="separate"/>
            </w:r>
            <w:r w:rsidR="00BB37BE">
              <w:rPr>
                <w:noProof/>
                <w:webHidden/>
              </w:rPr>
              <w:t>32</w:t>
            </w:r>
            <w:r w:rsidR="00BB37BE">
              <w:rPr>
                <w:noProof/>
                <w:webHidden/>
              </w:rPr>
              <w:fldChar w:fldCharType="end"/>
            </w:r>
          </w:hyperlink>
        </w:p>
        <w:p w14:paraId="21C87969" w14:textId="5AA63D8B" w:rsidR="00BB37BE" w:rsidRDefault="00A05F94">
          <w:pPr>
            <w:pStyle w:val="TDC2"/>
            <w:tabs>
              <w:tab w:val="right" w:leader="dot" w:pos="10338"/>
            </w:tabs>
            <w:rPr>
              <w:rFonts w:eastAsiaTheme="minorEastAsia"/>
              <w:smallCaps w:val="0"/>
              <w:noProof/>
              <w:sz w:val="22"/>
              <w:szCs w:val="22"/>
              <w:lang w:eastAsia="es-CO"/>
            </w:rPr>
          </w:pPr>
          <w:hyperlink w:anchor="_Toc8735070" w:history="1">
            <w:r w:rsidR="00BB37BE" w:rsidRPr="001E4CC7">
              <w:rPr>
                <w:rStyle w:val="Hipervnculo"/>
                <w:rFonts w:ascii="Arial" w:hAnsi="Arial" w:cs="Arial"/>
                <w:noProof/>
              </w:rPr>
              <w:t>4.11.2. Contratos de carácter oneroso</w:t>
            </w:r>
            <w:r w:rsidR="00BB37BE">
              <w:rPr>
                <w:noProof/>
                <w:webHidden/>
              </w:rPr>
              <w:tab/>
            </w:r>
            <w:r w:rsidR="00BB37BE">
              <w:rPr>
                <w:noProof/>
                <w:webHidden/>
              </w:rPr>
              <w:fldChar w:fldCharType="begin"/>
            </w:r>
            <w:r w:rsidR="00BB37BE">
              <w:rPr>
                <w:noProof/>
                <w:webHidden/>
              </w:rPr>
              <w:instrText xml:space="preserve"> PAGEREF _Toc8735070 \h </w:instrText>
            </w:r>
            <w:r w:rsidR="00BB37BE">
              <w:rPr>
                <w:noProof/>
                <w:webHidden/>
              </w:rPr>
            </w:r>
            <w:r w:rsidR="00BB37BE">
              <w:rPr>
                <w:noProof/>
                <w:webHidden/>
              </w:rPr>
              <w:fldChar w:fldCharType="separate"/>
            </w:r>
            <w:r w:rsidR="00BB37BE">
              <w:rPr>
                <w:noProof/>
                <w:webHidden/>
              </w:rPr>
              <w:t>32</w:t>
            </w:r>
            <w:r w:rsidR="00BB37BE">
              <w:rPr>
                <w:noProof/>
                <w:webHidden/>
              </w:rPr>
              <w:fldChar w:fldCharType="end"/>
            </w:r>
          </w:hyperlink>
        </w:p>
        <w:p w14:paraId="22E67EFF" w14:textId="3E276864" w:rsidR="00BB37BE" w:rsidRDefault="00A05F94">
          <w:pPr>
            <w:pStyle w:val="TDC2"/>
            <w:tabs>
              <w:tab w:val="right" w:leader="dot" w:pos="10338"/>
            </w:tabs>
            <w:rPr>
              <w:rFonts w:eastAsiaTheme="minorEastAsia"/>
              <w:smallCaps w:val="0"/>
              <w:noProof/>
              <w:sz w:val="22"/>
              <w:szCs w:val="22"/>
              <w:lang w:eastAsia="es-CO"/>
            </w:rPr>
          </w:pPr>
          <w:hyperlink w:anchor="_Toc8735071" w:history="1">
            <w:r w:rsidR="00BB37BE" w:rsidRPr="001E4CC7">
              <w:rPr>
                <w:rStyle w:val="Hipervnculo"/>
                <w:rFonts w:ascii="Arial" w:hAnsi="Arial" w:cs="Arial"/>
                <w:noProof/>
              </w:rPr>
              <w:t>4.11.3. Mantenimiento mayor</w:t>
            </w:r>
            <w:r w:rsidR="00BB37BE">
              <w:rPr>
                <w:noProof/>
                <w:webHidden/>
              </w:rPr>
              <w:tab/>
            </w:r>
            <w:r w:rsidR="00BB37BE">
              <w:rPr>
                <w:noProof/>
                <w:webHidden/>
              </w:rPr>
              <w:fldChar w:fldCharType="begin"/>
            </w:r>
            <w:r w:rsidR="00BB37BE">
              <w:rPr>
                <w:noProof/>
                <w:webHidden/>
              </w:rPr>
              <w:instrText xml:space="preserve"> PAGEREF _Toc8735071 \h </w:instrText>
            </w:r>
            <w:r w:rsidR="00BB37BE">
              <w:rPr>
                <w:noProof/>
                <w:webHidden/>
              </w:rPr>
            </w:r>
            <w:r w:rsidR="00BB37BE">
              <w:rPr>
                <w:noProof/>
                <w:webHidden/>
              </w:rPr>
              <w:fldChar w:fldCharType="separate"/>
            </w:r>
            <w:r w:rsidR="00BB37BE">
              <w:rPr>
                <w:noProof/>
                <w:webHidden/>
              </w:rPr>
              <w:t>32</w:t>
            </w:r>
            <w:r w:rsidR="00BB37BE">
              <w:rPr>
                <w:noProof/>
                <w:webHidden/>
              </w:rPr>
              <w:fldChar w:fldCharType="end"/>
            </w:r>
          </w:hyperlink>
        </w:p>
        <w:p w14:paraId="7FA2CBE8" w14:textId="4EABA3B6" w:rsidR="00BB37BE" w:rsidRDefault="00A05F94">
          <w:pPr>
            <w:pStyle w:val="TDC2"/>
            <w:tabs>
              <w:tab w:val="right" w:leader="dot" w:pos="10338"/>
            </w:tabs>
            <w:rPr>
              <w:rFonts w:eastAsiaTheme="minorEastAsia"/>
              <w:smallCaps w:val="0"/>
              <w:noProof/>
              <w:sz w:val="22"/>
              <w:szCs w:val="22"/>
              <w:lang w:eastAsia="es-CO"/>
            </w:rPr>
          </w:pPr>
          <w:hyperlink w:anchor="_Toc8735072" w:history="1">
            <w:r w:rsidR="00BB37BE" w:rsidRPr="001E4CC7">
              <w:rPr>
                <w:rStyle w:val="Hipervnculo"/>
                <w:rFonts w:ascii="Arial" w:hAnsi="Arial" w:cs="Arial"/>
                <w:noProof/>
              </w:rPr>
              <w:t>4.12. Capital social / acciones comunes</w:t>
            </w:r>
            <w:r w:rsidR="00BB37BE">
              <w:rPr>
                <w:noProof/>
                <w:webHidden/>
              </w:rPr>
              <w:tab/>
            </w:r>
            <w:r w:rsidR="00BB37BE">
              <w:rPr>
                <w:noProof/>
                <w:webHidden/>
              </w:rPr>
              <w:fldChar w:fldCharType="begin"/>
            </w:r>
            <w:r w:rsidR="00BB37BE">
              <w:rPr>
                <w:noProof/>
                <w:webHidden/>
              </w:rPr>
              <w:instrText xml:space="preserve"> PAGEREF _Toc8735072 \h </w:instrText>
            </w:r>
            <w:r w:rsidR="00BB37BE">
              <w:rPr>
                <w:noProof/>
                <w:webHidden/>
              </w:rPr>
            </w:r>
            <w:r w:rsidR="00BB37BE">
              <w:rPr>
                <w:noProof/>
                <w:webHidden/>
              </w:rPr>
              <w:fldChar w:fldCharType="separate"/>
            </w:r>
            <w:r w:rsidR="00BB37BE">
              <w:rPr>
                <w:noProof/>
                <w:webHidden/>
              </w:rPr>
              <w:t>32</w:t>
            </w:r>
            <w:r w:rsidR="00BB37BE">
              <w:rPr>
                <w:noProof/>
                <w:webHidden/>
              </w:rPr>
              <w:fldChar w:fldCharType="end"/>
            </w:r>
          </w:hyperlink>
        </w:p>
        <w:p w14:paraId="23758A3B" w14:textId="1FACCF06" w:rsidR="00BB37BE" w:rsidRDefault="00A05F94">
          <w:pPr>
            <w:pStyle w:val="TDC2"/>
            <w:tabs>
              <w:tab w:val="right" w:leader="dot" w:pos="10338"/>
            </w:tabs>
            <w:rPr>
              <w:rFonts w:eastAsiaTheme="minorEastAsia"/>
              <w:smallCaps w:val="0"/>
              <w:noProof/>
              <w:sz w:val="22"/>
              <w:szCs w:val="22"/>
              <w:lang w:eastAsia="es-CO"/>
            </w:rPr>
          </w:pPr>
          <w:hyperlink w:anchor="_Toc8735073" w:history="1">
            <w:r w:rsidR="00BB37BE" w:rsidRPr="001E4CC7">
              <w:rPr>
                <w:rStyle w:val="Hipervnculo"/>
                <w:rFonts w:ascii="Arial" w:hAnsi="Arial" w:cs="Arial"/>
                <w:noProof/>
              </w:rPr>
              <w:t>4.13. Ingresos por contratos con clientes</w:t>
            </w:r>
            <w:r w:rsidR="00BB37BE">
              <w:rPr>
                <w:noProof/>
                <w:webHidden/>
              </w:rPr>
              <w:tab/>
            </w:r>
            <w:r w:rsidR="00BB37BE">
              <w:rPr>
                <w:noProof/>
                <w:webHidden/>
              </w:rPr>
              <w:fldChar w:fldCharType="begin"/>
            </w:r>
            <w:r w:rsidR="00BB37BE">
              <w:rPr>
                <w:noProof/>
                <w:webHidden/>
              </w:rPr>
              <w:instrText xml:space="preserve"> PAGEREF _Toc8735073 \h </w:instrText>
            </w:r>
            <w:r w:rsidR="00BB37BE">
              <w:rPr>
                <w:noProof/>
                <w:webHidden/>
              </w:rPr>
            </w:r>
            <w:r w:rsidR="00BB37BE">
              <w:rPr>
                <w:noProof/>
                <w:webHidden/>
              </w:rPr>
              <w:fldChar w:fldCharType="separate"/>
            </w:r>
            <w:r w:rsidR="00BB37BE">
              <w:rPr>
                <w:noProof/>
                <w:webHidden/>
              </w:rPr>
              <w:t>32</w:t>
            </w:r>
            <w:r w:rsidR="00BB37BE">
              <w:rPr>
                <w:noProof/>
                <w:webHidden/>
              </w:rPr>
              <w:fldChar w:fldCharType="end"/>
            </w:r>
          </w:hyperlink>
        </w:p>
        <w:p w14:paraId="6F44B227" w14:textId="4C100096" w:rsidR="00BB37BE" w:rsidRDefault="00A05F94">
          <w:pPr>
            <w:pStyle w:val="TDC2"/>
            <w:tabs>
              <w:tab w:val="right" w:leader="dot" w:pos="10338"/>
            </w:tabs>
            <w:rPr>
              <w:rFonts w:eastAsiaTheme="minorEastAsia"/>
              <w:smallCaps w:val="0"/>
              <w:noProof/>
              <w:sz w:val="22"/>
              <w:szCs w:val="22"/>
              <w:lang w:eastAsia="es-CO"/>
            </w:rPr>
          </w:pPr>
          <w:hyperlink w:anchor="_Toc8735074" w:history="1">
            <w:r w:rsidR="00BB37BE" w:rsidRPr="001E4CC7">
              <w:rPr>
                <w:rStyle w:val="Hipervnculo"/>
                <w:rFonts w:ascii="Arial" w:hAnsi="Arial" w:cs="Arial"/>
                <w:noProof/>
              </w:rPr>
              <w:t>4.13.1. Activos de contratos</w:t>
            </w:r>
            <w:r w:rsidR="00BB37BE">
              <w:rPr>
                <w:noProof/>
                <w:webHidden/>
              </w:rPr>
              <w:tab/>
            </w:r>
            <w:r w:rsidR="00BB37BE">
              <w:rPr>
                <w:noProof/>
                <w:webHidden/>
              </w:rPr>
              <w:fldChar w:fldCharType="begin"/>
            </w:r>
            <w:r w:rsidR="00BB37BE">
              <w:rPr>
                <w:noProof/>
                <w:webHidden/>
              </w:rPr>
              <w:instrText xml:space="preserve"> PAGEREF _Toc8735074 \h </w:instrText>
            </w:r>
            <w:r w:rsidR="00BB37BE">
              <w:rPr>
                <w:noProof/>
                <w:webHidden/>
              </w:rPr>
            </w:r>
            <w:r w:rsidR="00BB37BE">
              <w:rPr>
                <w:noProof/>
                <w:webHidden/>
              </w:rPr>
              <w:fldChar w:fldCharType="separate"/>
            </w:r>
            <w:r w:rsidR="00BB37BE">
              <w:rPr>
                <w:noProof/>
                <w:webHidden/>
              </w:rPr>
              <w:t>32</w:t>
            </w:r>
            <w:r w:rsidR="00BB37BE">
              <w:rPr>
                <w:noProof/>
                <w:webHidden/>
              </w:rPr>
              <w:fldChar w:fldCharType="end"/>
            </w:r>
          </w:hyperlink>
        </w:p>
        <w:p w14:paraId="39736F44" w14:textId="686C11CE" w:rsidR="00BB37BE" w:rsidRDefault="00A05F94">
          <w:pPr>
            <w:pStyle w:val="TDC2"/>
            <w:tabs>
              <w:tab w:val="right" w:leader="dot" w:pos="10338"/>
            </w:tabs>
            <w:rPr>
              <w:rFonts w:eastAsiaTheme="minorEastAsia"/>
              <w:smallCaps w:val="0"/>
              <w:noProof/>
              <w:sz w:val="22"/>
              <w:szCs w:val="22"/>
              <w:lang w:eastAsia="es-CO"/>
            </w:rPr>
          </w:pPr>
          <w:hyperlink w:anchor="_Toc8735075" w:history="1">
            <w:r w:rsidR="00BB37BE" w:rsidRPr="001E4CC7">
              <w:rPr>
                <w:rStyle w:val="Hipervnculo"/>
                <w:rFonts w:ascii="Arial" w:hAnsi="Arial" w:cs="Arial"/>
                <w:noProof/>
              </w:rPr>
              <w:t>4.13.2. Pasivos de contratos</w:t>
            </w:r>
            <w:r w:rsidR="00BB37BE">
              <w:rPr>
                <w:noProof/>
                <w:webHidden/>
              </w:rPr>
              <w:tab/>
            </w:r>
            <w:r w:rsidR="00BB37BE">
              <w:rPr>
                <w:noProof/>
                <w:webHidden/>
              </w:rPr>
              <w:fldChar w:fldCharType="begin"/>
            </w:r>
            <w:r w:rsidR="00BB37BE">
              <w:rPr>
                <w:noProof/>
                <w:webHidden/>
              </w:rPr>
              <w:instrText xml:space="preserve"> PAGEREF _Toc8735075 \h </w:instrText>
            </w:r>
            <w:r w:rsidR="00BB37BE">
              <w:rPr>
                <w:noProof/>
                <w:webHidden/>
              </w:rPr>
            </w:r>
            <w:r w:rsidR="00BB37BE">
              <w:rPr>
                <w:noProof/>
                <w:webHidden/>
              </w:rPr>
              <w:fldChar w:fldCharType="separate"/>
            </w:r>
            <w:r w:rsidR="00BB37BE">
              <w:rPr>
                <w:noProof/>
                <w:webHidden/>
              </w:rPr>
              <w:t>33</w:t>
            </w:r>
            <w:r w:rsidR="00BB37BE">
              <w:rPr>
                <w:noProof/>
                <w:webHidden/>
              </w:rPr>
              <w:fldChar w:fldCharType="end"/>
            </w:r>
          </w:hyperlink>
        </w:p>
        <w:p w14:paraId="1C80492A" w14:textId="0C7F3912" w:rsidR="00BB37BE" w:rsidRDefault="00A05F94">
          <w:pPr>
            <w:pStyle w:val="TDC2"/>
            <w:tabs>
              <w:tab w:val="right" w:leader="dot" w:pos="10338"/>
            </w:tabs>
            <w:rPr>
              <w:rFonts w:eastAsiaTheme="minorEastAsia"/>
              <w:smallCaps w:val="0"/>
              <w:noProof/>
              <w:sz w:val="22"/>
              <w:szCs w:val="22"/>
              <w:lang w:eastAsia="es-CO"/>
            </w:rPr>
          </w:pPr>
          <w:hyperlink w:anchor="_Toc8735076" w:history="1">
            <w:r w:rsidR="00BB37BE" w:rsidRPr="001E4CC7">
              <w:rPr>
                <w:rStyle w:val="Hipervnculo"/>
                <w:rFonts w:ascii="Arial" w:hAnsi="Arial" w:cs="Arial"/>
                <w:noProof/>
              </w:rPr>
              <w:t>4.14. Ingresos</w:t>
            </w:r>
            <w:r w:rsidR="00BB37BE">
              <w:rPr>
                <w:noProof/>
                <w:webHidden/>
              </w:rPr>
              <w:tab/>
            </w:r>
            <w:r w:rsidR="00BB37BE">
              <w:rPr>
                <w:noProof/>
                <w:webHidden/>
              </w:rPr>
              <w:fldChar w:fldCharType="begin"/>
            </w:r>
            <w:r w:rsidR="00BB37BE">
              <w:rPr>
                <w:noProof/>
                <w:webHidden/>
              </w:rPr>
              <w:instrText xml:space="preserve"> PAGEREF _Toc8735076 \h </w:instrText>
            </w:r>
            <w:r w:rsidR="00BB37BE">
              <w:rPr>
                <w:noProof/>
                <w:webHidden/>
              </w:rPr>
            </w:r>
            <w:r w:rsidR="00BB37BE">
              <w:rPr>
                <w:noProof/>
                <w:webHidden/>
              </w:rPr>
              <w:fldChar w:fldCharType="separate"/>
            </w:r>
            <w:r w:rsidR="00BB37BE">
              <w:rPr>
                <w:noProof/>
                <w:webHidden/>
              </w:rPr>
              <w:t>34</w:t>
            </w:r>
            <w:r w:rsidR="00BB37BE">
              <w:rPr>
                <w:noProof/>
                <w:webHidden/>
              </w:rPr>
              <w:fldChar w:fldCharType="end"/>
            </w:r>
          </w:hyperlink>
        </w:p>
        <w:p w14:paraId="00839259" w14:textId="4435A340" w:rsidR="00BB37BE" w:rsidRDefault="00A05F94">
          <w:pPr>
            <w:pStyle w:val="TDC2"/>
            <w:tabs>
              <w:tab w:val="right" w:leader="dot" w:pos="10338"/>
            </w:tabs>
            <w:rPr>
              <w:rFonts w:eastAsiaTheme="minorEastAsia"/>
              <w:smallCaps w:val="0"/>
              <w:noProof/>
              <w:sz w:val="22"/>
              <w:szCs w:val="22"/>
              <w:lang w:eastAsia="es-CO"/>
            </w:rPr>
          </w:pPr>
          <w:hyperlink w:anchor="_Toc8735077" w:history="1">
            <w:r w:rsidR="00BB37BE" w:rsidRPr="001E4CC7">
              <w:rPr>
                <w:rStyle w:val="Hipervnculo"/>
                <w:rFonts w:ascii="Arial" w:hAnsi="Arial" w:cs="Arial"/>
                <w:noProof/>
              </w:rPr>
              <w:t>4.14.1. Prestación de servicios</w:t>
            </w:r>
            <w:r w:rsidR="00BB37BE">
              <w:rPr>
                <w:noProof/>
                <w:webHidden/>
              </w:rPr>
              <w:tab/>
            </w:r>
            <w:r w:rsidR="00BB37BE">
              <w:rPr>
                <w:noProof/>
                <w:webHidden/>
              </w:rPr>
              <w:fldChar w:fldCharType="begin"/>
            </w:r>
            <w:r w:rsidR="00BB37BE">
              <w:rPr>
                <w:noProof/>
                <w:webHidden/>
              </w:rPr>
              <w:instrText xml:space="preserve"> PAGEREF _Toc8735077 \h </w:instrText>
            </w:r>
            <w:r w:rsidR="00BB37BE">
              <w:rPr>
                <w:noProof/>
                <w:webHidden/>
              </w:rPr>
            </w:r>
            <w:r w:rsidR="00BB37BE">
              <w:rPr>
                <w:noProof/>
                <w:webHidden/>
              </w:rPr>
              <w:fldChar w:fldCharType="separate"/>
            </w:r>
            <w:r w:rsidR="00BB37BE">
              <w:rPr>
                <w:noProof/>
                <w:webHidden/>
              </w:rPr>
              <w:t>34</w:t>
            </w:r>
            <w:r w:rsidR="00BB37BE">
              <w:rPr>
                <w:noProof/>
                <w:webHidden/>
              </w:rPr>
              <w:fldChar w:fldCharType="end"/>
            </w:r>
          </w:hyperlink>
        </w:p>
        <w:p w14:paraId="52921BC0" w14:textId="5C2EB18D" w:rsidR="00BB37BE" w:rsidRDefault="00A05F94">
          <w:pPr>
            <w:pStyle w:val="TDC2"/>
            <w:tabs>
              <w:tab w:val="right" w:leader="dot" w:pos="10338"/>
            </w:tabs>
            <w:rPr>
              <w:rFonts w:eastAsiaTheme="minorEastAsia"/>
              <w:smallCaps w:val="0"/>
              <w:noProof/>
              <w:sz w:val="22"/>
              <w:szCs w:val="22"/>
              <w:lang w:eastAsia="es-CO"/>
            </w:rPr>
          </w:pPr>
          <w:hyperlink w:anchor="_Toc8735078" w:history="1">
            <w:r w:rsidR="00BB37BE" w:rsidRPr="001E4CC7">
              <w:rPr>
                <w:rStyle w:val="Hipervnculo"/>
                <w:rFonts w:ascii="Arial" w:hAnsi="Arial" w:cs="Arial"/>
                <w:noProof/>
              </w:rPr>
              <w:t>4.14.2. Contratos de construcción</w:t>
            </w:r>
            <w:r w:rsidR="00BB37BE">
              <w:rPr>
                <w:noProof/>
                <w:webHidden/>
              </w:rPr>
              <w:tab/>
            </w:r>
            <w:r w:rsidR="00BB37BE">
              <w:rPr>
                <w:noProof/>
                <w:webHidden/>
              </w:rPr>
              <w:fldChar w:fldCharType="begin"/>
            </w:r>
            <w:r w:rsidR="00BB37BE">
              <w:rPr>
                <w:noProof/>
                <w:webHidden/>
              </w:rPr>
              <w:instrText xml:space="preserve"> PAGEREF _Toc8735078 \h </w:instrText>
            </w:r>
            <w:r w:rsidR="00BB37BE">
              <w:rPr>
                <w:noProof/>
                <w:webHidden/>
              </w:rPr>
            </w:r>
            <w:r w:rsidR="00BB37BE">
              <w:rPr>
                <w:noProof/>
                <w:webHidden/>
              </w:rPr>
              <w:fldChar w:fldCharType="separate"/>
            </w:r>
            <w:r w:rsidR="00BB37BE">
              <w:rPr>
                <w:noProof/>
                <w:webHidden/>
              </w:rPr>
              <w:t>35</w:t>
            </w:r>
            <w:r w:rsidR="00BB37BE">
              <w:rPr>
                <w:noProof/>
                <w:webHidden/>
              </w:rPr>
              <w:fldChar w:fldCharType="end"/>
            </w:r>
          </w:hyperlink>
        </w:p>
        <w:p w14:paraId="4A3F702A" w14:textId="5EB8960A" w:rsidR="00BB37BE" w:rsidRDefault="00A05F94">
          <w:pPr>
            <w:pStyle w:val="TDC2"/>
            <w:tabs>
              <w:tab w:val="right" w:leader="dot" w:pos="10338"/>
            </w:tabs>
            <w:rPr>
              <w:rFonts w:eastAsiaTheme="minorEastAsia"/>
              <w:smallCaps w:val="0"/>
              <w:noProof/>
              <w:sz w:val="22"/>
              <w:szCs w:val="22"/>
              <w:lang w:eastAsia="es-CO"/>
            </w:rPr>
          </w:pPr>
          <w:hyperlink w:anchor="_Toc8735079" w:history="1">
            <w:r w:rsidR="00BB37BE" w:rsidRPr="001E4CC7">
              <w:rPr>
                <w:rStyle w:val="Hipervnculo"/>
                <w:rFonts w:ascii="Arial" w:hAnsi="Arial" w:cs="Arial"/>
                <w:noProof/>
              </w:rPr>
              <w:t>4.14.3. Ingresos por peajes</w:t>
            </w:r>
            <w:r w:rsidR="00BB37BE">
              <w:rPr>
                <w:noProof/>
                <w:webHidden/>
              </w:rPr>
              <w:tab/>
            </w:r>
            <w:r w:rsidR="00BB37BE">
              <w:rPr>
                <w:noProof/>
                <w:webHidden/>
              </w:rPr>
              <w:fldChar w:fldCharType="begin"/>
            </w:r>
            <w:r w:rsidR="00BB37BE">
              <w:rPr>
                <w:noProof/>
                <w:webHidden/>
              </w:rPr>
              <w:instrText xml:space="preserve"> PAGEREF _Toc8735079 \h </w:instrText>
            </w:r>
            <w:r w:rsidR="00BB37BE">
              <w:rPr>
                <w:noProof/>
                <w:webHidden/>
              </w:rPr>
            </w:r>
            <w:r w:rsidR="00BB37BE">
              <w:rPr>
                <w:noProof/>
                <w:webHidden/>
              </w:rPr>
              <w:fldChar w:fldCharType="separate"/>
            </w:r>
            <w:r w:rsidR="00BB37BE">
              <w:rPr>
                <w:noProof/>
                <w:webHidden/>
              </w:rPr>
              <w:t>35</w:t>
            </w:r>
            <w:r w:rsidR="00BB37BE">
              <w:rPr>
                <w:noProof/>
                <w:webHidden/>
              </w:rPr>
              <w:fldChar w:fldCharType="end"/>
            </w:r>
          </w:hyperlink>
        </w:p>
        <w:p w14:paraId="7EBED146" w14:textId="6CC839BB" w:rsidR="00BB37BE" w:rsidRDefault="00A05F94">
          <w:pPr>
            <w:pStyle w:val="TDC2"/>
            <w:tabs>
              <w:tab w:val="right" w:leader="dot" w:pos="10338"/>
            </w:tabs>
            <w:rPr>
              <w:rFonts w:eastAsiaTheme="minorEastAsia"/>
              <w:smallCaps w:val="0"/>
              <w:noProof/>
              <w:sz w:val="22"/>
              <w:szCs w:val="22"/>
              <w:lang w:eastAsia="es-CO"/>
            </w:rPr>
          </w:pPr>
          <w:hyperlink w:anchor="_Toc8735080" w:history="1">
            <w:r w:rsidR="00BB37BE" w:rsidRPr="001E4CC7">
              <w:rPr>
                <w:rStyle w:val="Hipervnculo"/>
                <w:rFonts w:ascii="Arial" w:hAnsi="Arial" w:cs="Arial"/>
                <w:noProof/>
              </w:rPr>
              <w:t>4.14.4. Ingresos por financiación (activo financiero)</w:t>
            </w:r>
            <w:r w:rsidR="00BB37BE">
              <w:rPr>
                <w:noProof/>
                <w:webHidden/>
              </w:rPr>
              <w:tab/>
            </w:r>
            <w:r w:rsidR="00BB37BE">
              <w:rPr>
                <w:noProof/>
                <w:webHidden/>
              </w:rPr>
              <w:fldChar w:fldCharType="begin"/>
            </w:r>
            <w:r w:rsidR="00BB37BE">
              <w:rPr>
                <w:noProof/>
                <w:webHidden/>
              </w:rPr>
              <w:instrText xml:space="preserve"> PAGEREF _Toc8735080 \h </w:instrText>
            </w:r>
            <w:r w:rsidR="00BB37BE">
              <w:rPr>
                <w:noProof/>
                <w:webHidden/>
              </w:rPr>
            </w:r>
            <w:r w:rsidR="00BB37BE">
              <w:rPr>
                <w:noProof/>
                <w:webHidden/>
              </w:rPr>
              <w:fldChar w:fldCharType="separate"/>
            </w:r>
            <w:r w:rsidR="00BB37BE">
              <w:rPr>
                <w:noProof/>
                <w:webHidden/>
              </w:rPr>
              <w:t>35</w:t>
            </w:r>
            <w:r w:rsidR="00BB37BE">
              <w:rPr>
                <w:noProof/>
                <w:webHidden/>
              </w:rPr>
              <w:fldChar w:fldCharType="end"/>
            </w:r>
          </w:hyperlink>
        </w:p>
        <w:p w14:paraId="796F5859" w14:textId="71F0119C" w:rsidR="00BB37BE" w:rsidRDefault="00A05F94">
          <w:pPr>
            <w:pStyle w:val="TDC2"/>
            <w:tabs>
              <w:tab w:val="right" w:leader="dot" w:pos="10338"/>
            </w:tabs>
            <w:rPr>
              <w:rFonts w:eastAsiaTheme="minorEastAsia"/>
              <w:smallCaps w:val="0"/>
              <w:noProof/>
              <w:sz w:val="22"/>
              <w:szCs w:val="22"/>
              <w:lang w:eastAsia="es-CO"/>
            </w:rPr>
          </w:pPr>
          <w:hyperlink w:anchor="_Toc8735081" w:history="1">
            <w:r w:rsidR="00BB37BE" w:rsidRPr="001E4CC7">
              <w:rPr>
                <w:rStyle w:val="Hipervnculo"/>
                <w:rFonts w:ascii="Arial" w:hAnsi="Arial" w:cs="Arial"/>
                <w:noProof/>
              </w:rPr>
              <w:t>4.14.5. Otros ingresos financieros</w:t>
            </w:r>
            <w:r w:rsidR="00BB37BE">
              <w:rPr>
                <w:noProof/>
                <w:webHidden/>
              </w:rPr>
              <w:tab/>
            </w:r>
            <w:r w:rsidR="00BB37BE">
              <w:rPr>
                <w:noProof/>
                <w:webHidden/>
              </w:rPr>
              <w:fldChar w:fldCharType="begin"/>
            </w:r>
            <w:r w:rsidR="00BB37BE">
              <w:rPr>
                <w:noProof/>
                <w:webHidden/>
              </w:rPr>
              <w:instrText xml:space="preserve"> PAGEREF _Toc8735081 \h </w:instrText>
            </w:r>
            <w:r w:rsidR="00BB37BE">
              <w:rPr>
                <w:noProof/>
                <w:webHidden/>
              </w:rPr>
            </w:r>
            <w:r w:rsidR="00BB37BE">
              <w:rPr>
                <w:noProof/>
                <w:webHidden/>
              </w:rPr>
              <w:fldChar w:fldCharType="separate"/>
            </w:r>
            <w:r w:rsidR="00BB37BE">
              <w:rPr>
                <w:noProof/>
                <w:webHidden/>
              </w:rPr>
              <w:t>35</w:t>
            </w:r>
            <w:r w:rsidR="00BB37BE">
              <w:rPr>
                <w:noProof/>
                <w:webHidden/>
              </w:rPr>
              <w:fldChar w:fldCharType="end"/>
            </w:r>
          </w:hyperlink>
        </w:p>
        <w:p w14:paraId="3F9D3A27" w14:textId="2F509D83" w:rsidR="00BB37BE" w:rsidRDefault="00A05F94">
          <w:pPr>
            <w:pStyle w:val="TDC2"/>
            <w:tabs>
              <w:tab w:val="right" w:leader="dot" w:pos="10338"/>
            </w:tabs>
            <w:rPr>
              <w:rFonts w:eastAsiaTheme="minorEastAsia"/>
              <w:smallCaps w:val="0"/>
              <w:noProof/>
              <w:sz w:val="22"/>
              <w:szCs w:val="22"/>
              <w:lang w:eastAsia="es-CO"/>
            </w:rPr>
          </w:pPr>
          <w:hyperlink w:anchor="_Toc8735082" w:history="1">
            <w:r w:rsidR="00BB37BE" w:rsidRPr="001E4CC7">
              <w:rPr>
                <w:rStyle w:val="Hipervnculo"/>
                <w:rFonts w:ascii="Arial" w:hAnsi="Arial" w:cs="Arial"/>
                <w:noProof/>
              </w:rPr>
              <w:t>4.14.6. Ingresos por dividendos</w:t>
            </w:r>
            <w:r w:rsidR="00BB37BE">
              <w:rPr>
                <w:noProof/>
                <w:webHidden/>
              </w:rPr>
              <w:tab/>
            </w:r>
            <w:r w:rsidR="00BB37BE">
              <w:rPr>
                <w:noProof/>
                <w:webHidden/>
              </w:rPr>
              <w:fldChar w:fldCharType="begin"/>
            </w:r>
            <w:r w:rsidR="00BB37BE">
              <w:rPr>
                <w:noProof/>
                <w:webHidden/>
              </w:rPr>
              <w:instrText xml:space="preserve"> PAGEREF _Toc8735082 \h </w:instrText>
            </w:r>
            <w:r w:rsidR="00BB37BE">
              <w:rPr>
                <w:noProof/>
                <w:webHidden/>
              </w:rPr>
            </w:r>
            <w:r w:rsidR="00BB37BE">
              <w:rPr>
                <w:noProof/>
                <w:webHidden/>
              </w:rPr>
              <w:fldChar w:fldCharType="separate"/>
            </w:r>
            <w:r w:rsidR="00BB37BE">
              <w:rPr>
                <w:noProof/>
                <w:webHidden/>
              </w:rPr>
              <w:t>35</w:t>
            </w:r>
            <w:r w:rsidR="00BB37BE">
              <w:rPr>
                <w:noProof/>
                <w:webHidden/>
              </w:rPr>
              <w:fldChar w:fldCharType="end"/>
            </w:r>
          </w:hyperlink>
        </w:p>
        <w:p w14:paraId="0DCCD2B2" w14:textId="6DB7422C" w:rsidR="00BB37BE" w:rsidRDefault="00A05F94">
          <w:pPr>
            <w:pStyle w:val="TDC2"/>
            <w:tabs>
              <w:tab w:val="right" w:leader="dot" w:pos="10338"/>
            </w:tabs>
            <w:rPr>
              <w:rFonts w:eastAsiaTheme="minorEastAsia"/>
              <w:smallCaps w:val="0"/>
              <w:noProof/>
              <w:sz w:val="22"/>
              <w:szCs w:val="22"/>
              <w:lang w:eastAsia="es-CO"/>
            </w:rPr>
          </w:pPr>
          <w:hyperlink w:anchor="_Toc8735083" w:history="1">
            <w:r w:rsidR="00BB37BE" w:rsidRPr="001E4CC7">
              <w:rPr>
                <w:rStyle w:val="Hipervnculo"/>
                <w:rFonts w:ascii="Arial" w:hAnsi="Arial" w:cs="Arial"/>
                <w:noProof/>
              </w:rPr>
              <w:t>4.14.7. Componentes de financiación</w:t>
            </w:r>
            <w:r w:rsidR="00BB37BE">
              <w:rPr>
                <w:noProof/>
                <w:webHidden/>
              </w:rPr>
              <w:tab/>
            </w:r>
            <w:r w:rsidR="00BB37BE">
              <w:rPr>
                <w:noProof/>
                <w:webHidden/>
              </w:rPr>
              <w:fldChar w:fldCharType="begin"/>
            </w:r>
            <w:r w:rsidR="00BB37BE">
              <w:rPr>
                <w:noProof/>
                <w:webHidden/>
              </w:rPr>
              <w:instrText xml:space="preserve"> PAGEREF _Toc8735083 \h </w:instrText>
            </w:r>
            <w:r w:rsidR="00BB37BE">
              <w:rPr>
                <w:noProof/>
                <w:webHidden/>
              </w:rPr>
            </w:r>
            <w:r w:rsidR="00BB37BE">
              <w:rPr>
                <w:noProof/>
                <w:webHidden/>
              </w:rPr>
              <w:fldChar w:fldCharType="separate"/>
            </w:r>
            <w:r w:rsidR="00BB37BE">
              <w:rPr>
                <w:noProof/>
                <w:webHidden/>
              </w:rPr>
              <w:t>35</w:t>
            </w:r>
            <w:r w:rsidR="00BB37BE">
              <w:rPr>
                <w:noProof/>
                <w:webHidden/>
              </w:rPr>
              <w:fldChar w:fldCharType="end"/>
            </w:r>
          </w:hyperlink>
        </w:p>
        <w:p w14:paraId="05BBB90E" w14:textId="72006441" w:rsidR="00BB37BE" w:rsidRDefault="00A05F94">
          <w:pPr>
            <w:pStyle w:val="TDC2"/>
            <w:tabs>
              <w:tab w:val="right" w:leader="dot" w:pos="10338"/>
            </w:tabs>
            <w:rPr>
              <w:rFonts w:eastAsiaTheme="minorEastAsia"/>
              <w:smallCaps w:val="0"/>
              <w:noProof/>
              <w:sz w:val="22"/>
              <w:szCs w:val="22"/>
              <w:lang w:eastAsia="es-CO"/>
            </w:rPr>
          </w:pPr>
          <w:hyperlink w:anchor="_Toc8735084" w:history="1">
            <w:r w:rsidR="00BB37BE" w:rsidRPr="001E4CC7">
              <w:rPr>
                <w:rStyle w:val="Hipervnculo"/>
                <w:rFonts w:ascii="Arial" w:hAnsi="Arial" w:cs="Arial"/>
                <w:noProof/>
              </w:rPr>
              <w:t>4.15. Ingresos financieros y costos financieros</w:t>
            </w:r>
            <w:r w:rsidR="00BB37BE">
              <w:rPr>
                <w:noProof/>
                <w:webHidden/>
              </w:rPr>
              <w:tab/>
            </w:r>
            <w:r w:rsidR="00BB37BE">
              <w:rPr>
                <w:noProof/>
                <w:webHidden/>
              </w:rPr>
              <w:fldChar w:fldCharType="begin"/>
            </w:r>
            <w:r w:rsidR="00BB37BE">
              <w:rPr>
                <w:noProof/>
                <w:webHidden/>
              </w:rPr>
              <w:instrText xml:space="preserve"> PAGEREF _Toc8735084 \h </w:instrText>
            </w:r>
            <w:r w:rsidR="00BB37BE">
              <w:rPr>
                <w:noProof/>
                <w:webHidden/>
              </w:rPr>
            </w:r>
            <w:r w:rsidR="00BB37BE">
              <w:rPr>
                <w:noProof/>
                <w:webHidden/>
              </w:rPr>
              <w:fldChar w:fldCharType="separate"/>
            </w:r>
            <w:r w:rsidR="00BB37BE">
              <w:rPr>
                <w:noProof/>
                <w:webHidden/>
              </w:rPr>
              <w:t>36</w:t>
            </w:r>
            <w:r w:rsidR="00BB37BE">
              <w:rPr>
                <w:noProof/>
                <w:webHidden/>
              </w:rPr>
              <w:fldChar w:fldCharType="end"/>
            </w:r>
          </w:hyperlink>
        </w:p>
        <w:p w14:paraId="0DB6FF04" w14:textId="65BD3192" w:rsidR="00BB37BE" w:rsidRDefault="00A05F94">
          <w:pPr>
            <w:pStyle w:val="TDC2"/>
            <w:tabs>
              <w:tab w:val="right" w:leader="dot" w:pos="10338"/>
            </w:tabs>
            <w:rPr>
              <w:rFonts w:eastAsiaTheme="minorEastAsia"/>
              <w:smallCaps w:val="0"/>
              <w:noProof/>
              <w:sz w:val="22"/>
              <w:szCs w:val="22"/>
              <w:lang w:eastAsia="es-CO"/>
            </w:rPr>
          </w:pPr>
          <w:hyperlink w:anchor="_Toc8735085" w:history="1">
            <w:r w:rsidR="00BB37BE" w:rsidRPr="001E4CC7">
              <w:rPr>
                <w:rStyle w:val="Hipervnculo"/>
                <w:rFonts w:ascii="Arial" w:hAnsi="Arial" w:cs="Arial"/>
                <w:noProof/>
              </w:rPr>
              <w:t>4.16. Impuesto a las ganancias</w:t>
            </w:r>
            <w:r w:rsidR="00BB37BE">
              <w:rPr>
                <w:noProof/>
                <w:webHidden/>
              </w:rPr>
              <w:tab/>
            </w:r>
            <w:r w:rsidR="00BB37BE">
              <w:rPr>
                <w:noProof/>
                <w:webHidden/>
              </w:rPr>
              <w:fldChar w:fldCharType="begin"/>
            </w:r>
            <w:r w:rsidR="00BB37BE">
              <w:rPr>
                <w:noProof/>
                <w:webHidden/>
              </w:rPr>
              <w:instrText xml:space="preserve"> PAGEREF _Toc8735085 \h </w:instrText>
            </w:r>
            <w:r w:rsidR="00BB37BE">
              <w:rPr>
                <w:noProof/>
                <w:webHidden/>
              </w:rPr>
            </w:r>
            <w:r w:rsidR="00BB37BE">
              <w:rPr>
                <w:noProof/>
                <w:webHidden/>
              </w:rPr>
              <w:fldChar w:fldCharType="separate"/>
            </w:r>
            <w:r w:rsidR="00BB37BE">
              <w:rPr>
                <w:noProof/>
                <w:webHidden/>
              </w:rPr>
              <w:t>36</w:t>
            </w:r>
            <w:r w:rsidR="00BB37BE">
              <w:rPr>
                <w:noProof/>
                <w:webHidden/>
              </w:rPr>
              <w:fldChar w:fldCharType="end"/>
            </w:r>
          </w:hyperlink>
        </w:p>
        <w:p w14:paraId="40620762" w14:textId="355AB9A8" w:rsidR="00BB37BE" w:rsidRDefault="00A05F94">
          <w:pPr>
            <w:pStyle w:val="TDC2"/>
            <w:tabs>
              <w:tab w:val="right" w:leader="dot" w:pos="10338"/>
            </w:tabs>
            <w:rPr>
              <w:rFonts w:eastAsiaTheme="minorEastAsia"/>
              <w:smallCaps w:val="0"/>
              <w:noProof/>
              <w:sz w:val="22"/>
              <w:szCs w:val="22"/>
              <w:lang w:eastAsia="es-CO"/>
            </w:rPr>
          </w:pPr>
          <w:hyperlink w:anchor="_Toc8735086" w:history="1">
            <w:r w:rsidR="00BB37BE" w:rsidRPr="001E4CC7">
              <w:rPr>
                <w:rStyle w:val="Hipervnculo"/>
                <w:rFonts w:ascii="Arial" w:hAnsi="Arial" w:cs="Arial"/>
                <w:noProof/>
              </w:rPr>
              <w:t>4.16.1. Reconocimiento de diferencias temporarias imponibles</w:t>
            </w:r>
            <w:r w:rsidR="00BB37BE">
              <w:rPr>
                <w:noProof/>
                <w:webHidden/>
              </w:rPr>
              <w:tab/>
            </w:r>
            <w:r w:rsidR="00BB37BE">
              <w:rPr>
                <w:noProof/>
                <w:webHidden/>
              </w:rPr>
              <w:fldChar w:fldCharType="begin"/>
            </w:r>
            <w:r w:rsidR="00BB37BE">
              <w:rPr>
                <w:noProof/>
                <w:webHidden/>
              </w:rPr>
              <w:instrText xml:space="preserve"> PAGEREF _Toc8735086 \h </w:instrText>
            </w:r>
            <w:r w:rsidR="00BB37BE">
              <w:rPr>
                <w:noProof/>
                <w:webHidden/>
              </w:rPr>
            </w:r>
            <w:r w:rsidR="00BB37BE">
              <w:rPr>
                <w:noProof/>
                <w:webHidden/>
              </w:rPr>
              <w:fldChar w:fldCharType="separate"/>
            </w:r>
            <w:r w:rsidR="00BB37BE">
              <w:rPr>
                <w:noProof/>
                <w:webHidden/>
              </w:rPr>
              <w:t>36</w:t>
            </w:r>
            <w:r w:rsidR="00BB37BE">
              <w:rPr>
                <w:noProof/>
                <w:webHidden/>
              </w:rPr>
              <w:fldChar w:fldCharType="end"/>
            </w:r>
          </w:hyperlink>
        </w:p>
        <w:p w14:paraId="0BC206A8" w14:textId="483BE75C" w:rsidR="00BB37BE" w:rsidRDefault="00A05F94">
          <w:pPr>
            <w:pStyle w:val="TDC2"/>
            <w:tabs>
              <w:tab w:val="right" w:leader="dot" w:pos="10338"/>
            </w:tabs>
            <w:rPr>
              <w:rFonts w:eastAsiaTheme="minorEastAsia"/>
              <w:smallCaps w:val="0"/>
              <w:noProof/>
              <w:sz w:val="22"/>
              <w:szCs w:val="22"/>
              <w:lang w:eastAsia="es-CO"/>
            </w:rPr>
          </w:pPr>
          <w:hyperlink w:anchor="_Toc8735087" w:history="1">
            <w:r w:rsidR="00BB37BE" w:rsidRPr="001E4CC7">
              <w:rPr>
                <w:rStyle w:val="Hipervnculo"/>
                <w:rFonts w:ascii="Arial" w:hAnsi="Arial" w:cs="Arial"/>
                <w:noProof/>
              </w:rPr>
              <w:t>4.16.2. Reconocimiento de diferencias temporarias deducibles</w:t>
            </w:r>
            <w:r w:rsidR="00BB37BE">
              <w:rPr>
                <w:noProof/>
                <w:webHidden/>
              </w:rPr>
              <w:tab/>
            </w:r>
            <w:r w:rsidR="00BB37BE">
              <w:rPr>
                <w:noProof/>
                <w:webHidden/>
              </w:rPr>
              <w:fldChar w:fldCharType="begin"/>
            </w:r>
            <w:r w:rsidR="00BB37BE">
              <w:rPr>
                <w:noProof/>
                <w:webHidden/>
              </w:rPr>
              <w:instrText xml:space="preserve"> PAGEREF _Toc8735087 \h </w:instrText>
            </w:r>
            <w:r w:rsidR="00BB37BE">
              <w:rPr>
                <w:noProof/>
                <w:webHidden/>
              </w:rPr>
            </w:r>
            <w:r w:rsidR="00BB37BE">
              <w:rPr>
                <w:noProof/>
                <w:webHidden/>
              </w:rPr>
              <w:fldChar w:fldCharType="separate"/>
            </w:r>
            <w:r w:rsidR="00BB37BE">
              <w:rPr>
                <w:noProof/>
                <w:webHidden/>
              </w:rPr>
              <w:t>37</w:t>
            </w:r>
            <w:r w:rsidR="00BB37BE">
              <w:rPr>
                <w:noProof/>
                <w:webHidden/>
              </w:rPr>
              <w:fldChar w:fldCharType="end"/>
            </w:r>
          </w:hyperlink>
        </w:p>
        <w:p w14:paraId="2D861C85" w14:textId="73874042" w:rsidR="00BB37BE" w:rsidRDefault="00A05F94">
          <w:pPr>
            <w:pStyle w:val="TDC2"/>
            <w:tabs>
              <w:tab w:val="right" w:leader="dot" w:pos="10338"/>
            </w:tabs>
            <w:rPr>
              <w:rFonts w:eastAsiaTheme="minorEastAsia"/>
              <w:smallCaps w:val="0"/>
              <w:noProof/>
              <w:sz w:val="22"/>
              <w:szCs w:val="22"/>
              <w:lang w:eastAsia="es-CO"/>
            </w:rPr>
          </w:pPr>
          <w:hyperlink w:anchor="_Toc8735088" w:history="1">
            <w:r w:rsidR="00BB37BE" w:rsidRPr="001E4CC7">
              <w:rPr>
                <w:rStyle w:val="Hipervnculo"/>
                <w:rFonts w:ascii="Arial" w:hAnsi="Arial" w:cs="Arial"/>
                <w:noProof/>
              </w:rPr>
              <w:t>4.16.3. Medición</w:t>
            </w:r>
            <w:r w:rsidR="00BB37BE">
              <w:rPr>
                <w:noProof/>
                <w:webHidden/>
              </w:rPr>
              <w:tab/>
            </w:r>
            <w:r w:rsidR="00BB37BE">
              <w:rPr>
                <w:noProof/>
                <w:webHidden/>
              </w:rPr>
              <w:fldChar w:fldCharType="begin"/>
            </w:r>
            <w:r w:rsidR="00BB37BE">
              <w:rPr>
                <w:noProof/>
                <w:webHidden/>
              </w:rPr>
              <w:instrText xml:space="preserve"> PAGEREF _Toc8735088 \h </w:instrText>
            </w:r>
            <w:r w:rsidR="00BB37BE">
              <w:rPr>
                <w:noProof/>
                <w:webHidden/>
              </w:rPr>
            </w:r>
            <w:r w:rsidR="00BB37BE">
              <w:rPr>
                <w:noProof/>
                <w:webHidden/>
              </w:rPr>
              <w:fldChar w:fldCharType="separate"/>
            </w:r>
            <w:r w:rsidR="00BB37BE">
              <w:rPr>
                <w:noProof/>
                <w:webHidden/>
              </w:rPr>
              <w:t>37</w:t>
            </w:r>
            <w:r w:rsidR="00BB37BE">
              <w:rPr>
                <w:noProof/>
                <w:webHidden/>
              </w:rPr>
              <w:fldChar w:fldCharType="end"/>
            </w:r>
          </w:hyperlink>
        </w:p>
        <w:p w14:paraId="0D00EAB8" w14:textId="1BA002B6" w:rsidR="00BB37BE" w:rsidRDefault="00A05F94">
          <w:pPr>
            <w:pStyle w:val="TDC2"/>
            <w:tabs>
              <w:tab w:val="right" w:leader="dot" w:pos="10338"/>
            </w:tabs>
            <w:rPr>
              <w:rFonts w:eastAsiaTheme="minorEastAsia"/>
              <w:smallCaps w:val="0"/>
              <w:noProof/>
              <w:sz w:val="22"/>
              <w:szCs w:val="22"/>
              <w:lang w:eastAsia="es-CO"/>
            </w:rPr>
          </w:pPr>
          <w:hyperlink w:anchor="_Toc8735089" w:history="1">
            <w:r w:rsidR="00BB37BE" w:rsidRPr="001E4CC7">
              <w:rPr>
                <w:rStyle w:val="Hipervnculo"/>
                <w:rFonts w:ascii="Arial" w:hAnsi="Arial" w:cs="Arial"/>
                <w:noProof/>
              </w:rPr>
              <w:t>4.16.4. Compensación y clasificación</w:t>
            </w:r>
            <w:r w:rsidR="00BB37BE">
              <w:rPr>
                <w:noProof/>
                <w:webHidden/>
              </w:rPr>
              <w:tab/>
            </w:r>
            <w:r w:rsidR="00BB37BE">
              <w:rPr>
                <w:noProof/>
                <w:webHidden/>
              </w:rPr>
              <w:fldChar w:fldCharType="begin"/>
            </w:r>
            <w:r w:rsidR="00BB37BE">
              <w:rPr>
                <w:noProof/>
                <w:webHidden/>
              </w:rPr>
              <w:instrText xml:space="preserve"> PAGEREF _Toc8735089 \h </w:instrText>
            </w:r>
            <w:r w:rsidR="00BB37BE">
              <w:rPr>
                <w:noProof/>
                <w:webHidden/>
              </w:rPr>
            </w:r>
            <w:r w:rsidR="00BB37BE">
              <w:rPr>
                <w:noProof/>
                <w:webHidden/>
              </w:rPr>
              <w:fldChar w:fldCharType="separate"/>
            </w:r>
            <w:r w:rsidR="00BB37BE">
              <w:rPr>
                <w:noProof/>
                <w:webHidden/>
              </w:rPr>
              <w:t>37</w:t>
            </w:r>
            <w:r w:rsidR="00BB37BE">
              <w:rPr>
                <w:noProof/>
                <w:webHidden/>
              </w:rPr>
              <w:fldChar w:fldCharType="end"/>
            </w:r>
          </w:hyperlink>
        </w:p>
        <w:p w14:paraId="7739447F" w14:textId="2421FA1E" w:rsidR="00BB37BE" w:rsidRDefault="00A05F94">
          <w:pPr>
            <w:pStyle w:val="TDC2"/>
            <w:tabs>
              <w:tab w:val="right" w:leader="dot" w:pos="10338"/>
            </w:tabs>
            <w:rPr>
              <w:rFonts w:eastAsiaTheme="minorEastAsia"/>
              <w:smallCaps w:val="0"/>
              <w:noProof/>
              <w:sz w:val="22"/>
              <w:szCs w:val="22"/>
              <w:lang w:eastAsia="es-CO"/>
            </w:rPr>
          </w:pPr>
          <w:hyperlink w:anchor="_Toc8735090" w:history="1">
            <w:r w:rsidR="00BB37BE" w:rsidRPr="001E4CC7">
              <w:rPr>
                <w:rStyle w:val="Hipervnculo"/>
                <w:rFonts w:ascii="Arial" w:hAnsi="Arial" w:cs="Arial"/>
                <w:noProof/>
              </w:rPr>
              <w:t>4.17. Ganancia por acción</w:t>
            </w:r>
            <w:r w:rsidR="00BB37BE">
              <w:rPr>
                <w:noProof/>
                <w:webHidden/>
              </w:rPr>
              <w:tab/>
            </w:r>
            <w:r w:rsidR="00BB37BE">
              <w:rPr>
                <w:noProof/>
                <w:webHidden/>
              </w:rPr>
              <w:fldChar w:fldCharType="begin"/>
            </w:r>
            <w:r w:rsidR="00BB37BE">
              <w:rPr>
                <w:noProof/>
                <w:webHidden/>
              </w:rPr>
              <w:instrText xml:space="preserve"> PAGEREF _Toc8735090 \h </w:instrText>
            </w:r>
            <w:r w:rsidR="00BB37BE">
              <w:rPr>
                <w:noProof/>
                <w:webHidden/>
              </w:rPr>
            </w:r>
            <w:r w:rsidR="00BB37BE">
              <w:rPr>
                <w:noProof/>
                <w:webHidden/>
              </w:rPr>
              <w:fldChar w:fldCharType="separate"/>
            </w:r>
            <w:r w:rsidR="00BB37BE">
              <w:rPr>
                <w:noProof/>
                <w:webHidden/>
              </w:rPr>
              <w:t>37</w:t>
            </w:r>
            <w:r w:rsidR="00BB37BE">
              <w:rPr>
                <w:noProof/>
                <w:webHidden/>
              </w:rPr>
              <w:fldChar w:fldCharType="end"/>
            </w:r>
          </w:hyperlink>
        </w:p>
        <w:p w14:paraId="6B05AA0E" w14:textId="4B2CD313" w:rsidR="00BB37BE" w:rsidRDefault="00A05F94">
          <w:pPr>
            <w:pStyle w:val="TDC1"/>
            <w:rPr>
              <w:rFonts w:eastAsiaTheme="minorEastAsia"/>
              <w:b w:val="0"/>
              <w:bCs w:val="0"/>
              <w:caps w:val="0"/>
              <w:noProof/>
              <w:sz w:val="22"/>
              <w:szCs w:val="22"/>
              <w:lang w:eastAsia="es-CO"/>
            </w:rPr>
          </w:pPr>
          <w:hyperlink w:anchor="_Toc8735091" w:history="1">
            <w:r w:rsidR="00BB37BE" w:rsidRPr="001E4CC7">
              <w:rPr>
                <w:rStyle w:val="Hipervnculo"/>
                <w:noProof/>
              </w:rPr>
              <w:t>Nota 5: Efectivo y equivalentes de efectivo</w:t>
            </w:r>
            <w:r w:rsidR="00BB37BE">
              <w:rPr>
                <w:noProof/>
                <w:webHidden/>
              </w:rPr>
              <w:tab/>
            </w:r>
            <w:r w:rsidR="00BB37BE">
              <w:rPr>
                <w:noProof/>
                <w:webHidden/>
              </w:rPr>
              <w:fldChar w:fldCharType="begin"/>
            </w:r>
            <w:r w:rsidR="00BB37BE">
              <w:rPr>
                <w:noProof/>
                <w:webHidden/>
              </w:rPr>
              <w:instrText xml:space="preserve"> PAGEREF _Toc8735091 \h </w:instrText>
            </w:r>
            <w:r w:rsidR="00BB37BE">
              <w:rPr>
                <w:noProof/>
                <w:webHidden/>
              </w:rPr>
            </w:r>
            <w:r w:rsidR="00BB37BE">
              <w:rPr>
                <w:noProof/>
                <w:webHidden/>
              </w:rPr>
              <w:fldChar w:fldCharType="separate"/>
            </w:r>
            <w:r w:rsidR="00BB37BE">
              <w:rPr>
                <w:noProof/>
                <w:webHidden/>
              </w:rPr>
              <w:t>38</w:t>
            </w:r>
            <w:r w:rsidR="00BB37BE">
              <w:rPr>
                <w:noProof/>
                <w:webHidden/>
              </w:rPr>
              <w:fldChar w:fldCharType="end"/>
            </w:r>
          </w:hyperlink>
        </w:p>
        <w:p w14:paraId="5359C6E8" w14:textId="2158D474" w:rsidR="00BB37BE" w:rsidRDefault="00A05F94">
          <w:pPr>
            <w:pStyle w:val="TDC1"/>
            <w:rPr>
              <w:rFonts w:eastAsiaTheme="minorEastAsia"/>
              <w:b w:val="0"/>
              <w:bCs w:val="0"/>
              <w:caps w:val="0"/>
              <w:noProof/>
              <w:sz w:val="22"/>
              <w:szCs w:val="22"/>
              <w:lang w:eastAsia="es-CO"/>
            </w:rPr>
          </w:pPr>
          <w:hyperlink w:anchor="_Toc8735092" w:history="1">
            <w:r w:rsidR="00BB37BE" w:rsidRPr="001E4CC7">
              <w:rPr>
                <w:rStyle w:val="Hipervnculo"/>
                <w:noProof/>
              </w:rPr>
              <w:t>Nota 6: Valor razonable de activos y pasivos financieros</w:t>
            </w:r>
            <w:r w:rsidR="00BB37BE">
              <w:rPr>
                <w:noProof/>
                <w:webHidden/>
              </w:rPr>
              <w:tab/>
            </w:r>
            <w:r w:rsidR="00BB37BE">
              <w:rPr>
                <w:noProof/>
                <w:webHidden/>
              </w:rPr>
              <w:fldChar w:fldCharType="begin"/>
            </w:r>
            <w:r w:rsidR="00BB37BE">
              <w:rPr>
                <w:noProof/>
                <w:webHidden/>
              </w:rPr>
              <w:instrText xml:space="preserve"> PAGEREF _Toc8735092 \h </w:instrText>
            </w:r>
            <w:r w:rsidR="00BB37BE">
              <w:rPr>
                <w:noProof/>
                <w:webHidden/>
              </w:rPr>
            </w:r>
            <w:r w:rsidR="00BB37BE">
              <w:rPr>
                <w:noProof/>
                <w:webHidden/>
              </w:rPr>
              <w:fldChar w:fldCharType="separate"/>
            </w:r>
            <w:r w:rsidR="00BB37BE">
              <w:rPr>
                <w:noProof/>
                <w:webHidden/>
              </w:rPr>
              <w:t>38</w:t>
            </w:r>
            <w:r w:rsidR="00BB37BE">
              <w:rPr>
                <w:noProof/>
                <w:webHidden/>
              </w:rPr>
              <w:fldChar w:fldCharType="end"/>
            </w:r>
          </w:hyperlink>
        </w:p>
        <w:p w14:paraId="36309ACF" w14:textId="3B734650" w:rsidR="00BB37BE" w:rsidRDefault="00A05F94">
          <w:pPr>
            <w:pStyle w:val="TDC2"/>
            <w:tabs>
              <w:tab w:val="right" w:leader="dot" w:pos="10338"/>
            </w:tabs>
            <w:rPr>
              <w:rFonts w:eastAsiaTheme="minorEastAsia"/>
              <w:smallCaps w:val="0"/>
              <w:noProof/>
              <w:sz w:val="22"/>
              <w:szCs w:val="22"/>
              <w:lang w:eastAsia="es-CO"/>
            </w:rPr>
          </w:pPr>
          <w:hyperlink w:anchor="_Toc8735093" w:history="1">
            <w:r w:rsidR="00BB37BE" w:rsidRPr="001E4CC7">
              <w:rPr>
                <w:rStyle w:val="Hipervnculo"/>
                <w:rFonts w:ascii="Arial" w:hAnsi="Arial" w:cs="Arial"/>
                <w:noProof/>
              </w:rPr>
              <w:t>6.1 Valores razonables</w:t>
            </w:r>
            <w:r w:rsidR="00BB37BE">
              <w:rPr>
                <w:noProof/>
                <w:webHidden/>
              </w:rPr>
              <w:tab/>
            </w:r>
            <w:r w:rsidR="00BB37BE">
              <w:rPr>
                <w:noProof/>
                <w:webHidden/>
              </w:rPr>
              <w:fldChar w:fldCharType="begin"/>
            </w:r>
            <w:r w:rsidR="00BB37BE">
              <w:rPr>
                <w:noProof/>
                <w:webHidden/>
              </w:rPr>
              <w:instrText xml:space="preserve"> PAGEREF _Toc8735093 \h </w:instrText>
            </w:r>
            <w:r w:rsidR="00BB37BE">
              <w:rPr>
                <w:noProof/>
                <w:webHidden/>
              </w:rPr>
            </w:r>
            <w:r w:rsidR="00BB37BE">
              <w:rPr>
                <w:noProof/>
                <w:webHidden/>
              </w:rPr>
              <w:fldChar w:fldCharType="separate"/>
            </w:r>
            <w:r w:rsidR="00BB37BE">
              <w:rPr>
                <w:noProof/>
                <w:webHidden/>
              </w:rPr>
              <w:t>38</w:t>
            </w:r>
            <w:r w:rsidR="00BB37BE">
              <w:rPr>
                <w:noProof/>
                <w:webHidden/>
              </w:rPr>
              <w:fldChar w:fldCharType="end"/>
            </w:r>
          </w:hyperlink>
        </w:p>
        <w:p w14:paraId="01AFB997" w14:textId="468BC556" w:rsidR="00BB37BE" w:rsidRDefault="00A05F94">
          <w:pPr>
            <w:pStyle w:val="TDC2"/>
            <w:tabs>
              <w:tab w:val="right" w:leader="dot" w:pos="10338"/>
            </w:tabs>
            <w:rPr>
              <w:rFonts w:eastAsiaTheme="minorEastAsia"/>
              <w:smallCaps w:val="0"/>
              <w:noProof/>
              <w:sz w:val="22"/>
              <w:szCs w:val="22"/>
              <w:lang w:eastAsia="es-CO"/>
            </w:rPr>
          </w:pPr>
          <w:hyperlink w:anchor="_Toc8735094" w:history="1">
            <w:r w:rsidR="00BB37BE" w:rsidRPr="001E4CC7">
              <w:rPr>
                <w:rStyle w:val="Hipervnculo"/>
                <w:rFonts w:ascii="Arial" w:hAnsi="Arial" w:cs="Arial"/>
                <w:noProof/>
              </w:rPr>
              <w:t>6.2 Descripción de las variables significativas de la valoración</w:t>
            </w:r>
            <w:r w:rsidR="00BB37BE">
              <w:rPr>
                <w:noProof/>
                <w:webHidden/>
              </w:rPr>
              <w:tab/>
            </w:r>
            <w:r w:rsidR="00BB37BE">
              <w:rPr>
                <w:noProof/>
                <w:webHidden/>
              </w:rPr>
              <w:fldChar w:fldCharType="begin"/>
            </w:r>
            <w:r w:rsidR="00BB37BE">
              <w:rPr>
                <w:noProof/>
                <w:webHidden/>
              </w:rPr>
              <w:instrText xml:space="preserve"> PAGEREF _Toc8735094 \h </w:instrText>
            </w:r>
            <w:r w:rsidR="00BB37BE">
              <w:rPr>
                <w:noProof/>
                <w:webHidden/>
              </w:rPr>
            </w:r>
            <w:r w:rsidR="00BB37BE">
              <w:rPr>
                <w:noProof/>
                <w:webHidden/>
              </w:rPr>
              <w:fldChar w:fldCharType="separate"/>
            </w:r>
            <w:r w:rsidR="00BB37BE">
              <w:rPr>
                <w:noProof/>
                <w:webHidden/>
              </w:rPr>
              <w:t>39</w:t>
            </w:r>
            <w:r w:rsidR="00BB37BE">
              <w:rPr>
                <w:noProof/>
                <w:webHidden/>
              </w:rPr>
              <w:fldChar w:fldCharType="end"/>
            </w:r>
          </w:hyperlink>
        </w:p>
        <w:p w14:paraId="4D6F86C8" w14:textId="2E27278F" w:rsidR="00BB37BE" w:rsidRDefault="00A05F94">
          <w:pPr>
            <w:pStyle w:val="TDC1"/>
            <w:rPr>
              <w:rFonts w:eastAsiaTheme="minorEastAsia"/>
              <w:b w:val="0"/>
              <w:bCs w:val="0"/>
              <w:caps w:val="0"/>
              <w:noProof/>
              <w:sz w:val="22"/>
              <w:szCs w:val="22"/>
              <w:lang w:eastAsia="es-CO"/>
            </w:rPr>
          </w:pPr>
          <w:hyperlink w:anchor="_Toc8735095" w:history="1">
            <w:r w:rsidR="00BB37BE" w:rsidRPr="001E4CC7">
              <w:rPr>
                <w:rStyle w:val="Hipervnculo"/>
                <w:noProof/>
              </w:rPr>
              <w:t>Nota 7: Deudores comerciales por cobrar y otras cuentas por cobrar, neto</w:t>
            </w:r>
            <w:r w:rsidR="00BB37BE">
              <w:rPr>
                <w:noProof/>
                <w:webHidden/>
              </w:rPr>
              <w:tab/>
            </w:r>
            <w:r w:rsidR="00BB37BE">
              <w:rPr>
                <w:noProof/>
                <w:webHidden/>
              </w:rPr>
              <w:fldChar w:fldCharType="begin"/>
            </w:r>
            <w:r w:rsidR="00BB37BE">
              <w:rPr>
                <w:noProof/>
                <w:webHidden/>
              </w:rPr>
              <w:instrText xml:space="preserve"> PAGEREF _Toc8735095 \h </w:instrText>
            </w:r>
            <w:r w:rsidR="00BB37BE">
              <w:rPr>
                <w:noProof/>
                <w:webHidden/>
              </w:rPr>
            </w:r>
            <w:r w:rsidR="00BB37BE">
              <w:rPr>
                <w:noProof/>
                <w:webHidden/>
              </w:rPr>
              <w:fldChar w:fldCharType="separate"/>
            </w:r>
            <w:r w:rsidR="00BB37BE">
              <w:rPr>
                <w:noProof/>
                <w:webHidden/>
              </w:rPr>
              <w:t>40</w:t>
            </w:r>
            <w:r w:rsidR="00BB37BE">
              <w:rPr>
                <w:noProof/>
                <w:webHidden/>
              </w:rPr>
              <w:fldChar w:fldCharType="end"/>
            </w:r>
          </w:hyperlink>
        </w:p>
        <w:p w14:paraId="4A9297F3" w14:textId="0DA83E2B" w:rsidR="00BB37BE" w:rsidRDefault="00A05F94">
          <w:pPr>
            <w:pStyle w:val="TDC1"/>
            <w:rPr>
              <w:rFonts w:eastAsiaTheme="minorEastAsia"/>
              <w:b w:val="0"/>
              <w:bCs w:val="0"/>
              <w:caps w:val="0"/>
              <w:noProof/>
              <w:sz w:val="22"/>
              <w:szCs w:val="22"/>
              <w:lang w:eastAsia="es-CO"/>
            </w:rPr>
          </w:pPr>
          <w:hyperlink w:anchor="_Toc8735096" w:history="1">
            <w:r w:rsidR="00BB37BE" w:rsidRPr="001E4CC7">
              <w:rPr>
                <w:rStyle w:val="Hipervnculo"/>
                <w:noProof/>
              </w:rPr>
              <w:t>Nota 8: Activos por derecho de uso propiedades, plantas y equipo</w:t>
            </w:r>
            <w:r w:rsidR="00BB37BE">
              <w:rPr>
                <w:noProof/>
                <w:webHidden/>
              </w:rPr>
              <w:tab/>
            </w:r>
            <w:r w:rsidR="00BB37BE">
              <w:rPr>
                <w:noProof/>
                <w:webHidden/>
              </w:rPr>
              <w:fldChar w:fldCharType="begin"/>
            </w:r>
            <w:r w:rsidR="00BB37BE">
              <w:rPr>
                <w:noProof/>
                <w:webHidden/>
              </w:rPr>
              <w:instrText xml:space="preserve"> PAGEREF _Toc8735096 \h </w:instrText>
            </w:r>
            <w:r w:rsidR="00BB37BE">
              <w:rPr>
                <w:noProof/>
                <w:webHidden/>
              </w:rPr>
            </w:r>
            <w:r w:rsidR="00BB37BE">
              <w:rPr>
                <w:noProof/>
                <w:webHidden/>
              </w:rPr>
              <w:fldChar w:fldCharType="separate"/>
            </w:r>
            <w:r w:rsidR="00BB37BE">
              <w:rPr>
                <w:noProof/>
                <w:webHidden/>
              </w:rPr>
              <w:t>40</w:t>
            </w:r>
            <w:r w:rsidR="00BB37BE">
              <w:rPr>
                <w:noProof/>
                <w:webHidden/>
              </w:rPr>
              <w:fldChar w:fldCharType="end"/>
            </w:r>
          </w:hyperlink>
        </w:p>
        <w:p w14:paraId="74DC2854" w14:textId="06667B50" w:rsidR="00BB37BE" w:rsidRDefault="00A05F94">
          <w:pPr>
            <w:pStyle w:val="TDC1"/>
            <w:rPr>
              <w:rFonts w:eastAsiaTheme="minorEastAsia"/>
              <w:b w:val="0"/>
              <w:bCs w:val="0"/>
              <w:caps w:val="0"/>
              <w:noProof/>
              <w:sz w:val="22"/>
              <w:szCs w:val="22"/>
              <w:lang w:eastAsia="es-CO"/>
            </w:rPr>
          </w:pPr>
          <w:hyperlink w:anchor="_Toc8735097" w:history="1">
            <w:r w:rsidR="00BB37BE" w:rsidRPr="001E4CC7">
              <w:rPr>
                <w:rStyle w:val="Hipervnculo"/>
                <w:noProof/>
              </w:rPr>
              <w:t>Nota 9: Intangibles, neto</w:t>
            </w:r>
            <w:r w:rsidR="00BB37BE">
              <w:rPr>
                <w:noProof/>
                <w:webHidden/>
              </w:rPr>
              <w:tab/>
            </w:r>
            <w:r w:rsidR="00BB37BE">
              <w:rPr>
                <w:noProof/>
                <w:webHidden/>
              </w:rPr>
              <w:fldChar w:fldCharType="begin"/>
            </w:r>
            <w:r w:rsidR="00BB37BE">
              <w:rPr>
                <w:noProof/>
                <w:webHidden/>
              </w:rPr>
              <w:instrText xml:space="preserve"> PAGEREF _Toc8735097 \h </w:instrText>
            </w:r>
            <w:r w:rsidR="00BB37BE">
              <w:rPr>
                <w:noProof/>
                <w:webHidden/>
              </w:rPr>
            </w:r>
            <w:r w:rsidR="00BB37BE">
              <w:rPr>
                <w:noProof/>
                <w:webHidden/>
              </w:rPr>
              <w:fldChar w:fldCharType="separate"/>
            </w:r>
            <w:r w:rsidR="00BB37BE">
              <w:rPr>
                <w:noProof/>
                <w:webHidden/>
              </w:rPr>
              <w:t>41</w:t>
            </w:r>
            <w:r w:rsidR="00BB37BE">
              <w:rPr>
                <w:noProof/>
                <w:webHidden/>
              </w:rPr>
              <w:fldChar w:fldCharType="end"/>
            </w:r>
          </w:hyperlink>
        </w:p>
        <w:p w14:paraId="3D0423AA" w14:textId="444BD559" w:rsidR="00BB37BE" w:rsidRDefault="00A05F94">
          <w:pPr>
            <w:pStyle w:val="TDC1"/>
            <w:rPr>
              <w:rFonts w:eastAsiaTheme="minorEastAsia"/>
              <w:b w:val="0"/>
              <w:bCs w:val="0"/>
              <w:caps w:val="0"/>
              <w:noProof/>
              <w:sz w:val="22"/>
              <w:szCs w:val="22"/>
              <w:lang w:eastAsia="es-CO"/>
            </w:rPr>
          </w:pPr>
          <w:hyperlink w:anchor="_Toc8735098" w:history="1">
            <w:r w:rsidR="00BB37BE" w:rsidRPr="001E4CC7">
              <w:rPr>
                <w:rStyle w:val="Hipervnculo"/>
                <w:noProof/>
              </w:rPr>
              <w:t>Nota 10: Propiedades, planta y equipo, neto</w:t>
            </w:r>
            <w:r w:rsidR="00BB37BE">
              <w:rPr>
                <w:noProof/>
                <w:webHidden/>
              </w:rPr>
              <w:tab/>
            </w:r>
            <w:r w:rsidR="00BB37BE">
              <w:rPr>
                <w:noProof/>
                <w:webHidden/>
              </w:rPr>
              <w:fldChar w:fldCharType="begin"/>
            </w:r>
            <w:r w:rsidR="00BB37BE">
              <w:rPr>
                <w:noProof/>
                <w:webHidden/>
              </w:rPr>
              <w:instrText xml:space="preserve"> PAGEREF _Toc8735098 \h </w:instrText>
            </w:r>
            <w:r w:rsidR="00BB37BE">
              <w:rPr>
                <w:noProof/>
                <w:webHidden/>
              </w:rPr>
            </w:r>
            <w:r w:rsidR="00BB37BE">
              <w:rPr>
                <w:noProof/>
                <w:webHidden/>
              </w:rPr>
              <w:fldChar w:fldCharType="separate"/>
            </w:r>
            <w:r w:rsidR="00BB37BE">
              <w:rPr>
                <w:noProof/>
                <w:webHidden/>
              </w:rPr>
              <w:t>41</w:t>
            </w:r>
            <w:r w:rsidR="00BB37BE">
              <w:rPr>
                <w:noProof/>
                <w:webHidden/>
              </w:rPr>
              <w:fldChar w:fldCharType="end"/>
            </w:r>
          </w:hyperlink>
        </w:p>
        <w:p w14:paraId="62D9020E" w14:textId="049332DE" w:rsidR="00BB37BE" w:rsidRDefault="00A05F94">
          <w:pPr>
            <w:pStyle w:val="TDC1"/>
            <w:rPr>
              <w:rFonts w:eastAsiaTheme="minorEastAsia"/>
              <w:b w:val="0"/>
              <w:bCs w:val="0"/>
              <w:caps w:val="0"/>
              <w:noProof/>
              <w:sz w:val="22"/>
              <w:szCs w:val="22"/>
              <w:lang w:eastAsia="es-CO"/>
            </w:rPr>
          </w:pPr>
          <w:hyperlink w:anchor="_Toc8735099" w:history="1">
            <w:r w:rsidR="00BB37BE" w:rsidRPr="001E4CC7">
              <w:rPr>
                <w:rStyle w:val="Hipervnculo"/>
                <w:noProof/>
              </w:rPr>
              <w:t>Nota 11: Inversiones en asociadas y negocios conjuntos</w:t>
            </w:r>
            <w:r w:rsidR="00BB37BE">
              <w:rPr>
                <w:noProof/>
                <w:webHidden/>
              </w:rPr>
              <w:tab/>
            </w:r>
            <w:r w:rsidR="00BB37BE">
              <w:rPr>
                <w:noProof/>
                <w:webHidden/>
              </w:rPr>
              <w:fldChar w:fldCharType="begin"/>
            </w:r>
            <w:r w:rsidR="00BB37BE">
              <w:rPr>
                <w:noProof/>
                <w:webHidden/>
              </w:rPr>
              <w:instrText xml:space="preserve"> PAGEREF _Toc8735099 \h </w:instrText>
            </w:r>
            <w:r w:rsidR="00BB37BE">
              <w:rPr>
                <w:noProof/>
                <w:webHidden/>
              </w:rPr>
            </w:r>
            <w:r w:rsidR="00BB37BE">
              <w:rPr>
                <w:noProof/>
                <w:webHidden/>
              </w:rPr>
              <w:fldChar w:fldCharType="separate"/>
            </w:r>
            <w:r w:rsidR="00BB37BE">
              <w:rPr>
                <w:noProof/>
                <w:webHidden/>
              </w:rPr>
              <w:t>42</w:t>
            </w:r>
            <w:r w:rsidR="00BB37BE">
              <w:rPr>
                <w:noProof/>
                <w:webHidden/>
              </w:rPr>
              <w:fldChar w:fldCharType="end"/>
            </w:r>
          </w:hyperlink>
        </w:p>
        <w:p w14:paraId="3A30AFFF" w14:textId="02E5C10D" w:rsidR="00BB37BE" w:rsidRDefault="00A05F94">
          <w:pPr>
            <w:pStyle w:val="TDC2"/>
            <w:tabs>
              <w:tab w:val="right" w:leader="dot" w:pos="10338"/>
            </w:tabs>
            <w:rPr>
              <w:rFonts w:eastAsiaTheme="minorEastAsia"/>
              <w:smallCaps w:val="0"/>
              <w:noProof/>
              <w:sz w:val="22"/>
              <w:szCs w:val="22"/>
              <w:lang w:eastAsia="es-CO"/>
            </w:rPr>
          </w:pPr>
          <w:hyperlink w:anchor="_Toc8735100" w:history="1">
            <w:r w:rsidR="00BB37BE" w:rsidRPr="001E4CC7">
              <w:rPr>
                <w:rStyle w:val="Hipervnculo"/>
                <w:rFonts w:ascii="Arial" w:hAnsi="Arial" w:cs="Arial"/>
                <w:noProof/>
              </w:rPr>
              <w:t>11.1 Información general de las asociadas y negocios conjuntos</w:t>
            </w:r>
            <w:r w:rsidR="00BB37BE">
              <w:rPr>
                <w:noProof/>
                <w:webHidden/>
              </w:rPr>
              <w:tab/>
            </w:r>
            <w:r w:rsidR="00BB37BE">
              <w:rPr>
                <w:noProof/>
                <w:webHidden/>
              </w:rPr>
              <w:fldChar w:fldCharType="begin"/>
            </w:r>
            <w:r w:rsidR="00BB37BE">
              <w:rPr>
                <w:noProof/>
                <w:webHidden/>
              </w:rPr>
              <w:instrText xml:space="preserve"> PAGEREF _Toc8735100 \h </w:instrText>
            </w:r>
            <w:r w:rsidR="00BB37BE">
              <w:rPr>
                <w:noProof/>
                <w:webHidden/>
              </w:rPr>
            </w:r>
            <w:r w:rsidR="00BB37BE">
              <w:rPr>
                <w:noProof/>
                <w:webHidden/>
              </w:rPr>
              <w:fldChar w:fldCharType="separate"/>
            </w:r>
            <w:r w:rsidR="00BB37BE">
              <w:rPr>
                <w:noProof/>
                <w:webHidden/>
              </w:rPr>
              <w:t>42</w:t>
            </w:r>
            <w:r w:rsidR="00BB37BE">
              <w:rPr>
                <w:noProof/>
                <w:webHidden/>
              </w:rPr>
              <w:fldChar w:fldCharType="end"/>
            </w:r>
          </w:hyperlink>
        </w:p>
        <w:p w14:paraId="78DCAC77" w14:textId="76757596" w:rsidR="00BB37BE" w:rsidRDefault="00A05F94">
          <w:pPr>
            <w:pStyle w:val="TDC2"/>
            <w:tabs>
              <w:tab w:val="right" w:leader="dot" w:pos="10338"/>
            </w:tabs>
            <w:rPr>
              <w:rFonts w:eastAsiaTheme="minorEastAsia"/>
              <w:smallCaps w:val="0"/>
              <w:noProof/>
              <w:sz w:val="22"/>
              <w:szCs w:val="22"/>
              <w:lang w:eastAsia="es-CO"/>
            </w:rPr>
          </w:pPr>
          <w:hyperlink w:anchor="_Toc8735101" w:history="1">
            <w:r w:rsidR="00BB37BE" w:rsidRPr="001E4CC7">
              <w:rPr>
                <w:rStyle w:val="Hipervnculo"/>
                <w:rFonts w:ascii="Arial" w:hAnsi="Arial" w:cs="Arial"/>
                <w:noProof/>
              </w:rPr>
              <w:t>11.2 Objeto social de las asociadas y negocios conjuntos y naturaleza de la relación</w:t>
            </w:r>
            <w:r w:rsidR="00BB37BE">
              <w:rPr>
                <w:noProof/>
                <w:webHidden/>
              </w:rPr>
              <w:tab/>
            </w:r>
            <w:r w:rsidR="00BB37BE">
              <w:rPr>
                <w:noProof/>
                <w:webHidden/>
              </w:rPr>
              <w:fldChar w:fldCharType="begin"/>
            </w:r>
            <w:r w:rsidR="00BB37BE">
              <w:rPr>
                <w:noProof/>
                <w:webHidden/>
              </w:rPr>
              <w:instrText xml:space="preserve"> PAGEREF _Toc8735101 \h </w:instrText>
            </w:r>
            <w:r w:rsidR="00BB37BE">
              <w:rPr>
                <w:noProof/>
                <w:webHidden/>
              </w:rPr>
            </w:r>
            <w:r w:rsidR="00BB37BE">
              <w:rPr>
                <w:noProof/>
                <w:webHidden/>
              </w:rPr>
              <w:fldChar w:fldCharType="separate"/>
            </w:r>
            <w:r w:rsidR="00BB37BE">
              <w:rPr>
                <w:noProof/>
                <w:webHidden/>
              </w:rPr>
              <w:t>43</w:t>
            </w:r>
            <w:r w:rsidR="00BB37BE">
              <w:rPr>
                <w:noProof/>
                <w:webHidden/>
              </w:rPr>
              <w:fldChar w:fldCharType="end"/>
            </w:r>
          </w:hyperlink>
        </w:p>
        <w:p w14:paraId="44D14179" w14:textId="0A51634F" w:rsidR="00BB37BE" w:rsidRDefault="00A05F94">
          <w:pPr>
            <w:pStyle w:val="TDC2"/>
            <w:tabs>
              <w:tab w:val="right" w:leader="dot" w:pos="10338"/>
            </w:tabs>
            <w:rPr>
              <w:rFonts w:eastAsiaTheme="minorEastAsia"/>
              <w:smallCaps w:val="0"/>
              <w:noProof/>
              <w:sz w:val="22"/>
              <w:szCs w:val="22"/>
              <w:lang w:eastAsia="es-CO"/>
            </w:rPr>
          </w:pPr>
          <w:hyperlink w:anchor="_Toc8735102" w:history="1">
            <w:r w:rsidR="00BB37BE" w:rsidRPr="001E4CC7">
              <w:rPr>
                <w:rStyle w:val="Hipervnculo"/>
                <w:rFonts w:ascii="Arial" w:hAnsi="Arial" w:cs="Arial"/>
                <w:noProof/>
              </w:rPr>
              <w:t>11.3 Cambios en la participación de propiedad en asociadas y negocios conjuntos</w:t>
            </w:r>
            <w:r w:rsidR="00BB37BE">
              <w:rPr>
                <w:noProof/>
                <w:webHidden/>
              </w:rPr>
              <w:tab/>
            </w:r>
            <w:r w:rsidR="00BB37BE">
              <w:rPr>
                <w:noProof/>
                <w:webHidden/>
              </w:rPr>
              <w:fldChar w:fldCharType="begin"/>
            </w:r>
            <w:r w:rsidR="00BB37BE">
              <w:rPr>
                <w:noProof/>
                <w:webHidden/>
              </w:rPr>
              <w:instrText xml:space="preserve"> PAGEREF _Toc8735102 \h </w:instrText>
            </w:r>
            <w:r w:rsidR="00BB37BE">
              <w:rPr>
                <w:noProof/>
                <w:webHidden/>
              </w:rPr>
            </w:r>
            <w:r w:rsidR="00BB37BE">
              <w:rPr>
                <w:noProof/>
                <w:webHidden/>
              </w:rPr>
              <w:fldChar w:fldCharType="separate"/>
            </w:r>
            <w:r w:rsidR="00BB37BE">
              <w:rPr>
                <w:noProof/>
                <w:webHidden/>
              </w:rPr>
              <w:t>44</w:t>
            </w:r>
            <w:r w:rsidR="00BB37BE">
              <w:rPr>
                <w:noProof/>
                <w:webHidden/>
              </w:rPr>
              <w:fldChar w:fldCharType="end"/>
            </w:r>
          </w:hyperlink>
        </w:p>
        <w:p w14:paraId="2AC99CB2" w14:textId="3F784D51" w:rsidR="00BB37BE" w:rsidRDefault="00A05F94">
          <w:pPr>
            <w:pStyle w:val="TDC2"/>
            <w:tabs>
              <w:tab w:val="right" w:leader="dot" w:pos="10338"/>
            </w:tabs>
            <w:rPr>
              <w:rFonts w:eastAsiaTheme="minorEastAsia"/>
              <w:smallCaps w:val="0"/>
              <w:noProof/>
              <w:sz w:val="22"/>
              <w:szCs w:val="22"/>
              <w:lang w:eastAsia="es-CO"/>
            </w:rPr>
          </w:pPr>
          <w:hyperlink w:anchor="_Toc8735103" w:history="1">
            <w:r w:rsidR="00BB37BE" w:rsidRPr="001E4CC7">
              <w:rPr>
                <w:rStyle w:val="Hipervnculo"/>
                <w:rFonts w:ascii="Arial" w:hAnsi="Arial" w:cs="Arial"/>
                <w:noProof/>
              </w:rPr>
              <w:t>11.4 Información financiera resumida</w:t>
            </w:r>
            <w:r w:rsidR="00BB37BE">
              <w:rPr>
                <w:noProof/>
                <w:webHidden/>
              </w:rPr>
              <w:tab/>
            </w:r>
            <w:r w:rsidR="00BB37BE">
              <w:rPr>
                <w:noProof/>
                <w:webHidden/>
              </w:rPr>
              <w:fldChar w:fldCharType="begin"/>
            </w:r>
            <w:r w:rsidR="00BB37BE">
              <w:rPr>
                <w:noProof/>
                <w:webHidden/>
              </w:rPr>
              <w:instrText xml:space="preserve"> PAGEREF _Toc8735103 \h </w:instrText>
            </w:r>
            <w:r w:rsidR="00BB37BE">
              <w:rPr>
                <w:noProof/>
                <w:webHidden/>
              </w:rPr>
            </w:r>
            <w:r w:rsidR="00BB37BE">
              <w:rPr>
                <w:noProof/>
                <w:webHidden/>
              </w:rPr>
              <w:fldChar w:fldCharType="separate"/>
            </w:r>
            <w:r w:rsidR="00BB37BE">
              <w:rPr>
                <w:noProof/>
                <w:webHidden/>
              </w:rPr>
              <w:t>44</w:t>
            </w:r>
            <w:r w:rsidR="00BB37BE">
              <w:rPr>
                <w:noProof/>
                <w:webHidden/>
              </w:rPr>
              <w:fldChar w:fldCharType="end"/>
            </w:r>
          </w:hyperlink>
        </w:p>
        <w:p w14:paraId="138D150F" w14:textId="77ED9F89" w:rsidR="00BB37BE" w:rsidRDefault="00A05F94">
          <w:pPr>
            <w:pStyle w:val="TDC2"/>
            <w:tabs>
              <w:tab w:val="right" w:leader="dot" w:pos="10338"/>
            </w:tabs>
            <w:rPr>
              <w:rFonts w:eastAsiaTheme="minorEastAsia"/>
              <w:smallCaps w:val="0"/>
              <w:noProof/>
              <w:sz w:val="22"/>
              <w:szCs w:val="22"/>
              <w:lang w:eastAsia="es-CO"/>
            </w:rPr>
          </w:pPr>
          <w:hyperlink w:anchor="_Toc8735104" w:history="1">
            <w:r w:rsidR="00BB37BE" w:rsidRPr="001E4CC7">
              <w:rPr>
                <w:rStyle w:val="Hipervnculo"/>
                <w:rFonts w:ascii="Arial" w:hAnsi="Arial" w:cs="Arial"/>
                <w:noProof/>
              </w:rPr>
              <w:t>11.5 Restricciones y compromisos significativos</w:t>
            </w:r>
            <w:r w:rsidR="00BB37BE">
              <w:rPr>
                <w:noProof/>
                <w:webHidden/>
              </w:rPr>
              <w:tab/>
            </w:r>
            <w:r w:rsidR="00BB37BE">
              <w:rPr>
                <w:noProof/>
                <w:webHidden/>
              </w:rPr>
              <w:fldChar w:fldCharType="begin"/>
            </w:r>
            <w:r w:rsidR="00BB37BE">
              <w:rPr>
                <w:noProof/>
                <w:webHidden/>
              </w:rPr>
              <w:instrText xml:space="preserve"> PAGEREF _Toc8735104 \h </w:instrText>
            </w:r>
            <w:r w:rsidR="00BB37BE">
              <w:rPr>
                <w:noProof/>
                <w:webHidden/>
              </w:rPr>
            </w:r>
            <w:r w:rsidR="00BB37BE">
              <w:rPr>
                <w:noProof/>
                <w:webHidden/>
              </w:rPr>
              <w:fldChar w:fldCharType="separate"/>
            </w:r>
            <w:r w:rsidR="00BB37BE">
              <w:rPr>
                <w:noProof/>
                <w:webHidden/>
              </w:rPr>
              <w:t>45</w:t>
            </w:r>
            <w:r w:rsidR="00BB37BE">
              <w:rPr>
                <w:noProof/>
                <w:webHidden/>
              </w:rPr>
              <w:fldChar w:fldCharType="end"/>
            </w:r>
          </w:hyperlink>
        </w:p>
        <w:p w14:paraId="266DA35D" w14:textId="1A3AC652" w:rsidR="00BB37BE" w:rsidRDefault="00A05F94">
          <w:pPr>
            <w:pStyle w:val="TDC1"/>
            <w:rPr>
              <w:rFonts w:eastAsiaTheme="minorEastAsia"/>
              <w:b w:val="0"/>
              <w:bCs w:val="0"/>
              <w:caps w:val="0"/>
              <w:noProof/>
              <w:sz w:val="22"/>
              <w:szCs w:val="22"/>
              <w:lang w:eastAsia="es-CO"/>
            </w:rPr>
          </w:pPr>
          <w:hyperlink w:anchor="_Toc8735105" w:history="1">
            <w:r w:rsidR="00BB37BE" w:rsidRPr="001E4CC7">
              <w:rPr>
                <w:rStyle w:val="Hipervnculo"/>
                <w:noProof/>
              </w:rPr>
              <w:t>Nota 12: Inversiones en subsidiarias</w:t>
            </w:r>
            <w:r w:rsidR="00BB37BE">
              <w:rPr>
                <w:noProof/>
                <w:webHidden/>
              </w:rPr>
              <w:tab/>
            </w:r>
            <w:r w:rsidR="00BB37BE">
              <w:rPr>
                <w:noProof/>
                <w:webHidden/>
              </w:rPr>
              <w:fldChar w:fldCharType="begin"/>
            </w:r>
            <w:r w:rsidR="00BB37BE">
              <w:rPr>
                <w:noProof/>
                <w:webHidden/>
              </w:rPr>
              <w:instrText xml:space="preserve"> PAGEREF _Toc8735105 \h </w:instrText>
            </w:r>
            <w:r w:rsidR="00BB37BE">
              <w:rPr>
                <w:noProof/>
                <w:webHidden/>
              </w:rPr>
            </w:r>
            <w:r w:rsidR="00BB37BE">
              <w:rPr>
                <w:noProof/>
                <w:webHidden/>
              </w:rPr>
              <w:fldChar w:fldCharType="separate"/>
            </w:r>
            <w:r w:rsidR="00BB37BE">
              <w:rPr>
                <w:noProof/>
                <w:webHidden/>
              </w:rPr>
              <w:t>46</w:t>
            </w:r>
            <w:r w:rsidR="00BB37BE">
              <w:rPr>
                <w:noProof/>
                <w:webHidden/>
              </w:rPr>
              <w:fldChar w:fldCharType="end"/>
            </w:r>
          </w:hyperlink>
        </w:p>
        <w:p w14:paraId="5720E221" w14:textId="7C06AE3E" w:rsidR="00BB37BE" w:rsidRDefault="00A05F94">
          <w:pPr>
            <w:pStyle w:val="TDC2"/>
            <w:tabs>
              <w:tab w:val="right" w:leader="dot" w:pos="10338"/>
            </w:tabs>
            <w:rPr>
              <w:rFonts w:eastAsiaTheme="minorEastAsia"/>
              <w:smallCaps w:val="0"/>
              <w:noProof/>
              <w:sz w:val="22"/>
              <w:szCs w:val="22"/>
              <w:lang w:eastAsia="es-CO"/>
            </w:rPr>
          </w:pPr>
          <w:hyperlink w:anchor="_Toc8735106" w:history="1">
            <w:r w:rsidR="00BB37BE" w:rsidRPr="001E4CC7">
              <w:rPr>
                <w:rStyle w:val="Hipervnculo"/>
                <w:rFonts w:ascii="Arial" w:hAnsi="Arial" w:cs="Arial"/>
                <w:noProof/>
              </w:rPr>
              <w:t>12.1 Información general y objeto social de las Compañías subsidiarias</w:t>
            </w:r>
            <w:r w:rsidR="00BB37BE">
              <w:rPr>
                <w:noProof/>
                <w:webHidden/>
              </w:rPr>
              <w:tab/>
            </w:r>
            <w:r w:rsidR="00BB37BE">
              <w:rPr>
                <w:noProof/>
                <w:webHidden/>
              </w:rPr>
              <w:fldChar w:fldCharType="begin"/>
            </w:r>
            <w:r w:rsidR="00BB37BE">
              <w:rPr>
                <w:noProof/>
                <w:webHidden/>
              </w:rPr>
              <w:instrText xml:space="preserve"> PAGEREF _Toc8735106 \h </w:instrText>
            </w:r>
            <w:r w:rsidR="00BB37BE">
              <w:rPr>
                <w:noProof/>
                <w:webHidden/>
              </w:rPr>
            </w:r>
            <w:r w:rsidR="00BB37BE">
              <w:rPr>
                <w:noProof/>
                <w:webHidden/>
              </w:rPr>
              <w:fldChar w:fldCharType="separate"/>
            </w:r>
            <w:r w:rsidR="00BB37BE">
              <w:rPr>
                <w:noProof/>
                <w:webHidden/>
              </w:rPr>
              <w:t>46</w:t>
            </w:r>
            <w:r w:rsidR="00BB37BE">
              <w:rPr>
                <w:noProof/>
                <w:webHidden/>
              </w:rPr>
              <w:fldChar w:fldCharType="end"/>
            </w:r>
          </w:hyperlink>
        </w:p>
        <w:p w14:paraId="238FE06F" w14:textId="4CE23138" w:rsidR="00BB37BE" w:rsidRDefault="00A05F94">
          <w:pPr>
            <w:pStyle w:val="TDC2"/>
            <w:tabs>
              <w:tab w:val="right" w:leader="dot" w:pos="10338"/>
            </w:tabs>
            <w:rPr>
              <w:rFonts w:eastAsiaTheme="minorEastAsia"/>
              <w:smallCaps w:val="0"/>
              <w:noProof/>
              <w:sz w:val="22"/>
              <w:szCs w:val="22"/>
              <w:lang w:eastAsia="es-CO"/>
            </w:rPr>
          </w:pPr>
          <w:hyperlink w:anchor="_Toc8735107" w:history="1">
            <w:r w:rsidR="00BB37BE" w:rsidRPr="001E4CC7">
              <w:rPr>
                <w:rStyle w:val="Hipervnculo"/>
                <w:rFonts w:ascii="Arial" w:hAnsi="Arial" w:cs="Arial"/>
                <w:noProof/>
              </w:rPr>
              <w:t>12.2 Cambios en la participación de propiedad en una subsidiaria</w:t>
            </w:r>
            <w:r w:rsidR="00BB37BE">
              <w:rPr>
                <w:noProof/>
                <w:webHidden/>
              </w:rPr>
              <w:tab/>
            </w:r>
            <w:r w:rsidR="00BB37BE">
              <w:rPr>
                <w:noProof/>
                <w:webHidden/>
              </w:rPr>
              <w:fldChar w:fldCharType="begin"/>
            </w:r>
            <w:r w:rsidR="00BB37BE">
              <w:rPr>
                <w:noProof/>
                <w:webHidden/>
              </w:rPr>
              <w:instrText xml:space="preserve"> PAGEREF _Toc8735107 \h </w:instrText>
            </w:r>
            <w:r w:rsidR="00BB37BE">
              <w:rPr>
                <w:noProof/>
                <w:webHidden/>
              </w:rPr>
            </w:r>
            <w:r w:rsidR="00BB37BE">
              <w:rPr>
                <w:noProof/>
                <w:webHidden/>
              </w:rPr>
              <w:fldChar w:fldCharType="separate"/>
            </w:r>
            <w:r w:rsidR="00BB37BE">
              <w:rPr>
                <w:noProof/>
                <w:webHidden/>
              </w:rPr>
              <w:t>47</w:t>
            </w:r>
            <w:r w:rsidR="00BB37BE">
              <w:rPr>
                <w:noProof/>
                <w:webHidden/>
              </w:rPr>
              <w:fldChar w:fldCharType="end"/>
            </w:r>
          </w:hyperlink>
        </w:p>
        <w:p w14:paraId="61A1D0FF" w14:textId="49195D4E" w:rsidR="00BB37BE" w:rsidRDefault="00A05F94">
          <w:pPr>
            <w:pStyle w:val="TDC2"/>
            <w:tabs>
              <w:tab w:val="right" w:leader="dot" w:pos="10338"/>
            </w:tabs>
            <w:rPr>
              <w:rFonts w:eastAsiaTheme="minorEastAsia"/>
              <w:smallCaps w:val="0"/>
              <w:noProof/>
              <w:sz w:val="22"/>
              <w:szCs w:val="22"/>
              <w:lang w:eastAsia="es-CO"/>
            </w:rPr>
          </w:pPr>
          <w:hyperlink w:anchor="_Toc8735108" w:history="1">
            <w:r w:rsidR="00BB37BE" w:rsidRPr="001E4CC7">
              <w:rPr>
                <w:rStyle w:val="Hipervnculo"/>
                <w:rFonts w:ascii="Arial" w:hAnsi="Arial" w:cs="Arial"/>
                <w:noProof/>
              </w:rPr>
              <w:t>12.3 Restricciones y compromisos significativas</w:t>
            </w:r>
            <w:r w:rsidR="00BB37BE">
              <w:rPr>
                <w:noProof/>
                <w:webHidden/>
              </w:rPr>
              <w:tab/>
            </w:r>
            <w:r w:rsidR="00BB37BE">
              <w:rPr>
                <w:noProof/>
                <w:webHidden/>
              </w:rPr>
              <w:fldChar w:fldCharType="begin"/>
            </w:r>
            <w:r w:rsidR="00BB37BE">
              <w:rPr>
                <w:noProof/>
                <w:webHidden/>
              </w:rPr>
              <w:instrText xml:space="preserve"> PAGEREF _Toc8735108 \h </w:instrText>
            </w:r>
            <w:r w:rsidR="00BB37BE">
              <w:rPr>
                <w:noProof/>
                <w:webHidden/>
              </w:rPr>
            </w:r>
            <w:r w:rsidR="00BB37BE">
              <w:rPr>
                <w:noProof/>
                <w:webHidden/>
              </w:rPr>
              <w:fldChar w:fldCharType="separate"/>
            </w:r>
            <w:r w:rsidR="00BB37BE">
              <w:rPr>
                <w:noProof/>
                <w:webHidden/>
              </w:rPr>
              <w:t>48</w:t>
            </w:r>
            <w:r w:rsidR="00BB37BE">
              <w:rPr>
                <w:noProof/>
                <w:webHidden/>
              </w:rPr>
              <w:fldChar w:fldCharType="end"/>
            </w:r>
          </w:hyperlink>
        </w:p>
        <w:p w14:paraId="17DBBC34" w14:textId="3805416F" w:rsidR="00BB37BE" w:rsidRDefault="00A05F94">
          <w:pPr>
            <w:pStyle w:val="TDC1"/>
            <w:rPr>
              <w:rFonts w:eastAsiaTheme="minorEastAsia"/>
              <w:b w:val="0"/>
              <w:bCs w:val="0"/>
              <w:caps w:val="0"/>
              <w:noProof/>
              <w:sz w:val="22"/>
              <w:szCs w:val="22"/>
              <w:lang w:eastAsia="es-CO"/>
            </w:rPr>
          </w:pPr>
          <w:hyperlink w:anchor="_Toc8735109" w:history="1">
            <w:r w:rsidR="00BB37BE" w:rsidRPr="001E4CC7">
              <w:rPr>
                <w:rStyle w:val="Hipervnculo"/>
                <w:noProof/>
              </w:rPr>
              <w:t>Nota 13: Pasivos por arrendamientos</w:t>
            </w:r>
            <w:r w:rsidR="00BB37BE">
              <w:rPr>
                <w:noProof/>
                <w:webHidden/>
              </w:rPr>
              <w:tab/>
            </w:r>
            <w:r w:rsidR="00BB37BE">
              <w:rPr>
                <w:noProof/>
                <w:webHidden/>
              </w:rPr>
              <w:fldChar w:fldCharType="begin"/>
            </w:r>
            <w:r w:rsidR="00BB37BE">
              <w:rPr>
                <w:noProof/>
                <w:webHidden/>
              </w:rPr>
              <w:instrText xml:space="preserve"> PAGEREF _Toc8735109 \h </w:instrText>
            </w:r>
            <w:r w:rsidR="00BB37BE">
              <w:rPr>
                <w:noProof/>
                <w:webHidden/>
              </w:rPr>
            </w:r>
            <w:r w:rsidR="00BB37BE">
              <w:rPr>
                <w:noProof/>
                <w:webHidden/>
              </w:rPr>
              <w:fldChar w:fldCharType="separate"/>
            </w:r>
            <w:r w:rsidR="00BB37BE">
              <w:rPr>
                <w:noProof/>
                <w:webHidden/>
              </w:rPr>
              <w:t>48</w:t>
            </w:r>
            <w:r w:rsidR="00BB37BE">
              <w:rPr>
                <w:noProof/>
                <w:webHidden/>
              </w:rPr>
              <w:fldChar w:fldCharType="end"/>
            </w:r>
          </w:hyperlink>
        </w:p>
        <w:p w14:paraId="63CFCA24" w14:textId="0F24BC00" w:rsidR="00BB37BE" w:rsidRDefault="00A05F94">
          <w:pPr>
            <w:pStyle w:val="TDC1"/>
            <w:rPr>
              <w:rFonts w:eastAsiaTheme="minorEastAsia"/>
              <w:b w:val="0"/>
              <w:bCs w:val="0"/>
              <w:caps w:val="0"/>
              <w:noProof/>
              <w:sz w:val="22"/>
              <w:szCs w:val="22"/>
              <w:lang w:eastAsia="es-CO"/>
            </w:rPr>
          </w:pPr>
          <w:hyperlink w:anchor="_Toc8735110" w:history="1">
            <w:r w:rsidR="00BB37BE" w:rsidRPr="001E4CC7">
              <w:rPr>
                <w:rStyle w:val="Hipervnculo"/>
                <w:noProof/>
              </w:rPr>
              <w:t>Nota 14: Acreedores comerciales y otras cuentas por pagar</w:t>
            </w:r>
            <w:r w:rsidR="00BB37BE">
              <w:rPr>
                <w:noProof/>
                <w:webHidden/>
              </w:rPr>
              <w:tab/>
            </w:r>
            <w:r w:rsidR="00BB37BE">
              <w:rPr>
                <w:noProof/>
                <w:webHidden/>
              </w:rPr>
              <w:fldChar w:fldCharType="begin"/>
            </w:r>
            <w:r w:rsidR="00BB37BE">
              <w:rPr>
                <w:noProof/>
                <w:webHidden/>
              </w:rPr>
              <w:instrText xml:space="preserve"> PAGEREF _Toc8735110 \h </w:instrText>
            </w:r>
            <w:r w:rsidR="00BB37BE">
              <w:rPr>
                <w:noProof/>
                <w:webHidden/>
              </w:rPr>
            </w:r>
            <w:r w:rsidR="00BB37BE">
              <w:rPr>
                <w:noProof/>
                <w:webHidden/>
              </w:rPr>
              <w:fldChar w:fldCharType="separate"/>
            </w:r>
            <w:r w:rsidR="00BB37BE">
              <w:rPr>
                <w:noProof/>
                <w:webHidden/>
              </w:rPr>
              <w:t>48</w:t>
            </w:r>
            <w:r w:rsidR="00BB37BE">
              <w:rPr>
                <w:noProof/>
                <w:webHidden/>
              </w:rPr>
              <w:fldChar w:fldCharType="end"/>
            </w:r>
          </w:hyperlink>
        </w:p>
        <w:p w14:paraId="358AAA36" w14:textId="01F769F5" w:rsidR="00BB37BE" w:rsidRDefault="00A05F94">
          <w:pPr>
            <w:pStyle w:val="TDC1"/>
            <w:rPr>
              <w:rFonts w:eastAsiaTheme="minorEastAsia"/>
              <w:b w:val="0"/>
              <w:bCs w:val="0"/>
              <w:caps w:val="0"/>
              <w:noProof/>
              <w:sz w:val="22"/>
              <w:szCs w:val="22"/>
              <w:lang w:eastAsia="es-CO"/>
            </w:rPr>
          </w:pPr>
          <w:hyperlink w:anchor="_Toc8735111" w:history="1">
            <w:r w:rsidR="00BB37BE" w:rsidRPr="001E4CC7">
              <w:rPr>
                <w:rStyle w:val="Hipervnculo"/>
                <w:noProof/>
              </w:rPr>
              <w:t>Nota 15: Capital social</w:t>
            </w:r>
            <w:r w:rsidR="00BB37BE">
              <w:rPr>
                <w:noProof/>
                <w:webHidden/>
              </w:rPr>
              <w:tab/>
            </w:r>
            <w:r w:rsidR="00BB37BE">
              <w:rPr>
                <w:noProof/>
                <w:webHidden/>
              </w:rPr>
              <w:fldChar w:fldCharType="begin"/>
            </w:r>
            <w:r w:rsidR="00BB37BE">
              <w:rPr>
                <w:noProof/>
                <w:webHidden/>
              </w:rPr>
              <w:instrText xml:space="preserve"> PAGEREF _Toc8735111 \h </w:instrText>
            </w:r>
            <w:r w:rsidR="00BB37BE">
              <w:rPr>
                <w:noProof/>
                <w:webHidden/>
              </w:rPr>
            </w:r>
            <w:r w:rsidR="00BB37BE">
              <w:rPr>
                <w:noProof/>
                <w:webHidden/>
              </w:rPr>
              <w:fldChar w:fldCharType="separate"/>
            </w:r>
            <w:r w:rsidR="00BB37BE">
              <w:rPr>
                <w:noProof/>
                <w:webHidden/>
              </w:rPr>
              <w:t>48</w:t>
            </w:r>
            <w:r w:rsidR="00BB37BE">
              <w:rPr>
                <w:noProof/>
                <w:webHidden/>
              </w:rPr>
              <w:fldChar w:fldCharType="end"/>
            </w:r>
          </w:hyperlink>
        </w:p>
        <w:p w14:paraId="23B09902" w14:textId="35C0605B" w:rsidR="00BB37BE" w:rsidRDefault="00A05F94">
          <w:pPr>
            <w:pStyle w:val="TDC1"/>
            <w:rPr>
              <w:rFonts w:eastAsiaTheme="minorEastAsia"/>
              <w:b w:val="0"/>
              <w:bCs w:val="0"/>
              <w:caps w:val="0"/>
              <w:noProof/>
              <w:sz w:val="22"/>
              <w:szCs w:val="22"/>
              <w:lang w:eastAsia="es-CO"/>
            </w:rPr>
          </w:pPr>
          <w:hyperlink w:anchor="_Toc8735112" w:history="1">
            <w:r w:rsidR="00BB37BE" w:rsidRPr="001E4CC7">
              <w:rPr>
                <w:rStyle w:val="Hipervnculo"/>
                <w:noProof/>
              </w:rPr>
              <w:t>Nota 16: Reservas y otro resultado integral</w:t>
            </w:r>
            <w:r w:rsidR="00BB37BE">
              <w:rPr>
                <w:noProof/>
                <w:webHidden/>
              </w:rPr>
              <w:tab/>
            </w:r>
            <w:r w:rsidR="00BB37BE">
              <w:rPr>
                <w:noProof/>
                <w:webHidden/>
              </w:rPr>
              <w:fldChar w:fldCharType="begin"/>
            </w:r>
            <w:r w:rsidR="00BB37BE">
              <w:rPr>
                <w:noProof/>
                <w:webHidden/>
              </w:rPr>
              <w:instrText xml:space="preserve"> PAGEREF _Toc8735112 \h </w:instrText>
            </w:r>
            <w:r w:rsidR="00BB37BE">
              <w:rPr>
                <w:noProof/>
                <w:webHidden/>
              </w:rPr>
            </w:r>
            <w:r w:rsidR="00BB37BE">
              <w:rPr>
                <w:noProof/>
                <w:webHidden/>
              </w:rPr>
              <w:fldChar w:fldCharType="separate"/>
            </w:r>
            <w:r w:rsidR="00BB37BE">
              <w:rPr>
                <w:noProof/>
                <w:webHidden/>
              </w:rPr>
              <w:t>49</w:t>
            </w:r>
            <w:r w:rsidR="00BB37BE">
              <w:rPr>
                <w:noProof/>
                <w:webHidden/>
              </w:rPr>
              <w:fldChar w:fldCharType="end"/>
            </w:r>
          </w:hyperlink>
        </w:p>
        <w:p w14:paraId="48EAAED4" w14:textId="4FE8EC0F" w:rsidR="00BB37BE" w:rsidRDefault="00A05F94">
          <w:pPr>
            <w:pStyle w:val="TDC2"/>
            <w:tabs>
              <w:tab w:val="right" w:leader="dot" w:pos="10338"/>
            </w:tabs>
            <w:rPr>
              <w:rFonts w:eastAsiaTheme="minorEastAsia"/>
              <w:smallCaps w:val="0"/>
              <w:noProof/>
              <w:sz w:val="22"/>
              <w:szCs w:val="22"/>
              <w:lang w:eastAsia="es-CO"/>
            </w:rPr>
          </w:pPr>
          <w:hyperlink w:anchor="_Toc8735113" w:history="1">
            <w:r w:rsidR="00BB37BE" w:rsidRPr="001E4CC7">
              <w:rPr>
                <w:rStyle w:val="Hipervnculo"/>
                <w:rFonts w:ascii="Arial" w:hAnsi="Arial" w:cs="Arial"/>
                <w:noProof/>
              </w:rPr>
              <w:t>16.1 Reservas</w:t>
            </w:r>
            <w:r w:rsidR="00BB37BE">
              <w:rPr>
                <w:noProof/>
                <w:webHidden/>
              </w:rPr>
              <w:tab/>
            </w:r>
            <w:r w:rsidR="00BB37BE">
              <w:rPr>
                <w:noProof/>
                <w:webHidden/>
              </w:rPr>
              <w:fldChar w:fldCharType="begin"/>
            </w:r>
            <w:r w:rsidR="00BB37BE">
              <w:rPr>
                <w:noProof/>
                <w:webHidden/>
              </w:rPr>
              <w:instrText xml:space="preserve"> PAGEREF _Toc8735113 \h </w:instrText>
            </w:r>
            <w:r w:rsidR="00BB37BE">
              <w:rPr>
                <w:noProof/>
                <w:webHidden/>
              </w:rPr>
            </w:r>
            <w:r w:rsidR="00BB37BE">
              <w:rPr>
                <w:noProof/>
                <w:webHidden/>
              </w:rPr>
              <w:fldChar w:fldCharType="separate"/>
            </w:r>
            <w:r w:rsidR="00BB37BE">
              <w:rPr>
                <w:noProof/>
                <w:webHidden/>
              </w:rPr>
              <w:t>49</w:t>
            </w:r>
            <w:r w:rsidR="00BB37BE">
              <w:rPr>
                <w:noProof/>
                <w:webHidden/>
              </w:rPr>
              <w:fldChar w:fldCharType="end"/>
            </w:r>
          </w:hyperlink>
        </w:p>
        <w:p w14:paraId="6E41D155" w14:textId="4CD54B9D" w:rsidR="00BB37BE" w:rsidRDefault="00A05F94">
          <w:pPr>
            <w:pStyle w:val="TDC2"/>
            <w:tabs>
              <w:tab w:val="right" w:leader="dot" w:pos="10338"/>
            </w:tabs>
            <w:rPr>
              <w:rFonts w:eastAsiaTheme="minorEastAsia"/>
              <w:smallCaps w:val="0"/>
              <w:noProof/>
              <w:sz w:val="22"/>
              <w:szCs w:val="22"/>
              <w:lang w:eastAsia="es-CO"/>
            </w:rPr>
          </w:pPr>
          <w:hyperlink w:anchor="_Toc8735114" w:history="1">
            <w:r w:rsidR="00BB37BE" w:rsidRPr="001E4CC7">
              <w:rPr>
                <w:rStyle w:val="Hipervnculo"/>
                <w:rFonts w:ascii="Arial" w:hAnsi="Arial" w:cs="Arial"/>
                <w:noProof/>
              </w:rPr>
              <w:t>16.2 Otro resultado integral (ORI)</w:t>
            </w:r>
            <w:r w:rsidR="00BB37BE">
              <w:rPr>
                <w:noProof/>
                <w:webHidden/>
              </w:rPr>
              <w:tab/>
            </w:r>
            <w:r w:rsidR="00BB37BE">
              <w:rPr>
                <w:noProof/>
                <w:webHidden/>
              </w:rPr>
              <w:fldChar w:fldCharType="begin"/>
            </w:r>
            <w:r w:rsidR="00BB37BE">
              <w:rPr>
                <w:noProof/>
                <w:webHidden/>
              </w:rPr>
              <w:instrText xml:space="preserve"> PAGEREF _Toc8735114 \h </w:instrText>
            </w:r>
            <w:r w:rsidR="00BB37BE">
              <w:rPr>
                <w:noProof/>
                <w:webHidden/>
              </w:rPr>
            </w:r>
            <w:r w:rsidR="00BB37BE">
              <w:rPr>
                <w:noProof/>
                <w:webHidden/>
              </w:rPr>
              <w:fldChar w:fldCharType="separate"/>
            </w:r>
            <w:r w:rsidR="00BB37BE">
              <w:rPr>
                <w:noProof/>
                <w:webHidden/>
              </w:rPr>
              <w:t>50</w:t>
            </w:r>
            <w:r w:rsidR="00BB37BE">
              <w:rPr>
                <w:noProof/>
                <w:webHidden/>
              </w:rPr>
              <w:fldChar w:fldCharType="end"/>
            </w:r>
          </w:hyperlink>
        </w:p>
        <w:p w14:paraId="6E088D4E" w14:textId="4E1DB741" w:rsidR="00BB37BE" w:rsidRDefault="00A05F94">
          <w:pPr>
            <w:pStyle w:val="TDC1"/>
            <w:rPr>
              <w:rFonts w:eastAsiaTheme="minorEastAsia"/>
              <w:b w:val="0"/>
              <w:bCs w:val="0"/>
              <w:caps w:val="0"/>
              <w:noProof/>
              <w:sz w:val="22"/>
              <w:szCs w:val="22"/>
              <w:lang w:eastAsia="es-CO"/>
            </w:rPr>
          </w:pPr>
          <w:hyperlink w:anchor="_Toc8735115" w:history="1">
            <w:r w:rsidR="00BB37BE" w:rsidRPr="001E4CC7">
              <w:rPr>
                <w:rStyle w:val="Hipervnculo"/>
                <w:noProof/>
              </w:rPr>
              <w:t>Nota 17: Otros componentes del patrimonio</w:t>
            </w:r>
            <w:r w:rsidR="00BB37BE">
              <w:rPr>
                <w:noProof/>
                <w:webHidden/>
              </w:rPr>
              <w:tab/>
            </w:r>
            <w:r w:rsidR="00BB37BE">
              <w:rPr>
                <w:noProof/>
                <w:webHidden/>
              </w:rPr>
              <w:fldChar w:fldCharType="begin"/>
            </w:r>
            <w:r w:rsidR="00BB37BE">
              <w:rPr>
                <w:noProof/>
                <w:webHidden/>
              </w:rPr>
              <w:instrText xml:space="preserve"> PAGEREF _Toc8735115 \h </w:instrText>
            </w:r>
            <w:r w:rsidR="00BB37BE">
              <w:rPr>
                <w:noProof/>
                <w:webHidden/>
              </w:rPr>
            </w:r>
            <w:r w:rsidR="00BB37BE">
              <w:rPr>
                <w:noProof/>
                <w:webHidden/>
              </w:rPr>
              <w:fldChar w:fldCharType="separate"/>
            </w:r>
            <w:r w:rsidR="00BB37BE">
              <w:rPr>
                <w:noProof/>
                <w:webHidden/>
              </w:rPr>
              <w:t>50</w:t>
            </w:r>
            <w:r w:rsidR="00BB37BE">
              <w:rPr>
                <w:noProof/>
                <w:webHidden/>
              </w:rPr>
              <w:fldChar w:fldCharType="end"/>
            </w:r>
          </w:hyperlink>
        </w:p>
        <w:p w14:paraId="5921EB09" w14:textId="34DA1CD7" w:rsidR="00BB37BE" w:rsidRDefault="00A05F94">
          <w:pPr>
            <w:pStyle w:val="TDC1"/>
            <w:rPr>
              <w:rFonts w:eastAsiaTheme="minorEastAsia"/>
              <w:b w:val="0"/>
              <w:bCs w:val="0"/>
              <w:caps w:val="0"/>
              <w:noProof/>
              <w:sz w:val="22"/>
              <w:szCs w:val="22"/>
              <w:lang w:eastAsia="es-CO"/>
            </w:rPr>
          </w:pPr>
          <w:hyperlink w:anchor="_Toc8735116" w:history="1">
            <w:r w:rsidR="00BB37BE" w:rsidRPr="001E4CC7">
              <w:rPr>
                <w:rStyle w:val="Hipervnculo"/>
                <w:noProof/>
              </w:rPr>
              <w:t>Nota 18: Dividendos</w:t>
            </w:r>
            <w:r w:rsidR="00BB37BE">
              <w:rPr>
                <w:noProof/>
                <w:webHidden/>
              </w:rPr>
              <w:tab/>
            </w:r>
            <w:r w:rsidR="00BB37BE">
              <w:rPr>
                <w:noProof/>
                <w:webHidden/>
              </w:rPr>
              <w:fldChar w:fldCharType="begin"/>
            </w:r>
            <w:r w:rsidR="00BB37BE">
              <w:rPr>
                <w:noProof/>
                <w:webHidden/>
              </w:rPr>
              <w:instrText xml:space="preserve"> PAGEREF _Toc8735116 \h </w:instrText>
            </w:r>
            <w:r w:rsidR="00BB37BE">
              <w:rPr>
                <w:noProof/>
                <w:webHidden/>
              </w:rPr>
            </w:r>
            <w:r w:rsidR="00BB37BE">
              <w:rPr>
                <w:noProof/>
                <w:webHidden/>
              </w:rPr>
              <w:fldChar w:fldCharType="separate"/>
            </w:r>
            <w:r w:rsidR="00BB37BE">
              <w:rPr>
                <w:noProof/>
                <w:webHidden/>
              </w:rPr>
              <w:t>50</w:t>
            </w:r>
            <w:r w:rsidR="00BB37BE">
              <w:rPr>
                <w:noProof/>
                <w:webHidden/>
              </w:rPr>
              <w:fldChar w:fldCharType="end"/>
            </w:r>
          </w:hyperlink>
        </w:p>
        <w:p w14:paraId="0542A24C" w14:textId="733F6EE3" w:rsidR="00BB37BE" w:rsidRDefault="00A05F94">
          <w:pPr>
            <w:pStyle w:val="TDC1"/>
            <w:rPr>
              <w:rFonts w:eastAsiaTheme="minorEastAsia"/>
              <w:b w:val="0"/>
              <w:bCs w:val="0"/>
              <w:caps w:val="0"/>
              <w:noProof/>
              <w:sz w:val="22"/>
              <w:szCs w:val="22"/>
              <w:lang w:eastAsia="es-CO"/>
            </w:rPr>
          </w:pPr>
          <w:hyperlink w:anchor="_Toc8735117" w:history="1">
            <w:r w:rsidR="00BB37BE" w:rsidRPr="001E4CC7">
              <w:rPr>
                <w:rStyle w:val="Hipervnculo"/>
                <w:noProof/>
              </w:rPr>
              <w:t>Nota 19: Ingreso de actividades ordinarias</w:t>
            </w:r>
            <w:r w:rsidR="00BB37BE">
              <w:rPr>
                <w:noProof/>
                <w:webHidden/>
              </w:rPr>
              <w:tab/>
            </w:r>
            <w:r w:rsidR="00BB37BE">
              <w:rPr>
                <w:noProof/>
                <w:webHidden/>
              </w:rPr>
              <w:fldChar w:fldCharType="begin"/>
            </w:r>
            <w:r w:rsidR="00BB37BE">
              <w:rPr>
                <w:noProof/>
                <w:webHidden/>
              </w:rPr>
              <w:instrText xml:space="preserve"> PAGEREF _Toc8735117 \h </w:instrText>
            </w:r>
            <w:r w:rsidR="00BB37BE">
              <w:rPr>
                <w:noProof/>
                <w:webHidden/>
              </w:rPr>
            </w:r>
            <w:r w:rsidR="00BB37BE">
              <w:rPr>
                <w:noProof/>
                <w:webHidden/>
              </w:rPr>
              <w:fldChar w:fldCharType="separate"/>
            </w:r>
            <w:r w:rsidR="00BB37BE">
              <w:rPr>
                <w:noProof/>
                <w:webHidden/>
              </w:rPr>
              <w:t>50</w:t>
            </w:r>
            <w:r w:rsidR="00BB37BE">
              <w:rPr>
                <w:noProof/>
                <w:webHidden/>
              </w:rPr>
              <w:fldChar w:fldCharType="end"/>
            </w:r>
          </w:hyperlink>
        </w:p>
        <w:p w14:paraId="6858F1E8" w14:textId="692A25B2" w:rsidR="00BB37BE" w:rsidRDefault="00A05F94">
          <w:pPr>
            <w:pStyle w:val="TDC1"/>
            <w:rPr>
              <w:rFonts w:eastAsiaTheme="minorEastAsia"/>
              <w:b w:val="0"/>
              <w:bCs w:val="0"/>
              <w:caps w:val="0"/>
              <w:noProof/>
              <w:sz w:val="22"/>
              <w:szCs w:val="22"/>
              <w:lang w:eastAsia="es-CO"/>
            </w:rPr>
          </w:pPr>
          <w:hyperlink w:anchor="_Toc8735118" w:history="1">
            <w:r w:rsidR="00BB37BE" w:rsidRPr="001E4CC7">
              <w:rPr>
                <w:rStyle w:val="Hipervnculo"/>
                <w:noProof/>
              </w:rPr>
              <w:t>NOTA 20: Costo de actividades ordinarias</w:t>
            </w:r>
            <w:r w:rsidR="00BB37BE">
              <w:rPr>
                <w:noProof/>
                <w:webHidden/>
              </w:rPr>
              <w:tab/>
            </w:r>
            <w:r w:rsidR="00BB37BE">
              <w:rPr>
                <w:noProof/>
                <w:webHidden/>
              </w:rPr>
              <w:fldChar w:fldCharType="begin"/>
            </w:r>
            <w:r w:rsidR="00BB37BE">
              <w:rPr>
                <w:noProof/>
                <w:webHidden/>
              </w:rPr>
              <w:instrText xml:space="preserve"> PAGEREF _Toc8735118 \h </w:instrText>
            </w:r>
            <w:r w:rsidR="00BB37BE">
              <w:rPr>
                <w:noProof/>
                <w:webHidden/>
              </w:rPr>
            </w:r>
            <w:r w:rsidR="00BB37BE">
              <w:rPr>
                <w:noProof/>
                <w:webHidden/>
              </w:rPr>
              <w:fldChar w:fldCharType="separate"/>
            </w:r>
            <w:r w:rsidR="00BB37BE">
              <w:rPr>
                <w:noProof/>
                <w:webHidden/>
              </w:rPr>
              <w:t>51</w:t>
            </w:r>
            <w:r w:rsidR="00BB37BE">
              <w:rPr>
                <w:noProof/>
                <w:webHidden/>
              </w:rPr>
              <w:fldChar w:fldCharType="end"/>
            </w:r>
          </w:hyperlink>
        </w:p>
        <w:p w14:paraId="3745493E" w14:textId="0CC398C3" w:rsidR="00BB37BE" w:rsidRDefault="00A05F94">
          <w:pPr>
            <w:pStyle w:val="TDC1"/>
            <w:rPr>
              <w:rFonts w:eastAsiaTheme="minorEastAsia"/>
              <w:b w:val="0"/>
              <w:bCs w:val="0"/>
              <w:caps w:val="0"/>
              <w:noProof/>
              <w:sz w:val="22"/>
              <w:szCs w:val="22"/>
              <w:lang w:eastAsia="es-CO"/>
            </w:rPr>
          </w:pPr>
          <w:hyperlink w:anchor="_Toc8735119" w:history="1">
            <w:r w:rsidR="00BB37BE" w:rsidRPr="001E4CC7">
              <w:rPr>
                <w:rStyle w:val="Hipervnculo"/>
                <w:noProof/>
              </w:rPr>
              <w:t>Nota 21: Gastos de administración</w:t>
            </w:r>
            <w:r w:rsidR="00BB37BE">
              <w:rPr>
                <w:noProof/>
                <w:webHidden/>
              </w:rPr>
              <w:tab/>
            </w:r>
            <w:r w:rsidR="00BB37BE">
              <w:rPr>
                <w:noProof/>
                <w:webHidden/>
              </w:rPr>
              <w:fldChar w:fldCharType="begin"/>
            </w:r>
            <w:r w:rsidR="00BB37BE">
              <w:rPr>
                <w:noProof/>
                <w:webHidden/>
              </w:rPr>
              <w:instrText xml:space="preserve"> PAGEREF _Toc8735119 \h </w:instrText>
            </w:r>
            <w:r w:rsidR="00BB37BE">
              <w:rPr>
                <w:noProof/>
                <w:webHidden/>
              </w:rPr>
            </w:r>
            <w:r w:rsidR="00BB37BE">
              <w:rPr>
                <w:noProof/>
                <w:webHidden/>
              </w:rPr>
              <w:fldChar w:fldCharType="separate"/>
            </w:r>
            <w:r w:rsidR="00BB37BE">
              <w:rPr>
                <w:noProof/>
                <w:webHidden/>
              </w:rPr>
              <w:t>52</w:t>
            </w:r>
            <w:r w:rsidR="00BB37BE">
              <w:rPr>
                <w:noProof/>
                <w:webHidden/>
              </w:rPr>
              <w:fldChar w:fldCharType="end"/>
            </w:r>
          </w:hyperlink>
        </w:p>
        <w:p w14:paraId="7817A1F1" w14:textId="166FF0CA" w:rsidR="00BB37BE" w:rsidRDefault="00A05F94">
          <w:pPr>
            <w:pStyle w:val="TDC1"/>
            <w:rPr>
              <w:rFonts w:eastAsiaTheme="minorEastAsia"/>
              <w:b w:val="0"/>
              <w:bCs w:val="0"/>
              <w:caps w:val="0"/>
              <w:noProof/>
              <w:sz w:val="22"/>
              <w:szCs w:val="22"/>
              <w:lang w:eastAsia="es-CO"/>
            </w:rPr>
          </w:pPr>
          <w:hyperlink w:anchor="_Toc8735120" w:history="1">
            <w:r w:rsidR="00BB37BE" w:rsidRPr="001E4CC7">
              <w:rPr>
                <w:rStyle w:val="Hipervnculo"/>
                <w:noProof/>
              </w:rPr>
              <w:t>Nota 22: Otros ingresos (egresos), neto</w:t>
            </w:r>
            <w:r w:rsidR="00BB37BE">
              <w:rPr>
                <w:noProof/>
                <w:webHidden/>
              </w:rPr>
              <w:tab/>
            </w:r>
            <w:r w:rsidR="00BB37BE">
              <w:rPr>
                <w:noProof/>
                <w:webHidden/>
              </w:rPr>
              <w:fldChar w:fldCharType="begin"/>
            </w:r>
            <w:r w:rsidR="00BB37BE">
              <w:rPr>
                <w:noProof/>
                <w:webHidden/>
              </w:rPr>
              <w:instrText xml:space="preserve"> PAGEREF _Toc8735120 \h </w:instrText>
            </w:r>
            <w:r w:rsidR="00BB37BE">
              <w:rPr>
                <w:noProof/>
                <w:webHidden/>
              </w:rPr>
            </w:r>
            <w:r w:rsidR="00BB37BE">
              <w:rPr>
                <w:noProof/>
                <w:webHidden/>
              </w:rPr>
              <w:fldChar w:fldCharType="separate"/>
            </w:r>
            <w:r w:rsidR="00BB37BE">
              <w:rPr>
                <w:noProof/>
                <w:webHidden/>
              </w:rPr>
              <w:t>52</w:t>
            </w:r>
            <w:r w:rsidR="00BB37BE">
              <w:rPr>
                <w:noProof/>
                <w:webHidden/>
              </w:rPr>
              <w:fldChar w:fldCharType="end"/>
            </w:r>
          </w:hyperlink>
        </w:p>
        <w:p w14:paraId="3DAC9343" w14:textId="7F435C28" w:rsidR="00BB37BE" w:rsidRDefault="00A05F94">
          <w:pPr>
            <w:pStyle w:val="TDC1"/>
            <w:rPr>
              <w:rFonts w:eastAsiaTheme="minorEastAsia"/>
              <w:b w:val="0"/>
              <w:bCs w:val="0"/>
              <w:caps w:val="0"/>
              <w:noProof/>
              <w:sz w:val="22"/>
              <w:szCs w:val="22"/>
              <w:lang w:eastAsia="es-CO"/>
            </w:rPr>
          </w:pPr>
          <w:hyperlink w:anchor="_Toc8735121" w:history="1">
            <w:r w:rsidR="00BB37BE" w:rsidRPr="001E4CC7">
              <w:rPr>
                <w:rStyle w:val="Hipervnculo"/>
                <w:noProof/>
              </w:rPr>
              <w:t>Nota 23: Ingresos (egresos) financieros, neto</w:t>
            </w:r>
            <w:r w:rsidR="00BB37BE">
              <w:rPr>
                <w:noProof/>
                <w:webHidden/>
              </w:rPr>
              <w:tab/>
            </w:r>
            <w:r w:rsidR="00BB37BE">
              <w:rPr>
                <w:noProof/>
                <w:webHidden/>
              </w:rPr>
              <w:fldChar w:fldCharType="begin"/>
            </w:r>
            <w:r w:rsidR="00BB37BE">
              <w:rPr>
                <w:noProof/>
                <w:webHidden/>
              </w:rPr>
              <w:instrText xml:space="preserve"> PAGEREF _Toc8735121 \h </w:instrText>
            </w:r>
            <w:r w:rsidR="00BB37BE">
              <w:rPr>
                <w:noProof/>
                <w:webHidden/>
              </w:rPr>
            </w:r>
            <w:r w:rsidR="00BB37BE">
              <w:rPr>
                <w:noProof/>
                <w:webHidden/>
              </w:rPr>
              <w:fldChar w:fldCharType="separate"/>
            </w:r>
            <w:r w:rsidR="00BB37BE">
              <w:rPr>
                <w:noProof/>
                <w:webHidden/>
              </w:rPr>
              <w:t>53</w:t>
            </w:r>
            <w:r w:rsidR="00BB37BE">
              <w:rPr>
                <w:noProof/>
                <w:webHidden/>
              </w:rPr>
              <w:fldChar w:fldCharType="end"/>
            </w:r>
          </w:hyperlink>
        </w:p>
        <w:p w14:paraId="209A3CCB" w14:textId="129ED8A0" w:rsidR="00BB37BE" w:rsidRDefault="00A05F94">
          <w:pPr>
            <w:pStyle w:val="TDC1"/>
            <w:rPr>
              <w:rFonts w:eastAsiaTheme="minorEastAsia"/>
              <w:b w:val="0"/>
              <w:bCs w:val="0"/>
              <w:caps w:val="0"/>
              <w:noProof/>
              <w:sz w:val="22"/>
              <w:szCs w:val="22"/>
              <w:lang w:eastAsia="es-CO"/>
            </w:rPr>
          </w:pPr>
          <w:hyperlink w:anchor="_Toc8735122" w:history="1">
            <w:r w:rsidR="00BB37BE" w:rsidRPr="001E4CC7">
              <w:rPr>
                <w:rStyle w:val="Hipervnculo"/>
                <w:noProof/>
              </w:rPr>
              <w:t>Nota 24: Ganancias por acción</w:t>
            </w:r>
            <w:r w:rsidR="00BB37BE">
              <w:rPr>
                <w:noProof/>
                <w:webHidden/>
              </w:rPr>
              <w:tab/>
            </w:r>
            <w:r w:rsidR="00BB37BE">
              <w:rPr>
                <w:noProof/>
                <w:webHidden/>
              </w:rPr>
              <w:fldChar w:fldCharType="begin"/>
            </w:r>
            <w:r w:rsidR="00BB37BE">
              <w:rPr>
                <w:noProof/>
                <w:webHidden/>
              </w:rPr>
              <w:instrText xml:space="preserve"> PAGEREF _Toc8735122 \h </w:instrText>
            </w:r>
            <w:r w:rsidR="00BB37BE">
              <w:rPr>
                <w:noProof/>
                <w:webHidden/>
              </w:rPr>
            </w:r>
            <w:r w:rsidR="00BB37BE">
              <w:rPr>
                <w:noProof/>
                <w:webHidden/>
              </w:rPr>
              <w:fldChar w:fldCharType="separate"/>
            </w:r>
            <w:r w:rsidR="00BB37BE">
              <w:rPr>
                <w:noProof/>
                <w:webHidden/>
              </w:rPr>
              <w:t>54</w:t>
            </w:r>
            <w:r w:rsidR="00BB37BE">
              <w:rPr>
                <w:noProof/>
                <w:webHidden/>
              </w:rPr>
              <w:fldChar w:fldCharType="end"/>
            </w:r>
          </w:hyperlink>
        </w:p>
        <w:p w14:paraId="581B0E36" w14:textId="54DDCB9A" w:rsidR="00BB37BE" w:rsidRDefault="00A05F94">
          <w:pPr>
            <w:pStyle w:val="TDC2"/>
            <w:tabs>
              <w:tab w:val="right" w:leader="dot" w:pos="10338"/>
            </w:tabs>
            <w:rPr>
              <w:rFonts w:eastAsiaTheme="minorEastAsia"/>
              <w:smallCaps w:val="0"/>
              <w:noProof/>
              <w:sz w:val="22"/>
              <w:szCs w:val="22"/>
              <w:lang w:eastAsia="es-CO"/>
            </w:rPr>
          </w:pPr>
          <w:hyperlink w:anchor="_Toc8735123" w:history="1">
            <w:r w:rsidR="00BB37BE" w:rsidRPr="001E4CC7">
              <w:rPr>
                <w:rStyle w:val="Hipervnculo"/>
                <w:rFonts w:ascii="Arial" w:hAnsi="Arial" w:cs="Arial"/>
                <w:noProof/>
              </w:rPr>
              <w:t>24.1 Ganancias por acción básicas ordinarias</w:t>
            </w:r>
            <w:r w:rsidR="00BB37BE">
              <w:rPr>
                <w:noProof/>
                <w:webHidden/>
              </w:rPr>
              <w:tab/>
            </w:r>
            <w:r w:rsidR="00BB37BE">
              <w:rPr>
                <w:noProof/>
                <w:webHidden/>
              </w:rPr>
              <w:fldChar w:fldCharType="begin"/>
            </w:r>
            <w:r w:rsidR="00BB37BE">
              <w:rPr>
                <w:noProof/>
                <w:webHidden/>
              </w:rPr>
              <w:instrText xml:space="preserve"> PAGEREF _Toc8735123 \h </w:instrText>
            </w:r>
            <w:r w:rsidR="00BB37BE">
              <w:rPr>
                <w:noProof/>
                <w:webHidden/>
              </w:rPr>
            </w:r>
            <w:r w:rsidR="00BB37BE">
              <w:rPr>
                <w:noProof/>
                <w:webHidden/>
              </w:rPr>
              <w:fldChar w:fldCharType="separate"/>
            </w:r>
            <w:r w:rsidR="00BB37BE">
              <w:rPr>
                <w:noProof/>
                <w:webHidden/>
              </w:rPr>
              <w:t>54</w:t>
            </w:r>
            <w:r w:rsidR="00BB37BE">
              <w:rPr>
                <w:noProof/>
                <w:webHidden/>
              </w:rPr>
              <w:fldChar w:fldCharType="end"/>
            </w:r>
          </w:hyperlink>
        </w:p>
        <w:p w14:paraId="20FD1EFC" w14:textId="774C5B32" w:rsidR="00BB37BE" w:rsidRDefault="00A05F94">
          <w:pPr>
            <w:pStyle w:val="TDC2"/>
            <w:tabs>
              <w:tab w:val="right" w:leader="dot" w:pos="10338"/>
            </w:tabs>
            <w:rPr>
              <w:rFonts w:eastAsiaTheme="minorEastAsia"/>
              <w:smallCaps w:val="0"/>
              <w:noProof/>
              <w:sz w:val="22"/>
              <w:szCs w:val="22"/>
              <w:lang w:eastAsia="es-CO"/>
            </w:rPr>
          </w:pPr>
          <w:hyperlink w:anchor="_Toc8735124" w:history="1">
            <w:r w:rsidR="00BB37BE" w:rsidRPr="001E4CC7">
              <w:rPr>
                <w:rStyle w:val="Hipervnculo"/>
                <w:rFonts w:ascii="Arial" w:hAnsi="Arial" w:cs="Arial"/>
                <w:noProof/>
              </w:rPr>
              <w:t>24.2 Ganancias por acción diluida</w:t>
            </w:r>
            <w:r w:rsidR="00BB37BE">
              <w:rPr>
                <w:noProof/>
                <w:webHidden/>
              </w:rPr>
              <w:tab/>
            </w:r>
            <w:r w:rsidR="00BB37BE">
              <w:rPr>
                <w:noProof/>
                <w:webHidden/>
              </w:rPr>
              <w:fldChar w:fldCharType="begin"/>
            </w:r>
            <w:r w:rsidR="00BB37BE">
              <w:rPr>
                <w:noProof/>
                <w:webHidden/>
              </w:rPr>
              <w:instrText xml:space="preserve"> PAGEREF _Toc8735124 \h </w:instrText>
            </w:r>
            <w:r w:rsidR="00BB37BE">
              <w:rPr>
                <w:noProof/>
                <w:webHidden/>
              </w:rPr>
            </w:r>
            <w:r w:rsidR="00BB37BE">
              <w:rPr>
                <w:noProof/>
                <w:webHidden/>
              </w:rPr>
              <w:fldChar w:fldCharType="separate"/>
            </w:r>
            <w:r w:rsidR="00BB37BE">
              <w:rPr>
                <w:noProof/>
                <w:webHidden/>
              </w:rPr>
              <w:t>54</w:t>
            </w:r>
            <w:r w:rsidR="00BB37BE">
              <w:rPr>
                <w:noProof/>
                <w:webHidden/>
              </w:rPr>
              <w:fldChar w:fldCharType="end"/>
            </w:r>
          </w:hyperlink>
        </w:p>
        <w:p w14:paraId="299A7C92" w14:textId="4691CB3D" w:rsidR="00BB37BE" w:rsidRDefault="00A05F94">
          <w:pPr>
            <w:pStyle w:val="TDC1"/>
            <w:rPr>
              <w:rFonts w:eastAsiaTheme="minorEastAsia"/>
              <w:b w:val="0"/>
              <w:bCs w:val="0"/>
              <w:caps w:val="0"/>
              <w:noProof/>
              <w:sz w:val="22"/>
              <w:szCs w:val="22"/>
              <w:lang w:eastAsia="es-CO"/>
            </w:rPr>
          </w:pPr>
          <w:hyperlink w:anchor="_Toc8735125" w:history="1">
            <w:r w:rsidR="00BB37BE" w:rsidRPr="001E4CC7">
              <w:rPr>
                <w:rStyle w:val="Hipervnculo"/>
                <w:noProof/>
              </w:rPr>
              <w:t>Nota 25: Partes relacionadas</w:t>
            </w:r>
            <w:r w:rsidR="00BB37BE">
              <w:rPr>
                <w:noProof/>
                <w:webHidden/>
              </w:rPr>
              <w:tab/>
            </w:r>
            <w:r w:rsidR="00BB37BE">
              <w:rPr>
                <w:noProof/>
                <w:webHidden/>
              </w:rPr>
              <w:fldChar w:fldCharType="begin"/>
            </w:r>
            <w:r w:rsidR="00BB37BE">
              <w:rPr>
                <w:noProof/>
                <w:webHidden/>
              </w:rPr>
              <w:instrText xml:space="preserve"> PAGEREF _Toc8735125 \h </w:instrText>
            </w:r>
            <w:r w:rsidR="00BB37BE">
              <w:rPr>
                <w:noProof/>
                <w:webHidden/>
              </w:rPr>
            </w:r>
            <w:r w:rsidR="00BB37BE">
              <w:rPr>
                <w:noProof/>
                <w:webHidden/>
              </w:rPr>
              <w:fldChar w:fldCharType="separate"/>
            </w:r>
            <w:r w:rsidR="00BB37BE">
              <w:rPr>
                <w:noProof/>
                <w:webHidden/>
              </w:rPr>
              <w:t>55</w:t>
            </w:r>
            <w:r w:rsidR="00BB37BE">
              <w:rPr>
                <w:noProof/>
                <w:webHidden/>
              </w:rPr>
              <w:fldChar w:fldCharType="end"/>
            </w:r>
          </w:hyperlink>
        </w:p>
        <w:p w14:paraId="26A9AA68" w14:textId="1085BD18" w:rsidR="00BB37BE" w:rsidRDefault="00A05F94">
          <w:pPr>
            <w:pStyle w:val="TDC1"/>
            <w:rPr>
              <w:rFonts w:eastAsiaTheme="minorEastAsia"/>
              <w:b w:val="0"/>
              <w:bCs w:val="0"/>
              <w:caps w:val="0"/>
              <w:noProof/>
              <w:sz w:val="22"/>
              <w:szCs w:val="22"/>
              <w:lang w:eastAsia="es-CO"/>
            </w:rPr>
          </w:pPr>
          <w:hyperlink w:anchor="_Toc8735126" w:history="1">
            <w:r w:rsidR="00BB37BE" w:rsidRPr="001E4CC7">
              <w:rPr>
                <w:rStyle w:val="Hipervnculo"/>
                <w:noProof/>
              </w:rPr>
              <w:t>Nota 26: Activos y pasivos contingentes</w:t>
            </w:r>
            <w:r w:rsidR="00BB37BE">
              <w:rPr>
                <w:noProof/>
                <w:webHidden/>
              </w:rPr>
              <w:tab/>
            </w:r>
            <w:r w:rsidR="00BB37BE">
              <w:rPr>
                <w:noProof/>
                <w:webHidden/>
              </w:rPr>
              <w:fldChar w:fldCharType="begin"/>
            </w:r>
            <w:r w:rsidR="00BB37BE">
              <w:rPr>
                <w:noProof/>
                <w:webHidden/>
              </w:rPr>
              <w:instrText xml:space="preserve"> PAGEREF _Toc8735126 \h </w:instrText>
            </w:r>
            <w:r w:rsidR="00BB37BE">
              <w:rPr>
                <w:noProof/>
                <w:webHidden/>
              </w:rPr>
            </w:r>
            <w:r w:rsidR="00BB37BE">
              <w:rPr>
                <w:noProof/>
                <w:webHidden/>
              </w:rPr>
              <w:fldChar w:fldCharType="separate"/>
            </w:r>
            <w:r w:rsidR="00BB37BE">
              <w:rPr>
                <w:noProof/>
                <w:webHidden/>
              </w:rPr>
              <w:t>56</w:t>
            </w:r>
            <w:r w:rsidR="00BB37BE">
              <w:rPr>
                <w:noProof/>
                <w:webHidden/>
              </w:rPr>
              <w:fldChar w:fldCharType="end"/>
            </w:r>
          </w:hyperlink>
        </w:p>
        <w:p w14:paraId="55FB288E" w14:textId="6CD3F87C" w:rsidR="00BB37BE" w:rsidRDefault="00A05F94">
          <w:pPr>
            <w:pStyle w:val="TDC1"/>
            <w:rPr>
              <w:rFonts w:eastAsiaTheme="minorEastAsia"/>
              <w:b w:val="0"/>
              <w:bCs w:val="0"/>
              <w:caps w:val="0"/>
              <w:noProof/>
              <w:sz w:val="22"/>
              <w:szCs w:val="22"/>
              <w:lang w:eastAsia="es-CO"/>
            </w:rPr>
          </w:pPr>
          <w:hyperlink w:anchor="_Toc8735127" w:history="1">
            <w:r w:rsidR="00BB37BE" w:rsidRPr="001E4CC7">
              <w:rPr>
                <w:rStyle w:val="Hipervnculo"/>
                <w:noProof/>
              </w:rPr>
              <w:t>Nota 27: Hechos ocurridos después del período sobre el que se informa</w:t>
            </w:r>
            <w:r w:rsidR="00BB37BE">
              <w:rPr>
                <w:noProof/>
                <w:webHidden/>
              </w:rPr>
              <w:tab/>
            </w:r>
            <w:r w:rsidR="00BB37BE">
              <w:rPr>
                <w:noProof/>
                <w:webHidden/>
              </w:rPr>
              <w:fldChar w:fldCharType="begin"/>
            </w:r>
            <w:r w:rsidR="00BB37BE">
              <w:rPr>
                <w:noProof/>
                <w:webHidden/>
              </w:rPr>
              <w:instrText xml:space="preserve"> PAGEREF _Toc8735127 \h </w:instrText>
            </w:r>
            <w:r w:rsidR="00BB37BE">
              <w:rPr>
                <w:noProof/>
                <w:webHidden/>
              </w:rPr>
            </w:r>
            <w:r w:rsidR="00BB37BE">
              <w:rPr>
                <w:noProof/>
                <w:webHidden/>
              </w:rPr>
              <w:fldChar w:fldCharType="separate"/>
            </w:r>
            <w:r w:rsidR="00BB37BE">
              <w:rPr>
                <w:noProof/>
                <w:webHidden/>
              </w:rPr>
              <w:t>56</w:t>
            </w:r>
            <w:r w:rsidR="00BB37BE">
              <w:rPr>
                <w:noProof/>
                <w:webHidden/>
              </w:rPr>
              <w:fldChar w:fldCharType="end"/>
            </w:r>
          </w:hyperlink>
        </w:p>
        <w:p w14:paraId="50596815" w14:textId="291FA85B" w:rsidR="00D42B87" w:rsidRPr="0009028A" w:rsidRDefault="00D42B87">
          <w:pPr>
            <w:rPr>
              <w:rFonts w:ascii="Arial" w:hAnsi="Arial" w:cs="Arial"/>
            </w:rPr>
          </w:pPr>
          <w:r w:rsidRPr="006E6D1F">
            <w:rPr>
              <w:rFonts w:ascii="Arial" w:hAnsi="Arial" w:cs="Arial"/>
              <w:b/>
              <w:bCs/>
              <w:sz w:val="18"/>
              <w:szCs w:val="18"/>
              <w:lang w:val="es-ES"/>
            </w:rPr>
            <w:fldChar w:fldCharType="end"/>
          </w:r>
        </w:p>
      </w:sdtContent>
    </w:sdt>
    <w:p w14:paraId="10FAD8DB" w14:textId="77777777" w:rsidR="00D4664C" w:rsidRPr="0009028A" w:rsidRDefault="00D4664C">
      <w:pPr>
        <w:rPr>
          <w:rFonts w:ascii="Arial" w:hAnsi="Arial" w:cs="Arial"/>
          <w:color w:val="0C2D66"/>
          <w:sz w:val="36"/>
          <w:szCs w:val="36"/>
        </w:rPr>
      </w:pPr>
      <w:r w:rsidRPr="0009028A">
        <w:rPr>
          <w:rFonts w:ascii="Arial" w:hAnsi="Arial" w:cs="Arial"/>
          <w:color w:val="0C2D66"/>
          <w:sz w:val="36"/>
          <w:szCs w:val="36"/>
        </w:rPr>
        <w:br w:type="page"/>
      </w:r>
    </w:p>
    <w:p w14:paraId="025DFA44" w14:textId="77777777" w:rsidR="00B4720C" w:rsidRPr="0009028A" w:rsidRDefault="00F45985" w:rsidP="00616CCA">
      <w:pPr>
        <w:spacing w:after="0" w:line="240" w:lineRule="auto"/>
        <w:rPr>
          <w:rFonts w:ascii="Arial" w:hAnsi="Arial" w:cs="Arial"/>
          <w:color w:val="0C2D66"/>
          <w:sz w:val="36"/>
          <w:szCs w:val="36"/>
        </w:rPr>
      </w:pPr>
      <w:r w:rsidRPr="0009028A">
        <w:rPr>
          <w:rFonts w:ascii="Arial" w:hAnsi="Arial" w:cs="Arial"/>
          <w:color w:val="0C2D66"/>
          <w:sz w:val="36"/>
          <w:szCs w:val="36"/>
        </w:rPr>
        <w:lastRenderedPageBreak/>
        <w:t>Odinsa</w:t>
      </w:r>
      <w:r w:rsidR="00945832" w:rsidRPr="0009028A">
        <w:rPr>
          <w:rFonts w:ascii="Arial" w:hAnsi="Arial" w:cs="Arial"/>
          <w:color w:val="0C2D66"/>
          <w:sz w:val="36"/>
          <w:szCs w:val="36"/>
        </w:rPr>
        <w:t xml:space="preserve"> S.</w:t>
      </w:r>
      <w:r w:rsidR="00B4720C" w:rsidRPr="0009028A">
        <w:rPr>
          <w:rFonts w:ascii="Arial" w:hAnsi="Arial" w:cs="Arial"/>
          <w:color w:val="0C2D66"/>
          <w:sz w:val="36"/>
          <w:szCs w:val="36"/>
        </w:rPr>
        <w:t xml:space="preserve">A. </w:t>
      </w:r>
    </w:p>
    <w:p w14:paraId="6A56B8B9" w14:textId="77777777" w:rsidR="00B4720C" w:rsidRPr="0009028A" w:rsidRDefault="00B4720C" w:rsidP="00616CCA">
      <w:pPr>
        <w:pStyle w:val="Ttulo1"/>
        <w:spacing w:after="0"/>
      </w:pPr>
      <w:bookmarkStart w:id="2" w:name="_Toc8735025"/>
      <w:bookmarkStart w:id="3" w:name="_Toc506991876"/>
      <w:r w:rsidRPr="0009028A">
        <w:t>Estado</w:t>
      </w:r>
      <w:r w:rsidR="00224611" w:rsidRPr="0009028A">
        <w:t>s</w:t>
      </w:r>
      <w:r w:rsidRPr="0009028A">
        <w:t xml:space="preserve"> </w:t>
      </w:r>
      <w:r w:rsidR="00C82E26" w:rsidRPr="0009028A">
        <w:t xml:space="preserve">intermedios </w:t>
      </w:r>
      <w:r w:rsidR="00224611" w:rsidRPr="0009028A">
        <w:t xml:space="preserve">condensados </w:t>
      </w:r>
      <w:r w:rsidR="003573E2" w:rsidRPr="0009028A">
        <w:t xml:space="preserve">separados </w:t>
      </w:r>
      <w:r w:rsidRPr="0009028A">
        <w:t>de situación financiera</w:t>
      </w:r>
      <w:bookmarkEnd w:id="2"/>
      <w:r w:rsidRPr="0009028A">
        <w:t xml:space="preserve"> </w:t>
      </w:r>
      <w:bookmarkEnd w:id="3"/>
    </w:p>
    <w:p w14:paraId="1BF98FFE" w14:textId="77777777" w:rsidR="00B4720C" w:rsidRPr="0009028A" w:rsidRDefault="003573E2" w:rsidP="00616CCA">
      <w:pPr>
        <w:spacing w:after="0" w:line="240" w:lineRule="auto"/>
        <w:rPr>
          <w:rFonts w:ascii="Arial" w:hAnsi="Arial" w:cs="Arial"/>
          <w:sz w:val="20"/>
          <w:szCs w:val="20"/>
        </w:rPr>
      </w:pPr>
      <w:r w:rsidRPr="0009028A">
        <w:rPr>
          <w:rFonts w:ascii="Arial" w:hAnsi="Arial" w:cs="Arial"/>
          <w:sz w:val="20"/>
          <w:szCs w:val="20"/>
        </w:rPr>
        <w:t>(</w:t>
      </w:r>
      <w:r w:rsidR="00913A00" w:rsidRPr="0009028A">
        <w:rPr>
          <w:rFonts w:ascii="Arial" w:hAnsi="Arial" w:cs="Arial"/>
          <w:sz w:val="20"/>
          <w:szCs w:val="20"/>
        </w:rPr>
        <w:t>E</w:t>
      </w:r>
      <w:r w:rsidRPr="0009028A">
        <w:rPr>
          <w:rFonts w:ascii="Arial" w:hAnsi="Arial" w:cs="Arial"/>
          <w:sz w:val="20"/>
          <w:szCs w:val="20"/>
        </w:rPr>
        <w:t>xpresados e</w:t>
      </w:r>
      <w:r w:rsidR="00913A00" w:rsidRPr="0009028A">
        <w:rPr>
          <w:rFonts w:ascii="Arial" w:hAnsi="Arial" w:cs="Arial"/>
          <w:sz w:val="20"/>
          <w:szCs w:val="20"/>
        </w:rPr>
        <w:t xml:space="preserve">n miles </w:t>
      </w:r>
      <w:r w:rsidR="00B4720C" w:rsidRPr="0009028A">
        <w:rPr>
          <w:rFonts w:ascii="Arial" w:hAnsi="Arial" w:cs="Arial"/>
          <w:sz w:val="20"/>
          <w:szCs w:val="20"/>
        </w:rPr>
        <w:t>de pesos</w:t>
      </w:r>
      <w:r w:rsidR="00C82E26" w:rsidRPr="0009028A">
        <w:rPr>
          <w:rFonts w:ascii="Arial" w:hAnsi="Arial" w:cs="Arial"/>
          <w:sz w:val="20"/>
          <w:szCs w:val="20"/>
        </w:rPr>
        <w:t xml:space="preserve"> Colombianos</w:t>
      </w:r>
      <w:r w:rsidRPr="0009028A">
        <w:rPr>
          <w:rFonts w:ascii="Arial" w:hAnsi="Arial" w:cs="Arial"/>
          <w:sz w:val="20"/>
          <w:szCs w:val="20"/>
        </w:rPr>
        <w:t>)</w:t>
      </w:r>
    </w:p>
    <w:p w14:paraId="5015B447" w14:textId="77777777" w:rsidR="00F60660" w:rsidRPr="0009028A" w:rsidRDefault="00F60660" w:rsidP="009108E6">
      <w:pPr>
        <w:spacing w:after="0"/>
        <w:rPr>
          <w:rFonts w:ascii="Arial" w:hAnsi="Arial" w:cs="Arial"/>
          <w:sz w:val="20"/>
        </w:rPr>
      </w:pPr>
    </w:p>
    <w:p w14:paraId="6BB1D9B0" w14:textId="77777777" w:rsidR="004869C8" w:rsidRPr="0009028A" w:rsidRDefault="004869C8" w:rsidP="00175942">
      <w:pPr>
        <w:spacing w:after="0"/>
        <w:rPr>
          <w:rFonts w:ascii="Arial" w:hAnsi="Arial" w:cs="Arial"/>
          <w:sz w:val="20"/>
        </w:rPr>
      </w:pPr>
    </w:p>
    <w:tbl>
      <w:tblPr>
        <w:tblW w:w="4412" w:type="pct"/>
        <w:tblCellMar>
          <w:left w:w="70" w:type="dxa"/>
          <w:right w:w="70" w:type="dxa"/>
        </w:tblCellMar>
        <w:tblLook w:val="04A0" w:firstRow="1" w:lastRow="0" w:firstColumn="1" w:lastColumn="0" w:noHBand="0" w:noVBand="1"/>
      </w:tblPr>
      <w:tblGrid>
        <w:gridCol w:w="4776"/>
        <w:gridCol w:w="623"/>
        <w:gridCol w:w="283"/>
        <w:gridCol w:w="1585"/>
        <w:gridCol w:w="281"/>
        <w:gridCol w:w="1583"/>
      </w:tblGrid>
      <w:tr w:rsidR="00133184" w:rsidRPr="0009028A" w14:paraId="121820B2" w14:textId="77777777" w:rsidTr="00E97933">
        <w:trPr>
          <w:trHeight w:val="227"/>
        </w:trPr>
        <w:tc>
          <w:tcPr>
            <w:tcW w:w="2614" w:type="pct"/>
            <w:shd w:val="clear" w:color="auto" w:fill="auto"/>
            <w:noWrap/>
            <w:vAlign w:val="center"/>
            <w:hideMark/>
          </w:tcPr>
          <w:p w14:paraId="20F9233C" w14:textId="77777777" w:rsidR="00133184" w:rsidRPr="0009028A" w:rsidRDefault="00133184" w:rsidP="00133184">
            <w:pPr>
              <w:spacing w:after="0" w:line="240" w:lineRule="auto"/>
              <w:jc w:val="center"/>
              <w:rPr>
                <w:rFonts w:ascii="Arial" w:eastAsia="Times New Roman" w:hAnsi="Arial" w:cs="Arial"/>
                <w:sz w:val="18"/>
                <w:szCs w:val="18"/>
                <w:lang w:eastAsia="es-CO"/>
              </w:rPr>
            </w:pPr>
            <w:bookmarkStart w:id="4" w:name="OLE_LINK1"/>
          </w:p>
        </w:tc>
        <w:tc>
          <w:tcPr>
            <w:tcW w:w="341" w:type="pct"/>
            <w:shd w:val="clear" w:color="auto" w:fill="auto"/>
            <w:vAlign w:val="center"/>
            <w:hideMark/>
          </w:tcPr>
          <w:p w14:paraId="10C976A9" w14:textId="77777777" w:rsidR="00133184" w:rsidRPr="0009028A" w:rsidRDefault="00133184" w:rsidP="00133184">
            <w:pPr>
              <w:spacing w:after="0" w:line="240" w:lineRule="auto"/>
              <w:jc w:val="center"/>
              <w:rPr>
                <w:rFonts w:ascii="Arial" w:eastAsia="Times New Roman" w:hAnsi="Arial" w:cs="Arial"/>
                <w:b/>
                <w:bCs/>
                <w:sz w:val="16"/>
                <w:szCs w:val="16"/>
                <w:lang w:eastAsia="es-CO"/>
              </w:rPr>
            </w:pPr>
            <w:r w:rsidRPr="0009028A">
              <w:rPr>
                <w:rFonts w:ascii="Arial" w:eastAsia="Times New Roman" w:hAnsi="Arial" w:cs="Arial"/>
                <w:b/>
                <w:bCs/>
                <w:sz w:val="16"/>
                <w:szCs w:val="16"/>
                <w:lang w:eastAsia="es-CO"/>
              </w:rPr>
              <w:t>Notas</w:t>
            </w:r>
          </w:p>
        </w:tc>
        <w:tc>
          <w:tcPr>
            <w:tcW w:w="155" w:type="pct"/>
            <w:vAlign w:val="center"/>
          </w:tcPr>
          <w:p w14:paraId="1BD9FE46" w14:textId="77777777" w:rsidR="00133184" w:rsidRPr="0009028A" w:rsidRDefault="00133184" w:rsidP="00133184">
            <w:pPr>
              <w:spacing w:after="0" w:line="240" w:lineRule="auto"/>
              <w:jc w:val="center"/>
              <w:rPr>
                <w:rFonts w:ascii="Arial" w:eastAsia="Times New Roman" w:hAnsi="Arial" w:cs="Arial"/>
                <w:b/>
                <w:bCs/>
                <w:sz w:val="16"/>
                <w:szCs w:val="16"/>
                <w:lang w:eastAsia="es-CO"/>
              </w:rPr>
            </w:pPr>
          </w:p>
        </w:tc>
        <w:tc>
          <w:tcPr>
            <w:tcW w:w="868" w:type="pct"/>
            <w:shd w:val="clear" w:color="auto" w:fill="auto"/>
            <w:vAlign w:val="center"/>
            <w:hideMark/>
          </w:tcPr>
          <w:p w14:paraId="14FC84D8" w14:textId="77777777" w:rsidR="00133184" w:rsidRPr="0009028A" w:rsidRDefault="00133184" w:rsidP="00133184">
            <w:pPr>
              <w:spacing w:after="0" w:line="240" w:lineRule="auto"/>
              <w:jc w:val="center"/>
              <w:rPr>
                <w:rFonts w:ascii="Arial" w:eastAsia="Times New Roman" w:hAnsi="Arial" w:cs="Arial"/>
                <w:b/>
                <w:bCs/>
                <w:sz w:val="16"/>
                <w:szCs w:val="16"/>
                <w:lang w:eastAsia="es-CO"/>
              </w:rPr>
            </w:pPr>
            <w:r w:rsidRPr="0009028A">
              <w:rPr>
                <w:rFonts w:ascii="Arial" w:eastAsia="Times New Roman" w:hAnsi="Arial" w:cs="Arial"/>
                <w:b/>
                <w:bCs/>
                <w:sz w:val="16"/>
                <w:szCs w:val="16"/>
                <w:lang w:eastAsia="es-CO"/>
              </w:rPr>
              <w:t>31 de marzo de 2019</w:t>
            </w:r>
          </w:p>
        </w:tc>
        <w:tc>
          <w:tcPr>
            <w:tcW w:w="154" w:type="pct"/>
          </w:tcPr>
          <w:p w14:paraId="5B347067" w14:textId="77777777" w:rsidR="00133184" w:rsidRPr="0009028A" w:rsidRDefault="00133184" w:rsidP="00133184">
            <w:pPr>
              <w:spacing w:after="0" w:line="240" w:lineRule="auto"/>
              <w:jc w:val="center"/>
              <w:rPr>
                <w:rFonts w:ascii="Arial" w:eastAsia="Times New Roman" w:hAnsi="Arial" w:cs="Arial"/>
                <w:b/>
                <w:bCs/>
                <w:sz w:val="16"/>
                <w:szCs w:val="16"/>
                <w:lang w:eastAsia="es-CO"/>
              </w:rPr>
            </w:pPr>
          </w:p>
        </w:tc>
        <w:tc>
          <w:tcPr>
            <w:tcW w:w="867" w:type="pct"/>
            <w:shd w:val="clear" w:color="auto" w:fill="auto"/>
            <w:vAlign w:val="center"/>
            <w:hideMark/>
          </w:tcPr>
          <w:p w14:paraId="36811BE6" w14:textId="7C36BE6E" w:rsidR="00133184" w:rsidRPr="0009028A" w:rsidRDefault="00133184" w:rsidP="00133184">
            <w:pPr>
              <w:spacing w:after="0" w:line="240" w:lineRule="auto"/>
              <w:jc w:val="center"/>
              <w:rPr>
                <w:rFonts w:ascii="Arial" w:eastAsia="Times New Roman" w:hAnsi="Arial" w:cs="Arial"/>
                <w:b/>
                <w:bCs/>
                <w:sz w:val="16"/>
                <w:szCs w:val="16"/>
                <w:lang w:eastAsia="es-CO"/>
              </w:rPr>
            </w:pPr>
            <w:r w:rsidRPr="0009028A">
              <w:rPr>
                <w:rFonts w:ascii="Arial" w:eastAsia="Times New Roman" w:hAnsi="Arial" w:cs="Arial"/>
                <w:b/>
                <w:bCs/>
                <w:sz w:val="16"/>
                <w:szCs w:val="16"/>
                <w:lang w:eastAsia="es-CO"/>
              </w:rPr>
              <w:t>31 de diciembre de 2018</w:t>
            </w:r>
          </w:p>
        </w:tc>
      </w:tr>
      <w:tr w:rsidR="00133184" w:rsidRPr="0009028A" w14:paraId="474C42E0" w14:textId="77777777" w:rsidTr="00E97933">
        <w:trPr>
          <w:trHeight w:val="227"/>
        </w:trPr>
        <w:tc>
          <w:tcPr>
            <w:tcW w:w="2614" w:type="pct"/>
            <w:shd w:val="clear" w:color="auto" w:fill="auto"/>
            <w:noWrap/>
            <w:vAlign w:val="bottom"/>
            <w:hideMark/>
          </w:tcPr>
          <w:p w14:paraId="42AB13D9" w14:textId="77777777" w:rsidR="00133184" w:rsidRPr="0009028A" w:rsidRDefault="00133184" w:rsidP="00CA5E2B">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Activos</w:t>
            </w:r>
          </w:p>
        </w:tc>
        <w:tc>
          <w:tcPr>
            <w:tcW w:w="341" w:type="pct"/>
            <w:shd w:val="clear" w:color="auto" w:fill="auto"/>
            <w:noWrap/>
            <w:vAlign w:val="center"/>
            <w:hideMark/>
          </w:tcPr>
          <w:p w14:paraId="382534BD" w14:textId="77777777" w:rsidR="00133184" w:rsidRPr="0009028A" w:rsidRDefault="00133184" w:rsidP="00133184">
            <w:pPr>
              <w:spacing w:after="0" w:line="240" w:lineRule="auto"/>
              <w:jc w:val="center"/>
              <w:rPr>
                <w:rFonts w:ascii="Arial" w:eastAsia="Times New Roman" w:hAnsi="Arial" w:cs="Arial"/>
                <w:b/>
                <w:bCs/>
                <w:sz w:val="18"/>
                <w:szCs w:val="18"/>
                <w:lang w:eastAsia="es-CO"/>
              </w:rPr>
            </w:pPr>
          </w:p>
        </w:tc>
        <w:tc>
          <w:tcPr>
            <w:tcW w:w="155" w:type="pct"/>
            <w:vAlign w:val="center"/>
          </w:tcPr>
          <w:p w14:paraId="06650663" w14:textId="77777777" w:rsidR="00133184" w:rsidRPr="0009028A" w:rsidRDefault="00133184" w:rsidP="00133184">
            <w:pPr>
              <w:spacing w:after="0" w:line="240" w:lineRule="auto"/>
              <w:jc w:val="center"/>
              <w:rPr>
                <w:rFonts w:ascii="Arial" w:eastAsia="Times New Roman" w:hAnsi="Arial" w:cs="Arial"/>
                <w:sz w:val="18"/>
                <w:szCs w:val="18"/>
                <w:lang w:eastAsia="es-CO"/>
              </w:rPr>
            </w:pPr>
          </w:p>
        </w:tc>
        <w:tc>
          <w:tcPr>
            <w:tcW w:w="868" w:type="pct"/>
            <w:shd w:val="clear" w:color="auto" w:fill="auto"/>
            <w:noWrap/>
            <w:vAlign w:val="center"/>
            <w:hideMark/>
          </w:tcPr>
          <w:p w14:paraId="6CB2C1A1" w14:textId="77777777" w:rsidR="00133184" w:rsidRPr="0009028A" w:rsidRDefault="00133184" w:rsidP="00133184">
            <w:pPr>
              <w:spacing w:after="0" w:line="240" w:lineRule="auto"/>
              <w:jc w:val="right"/>
              <w:rPr>
                <w:rFonts w:ascii="Arial" w:eastAsia="Times New Roman" w:hAnsi="Arial" w:cs="Arial"/>
                <w:sz w:val="18"/>
                <w:szCs w:val="18"/>
                <w:lang w:eastAsia="es-CO"/>
              </w:rPr>
            </w:pPr>
          </w:p>
        </w:tc>
        <w:tc>
          <w:tcPr>
            <w:tcW w:w="154" w:type="pct"/>
          </w:tcPr>
          <w:p w14:paraId="0E537982" w14:textId="77777777" w:rsidR="00133184" w:rsidRPr="0009028A" w:rsidRDefault="00133184" w:rsidP="00133184">
            <w:pPr>
              <w:spacing w:after="0" w:line="240" w:lineRule="auto"/>
              <w:jc w:val="right"/>
              <w:rPr>
                <w:rFonts w:ascii="Arial" w:eastAsia="Times New Roman" w:hAnsi="Arial" w:cs="Arial"/>
                <w:sz w:val="18"/>
                <w:szCs w:val="18"/>
                <w:lang w:eastAsia="es-CO"/>
              </w:rPr>
            </w:pPr>
          </w:p>
        </w:tc>
        <w:tc>
          <w:tcPr>
            <w:tcW w:w="867" w:type="pct"/>
            <w:shd w:val="clear" w:color="auto" w:fill="auto"/>
            <w:noWrap/>
            <w:vAlign w:val="center"/>
            <w:hideMark/>
          </w:tcPr>
          <w:p w14:paraId="20BB2A23" w14:textId="05C915BC" w:rsidR="00133184" w:rsidRPr="0009028A" w:rsidRDefault="00133184" w:rsidP="00133184">
            <w:pPr>
              <w:spacing w:after="0" w:line="240" w:lineRule="auto"/>
              <w:jc w:val="right"/>
              <w:rPr>
                <w:rFonts w:ascii="Arial" w:eastAsia="Times New Roman" w:hAnsi="Arial" w:cs="Arial"/>
                <w:sz w:val="18"/>
                <w:szCs w:val="18"/>
                <w:lang w:eastAsia="es-CO"/>
              </w:rPr>
            </w:pPr>
          </w:p>
        </w:tc>
      </w:tr>
      <w:tr w:rsidR="00133184" w:rsidRPr="0009028A" w14:paraId="72040F4D" w14:textId="77777777" w:rsidTr="00E97933">
        <w:trPr>
          <w:trHeight w:val="227"/>
        </w:trPr>
        <w:tc>
          <w:tcPr>
            <w:tcW w:w="2614" w:type="pct"/>
            <w:shd w:val="clear" w:color="auto" w:fill="auto"/>
            <w:noWrap/>
            <w:vAlign w:val="bottom"/>
            <w:hideMark/>
          </w:tcPr>
          <w:p w14:paraId="53AE7420" w14:textId="77777777" w:rsidR="00133184" w:rsidRPr="0009028A" w:rsidRDefault="00133184" w:rsidP="00CA5E2B">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Activos corrientes</w:t>
            </w:r>
          </w:p>
        </w:tc>
        <w:tc>
          <w:tcPr>
            <w:tcW w:w="341" w:type="pct"/>
            <w:shd w:val="clear" w:color="auto" w:fill="auto"/>
            <w:noWrap/>
            <w:vAlign w:val="center"/>
            <w:hideMark/>
          </w:tcPr>
          <w:p w14:paraId="66A9C6EA" w14:textId="012777FC" w:rsidR="00133184" w:rsidRPr="0009028A" w:rsidRDefault="00133184" w:rsidP="00133184">
            <w:pPr>
              <w:spacing w:after="0" w:line="240" w:lineRule="auto"/>
              <w:jc w:val="center"/>
              <w:rPr>
                <w:rFonts w:ascii="Arial" w:eastAsia="Times New Roman" w:hAnsi="Arial" w:cs="Arial"/>
                <w:b/>
                <w:bCs/>
                <w:sz w:val="18"/>
                <w:szCs w:val="18"/>
                <w:lang w:eastAsia="es-CO"/>
              </w:rPr>
            </w:pPr>
          </w:p>
        </w:tc>
        <w:tc>
          <w:tcPr>
            <w:tcW w:w="155" w:type="pct"/>
            <w:vAlign w:val="center"/>
          </w:tcPr>
          <w:p w14:paraId="1A40F04D" w14:textId="77777777" w:rsidR="00133184" w:rsidRPr="0009028A" w:rsidRDefault="00133184" w:rsidP="00133184">
            <w:pPr>
              <w:spacing w:after="0" w:line="240" w:lineRule="auto"/>
              <w:jc w:val="center"/>
              <w:rPr>
                <w:rFonts w:ascii="Arial" w:eastAsia="Times New Roman" w:hAnsi="Arial" w:cs="Arial"/>
                <w:sz w:val="18"/>
                <w:szCs w:val="18"/>
                <w:lang w:eastAsia="es-CO"/>
              </w:rPr>
            </w:pPr>
          </w:p>
        </w:tc>
        <w:tc>
          <w:tcPr>
            <w:tcW w:w="868" w:type="pct"/>
            <w:shd w:val="clear" w:color="auto" w:fill="auto"/>
            <w:noWrap/>
            <w:vAlign w:val="center"/>
            <w:hideMark/>
          </w:tcPr>
          <w:p w14:paraId="484F8606" w14:textId="5B994991" w:rsidR="00133184" w:rsidRPr="0009028A" w:rsidRDefault="00133184" w:rsidP="00133184">
            <w:pPr>
              <w:spacing w:after="0" w:line="240" w:lineRule="auto"/>
              <w:jc w:val="right"/>
              <w:rPr>
                <w:rFonts w:ascii="Arial" w:eastAsia="Times New Roman" w:hAnsi="Arial" w:cs="Arial"/>
                <w:sz w:val="18"/>
                <w:szCs w:val="18"/>
                <w:lang w:eastAsia="es-CO"/>
              </w:rPr>
            </w:pPr>
          </w:p>
        </w:tc>
        <w:tc>
          <w:tcPr>
            <w:tcW w:w="154" w:type="pct"/>
          </w:tcPr>
          <w:p w14:paraId="6482B6F0" w14:textId="77777777" w:rsidR="00133184" w:rsidRPr="0009028A" w:rsidRDefault="00133184" w:rsidP="00133184">
            <w:pPr>
              <w:spacing w:after="0" w:line="240" w:lineRule="auto"/>
              <w:jc w:val="right"/>
              <w:rPr>
                <w:rFonts w:ascii="Arial" w:eastAsia="Times New Roman" w:hAnsi="Arial" w:cs="Arial"/>
                <w:sz w:val="18"/>
                <w:szCs w:val="18"/>
                <w:lang w:eastAsia="es-CO"/>
              </w:rPr>
            </w:pPr>
          </w:p>
        </w:tc>
        <w:tc>
          <w:tcPr>
            <w:tcW w:w="867" w:type="pct"/>
            <w:shd w:val="clear" w:color="auto" w:fill="auto"/>
            <w:noWrap/>
            <w:vAlign w:val="center"/>
            <w:hideMark/>
          </w:tcPr>
          <w:p w14:paraId="2DD57C08" w14:textId="33692A26" w:rsidR="00133184" w:rsidRPr="0009028A" w:rsidRDefault="00133184" w:rsidP="00133184">
            <w:pPr>
              <w:spacing w:after="0" w:line="240" w:lineRule="auto"/>
              <w:jc w:val="right"/>
              <w:rPr>
                <w:rFonts w:ascii="Arial" w:eastAsia="Times New Roman" w:hAnsi="Arial" w:cs="Arial"/>
                <w:sz w:val="18"/>
                <w:szCs w:val="18"/>
                <w:lang w:eastAsia="es-CO"/>
              </w:rPr>
            </w:pPr>
          </w:p>
        </w:tc>
      </w:tr>
      <w:tr w:rsidR="00133184" w:rsidRPr="0009028A" w14:paraId="1D5BEF62" w14:textId="77777777" w:rsidTr="00E97933">
        <w:trPr>
          <w:trHeight w:val="227"/>
        </w:trPr>
        <w:tc>
          <w:tcPr>
            <w:tcW w:w="2614" w:type="pct"/>
            <w:shd w:val="clear" w:color="auto" w:fill="auto"/>
            <w:noWrap/>
            <w:vAlign w:val="bottom"/>
            <w:hideMark/>
          </w:tcPr>
          <w:p w14:paraId="20CBF95B" w14:textId="77777777" w:rsidR="00133184" w:rsidRPr="0009028A" w:rsidRDefault="00133184" w:rsidP="0065786D">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Efectivo y equivalentes de efectivo</w:t>
            </w:r>
          </w:p>
        </w:tc>
        <w:tc>
          <w:tcPr>
            <w:tcW w:w="341" w:type="pct"/>
            <w:shd w:val="clear" w:color="auto" w:fill="auto"/>
            <w:noWrap/>
            <w:vAlign w:val="center"/>
          </w:tcPr>
          <w:p w14:paraId="4C29DF9D" w14:textId="77777777" w:rsidR="00133184" w:rsidRPr="0009028A" w:rsidRDefault="00133184" w:rsidP="00133184">
            <w:pPr>
              <w:spacing w:after="0" w:line="240" w:lineRule="auto"/>
              <w:jc w:val="center"/>
              <w:rPr>
                <w:rFonts w:ascii="Arial" w:eastAsia="Times New Roman" w:hAnsi="Arial" w:cs="Arial"/>
                <w:sz w:val="18"/>
                <w:szCs w:val="18"/>
                <w:lang w:eastAsia="es-CO"/>
              </w:rPr>
            </w:pPr>
            <w:r w:rsidRPr="0009028A">
              <w:rPr>
                <w:rFonts w:ascii="Arial" w:eastAsia="Times New Roman" w:hAnsi="Arial" w:cs="Arial"/>
                <w:sz w:val="18"/>
                <w:szCs w:val="18"/>
                <w:lang w:eastAsia="es-CO"/>
              </w:rPr>
              <w:t>5</w:t>
            </w:r>
          </w:p>
        </w:tc>
        <w:tc>
          <w:tcPr>
            <w:tcW w:w="155" w:type="pct"/>
            <w:vAlign w:val="center"/>
          </w:tcPr>
          <w:p w14:paraId="7D7475C7" w14:textId="77777777" w:rsidR="00133184" w:rsidRPr="0009028A" w:rsidRDefault="00133184" w:rsidP="00133184">
            <w:pPr>
              <w:spacing w:after="0" w:line="240" w:lineRule="auto"/>
              <w:jc w:val="center"/>
              <w:rPr>
                <w:rFonts w:ascii="Arial" w:hAnsi="Arial" w:cs="Arial"/>
                <w:sz w:val="18"/>
                <w:szCs w:val="18"/>
              </w:rPr>
            </w:pPr>
            <w:r w:rsidRPr="0009028A">
              <w:rPr>
                <w:rFonts w:ascii="Arial" w:hAnsi="Arial" w:cs="Arial"/>
                <w:sz w:val="18"/>
                <w:szCs w:val="18"/>
              </w:rPr>
              <w:t>$</w:t>
            </w:r>
          </w:p>
        </w:tc>
        <w:tc>
          <w:tcPr>
            <w:tcW w:w="868" w:type="pct"/>
            <w:shd w:val="clear" w:color="auto" w:fill="auto"/>
            <w:noWrap/>
            <w:vAlign w:val="center"/>
          </w:tcPr>
          <w:p w14:paraId="77D75B23"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9.295.619</w:t>
            </w:r>
          </w:p>
        </w:tc>
        <w:tc>
          <w:tcPr>
            <w:tcW w:w="154" w:type="pct"/>
          </w:tcPr>
          <w:p w14:paraId="741E7F8D" w14:textId="77777777" w:rsidR="00133184" w:rsidRPr="0009028A" w:rsidRDefault="00133184" w:rsidP="00133184">
            <w:pPr>
              <w:spacing w:after="0" w:line="240" w:lineRule="auto"/>
              <w:jc w:val="right"/>
              <w:rPr>
                <w:rFonts w:ascii="Arial" w:hAnsi="Arial" w:cs="Arial"/>
                <w:sz w:val="18"/>
                <w:szCs w:val="18"/>
              </w:rPr>
            </w:pPr>
          </w:p>
        </w:tc>
        <w:tc>
          <w:tcPr>
            <w:tcW w:w="867" w:type="pct"/>
            <w:shd w:val="clear" w:color="auto" w:fill="auto"/>
            <w:noWrap/>
            <w:vAlign w:val="center"/>
            <w:hideMark/>
          </w:tcPr>
          <w:p w14:paraId="1BD033B2" w14:textId="05B10BCE"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16.668.426</w:t>
            </w:r>
          </w:p>
        </w:tc>
      </w:tr>
      <w:tr w:rsidR="00133184" w:rsidRPr="0009028A" w14:paraId="6184BBF4" w14:textId="77777777" w:rsidTr="00E97933">
        <w:trPr>
          <w:trHeight w:val="227"/>
        </w:trPr>
        <w:tc>
          <w:tcPr>
            <w:tcW w:w="2614" w:type="pct"/>
            <w:shd w:val="clear" w:color="auto" w:fill="auto"/>
            <w:noWrap/>
            <w:vAlign w:val="bottom"/>
          </w:tcPr>
          <w:p w14:paraId="6AFB5386" w14:textId="77777777" w:rsidR="00133184" w:rsidRPr="0009028A" w:rsidRDefault="00133184" w:rsidP="0065786D">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Instrumentos financieros derivados</w:t>
            </w:r>
          </w:p>
        </w:tc>
        <w:tc>
          <w:tcPr>
            <w:tcW w:w="341" w:type="pct"/>
            <w:shd w:val="clear" w:color="auto" w:fill="auto"/>
            <w:noWrap/>
            <w:vAlign w:val="center"/>
          </w:tcPr>
          <w:p w14:paraId="46C01C1D" w14:textId="77777777" w:rsidR="00133184" w:rsidRPr="0009028A" w:rsidRDefault="00133184" w:rsidP="00133184">
            <w:pPr>
              <w:spacing w:after="0" w:line="240" w:lineRule="auto"/>
              <w:jc w:val="center"/>
              <w:rPr>
                <w:rFonts w:ascii="Arial" w:eastAsia="Times New Roman" w:hAnsi="Arial" w:cs="Arial"/>
                <w:sz w:val="18"/>
                <w:szCs w:val="18"/>
                <w:lang w:eastAsia="es-CO"/>
              </w:rPr>
            </w:pPr>
          </w:p>
        </w:tc>
        <w:tc>
          <w:tcPr>
            <w:tcW w:w="155" w:type="pct"/>
            <w:vAlign w:val="center"/>
          </w:tcPr>
          <w:p w14:paraId="530355AF" w14:textId="77777777" w:rsidR="00133184" w:rsidRPr="0009028A" w:rsidRDefault="00133184" w:rsidP="00133184">
            <w:pPr>
              <w:spacing w:after="0" w:line="240" w:lineRule="auto"/>
              <w:jc w:val="center"/>
              <w:rPr>
                <w:rFonts w:ascii="Arial" w:hAnsi="Arial" w:cs="Arial"/>
                <w:sz w:val="18"/>
                <w:szCs w:val="18"/>
              </w:rPr>
            </w:pPr>
          </w:p>
        </w:tc>
        <w:tc>
          <w:tcPr>
            <w:tcW w:w="868" w:type="pct"/>
            <w:shd w:val="clear" w:color="auto" w:fill="auto"/>
            <w:noWrap/>
            <w:vAlign w:val="center"/>
          </w:tcPr>
          <w:p w14:paraId="41FAE98D"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4.631.363</w:t>
            </w:r>
          </w:p>
        </w:tc>
        <w:tc>
          <w:tcPr>
            <w:tcW w:w="154" w:type="pct"/>
          </w:tcPr>
          <w:p w14:paraId="769CACAC" w14:textId="77777777" w:rsidR="00133184" w:rsidRPr="0009028A" w:rsidRDefault="00133184" w:rsidP="00133184">
            <w:pPr>
              <w:spacing w:after="0" w:line="240" w:lineRule="auto"/>
              <w:jc w:val="right"/>
              <w:rPr>
                <w:rFonts w:ascii="Arial" w:hAnsi="Arial" w:cs="Arial"/>
                <w:sz w:val="18"/>
                <w:szCs w:val="18"/>
              </w:rPr>
            </w:pPr>
          </w:p>
        </w:tc>
        <w:tc>
          <w:tcPr>
            <w:tcW w:w="867" w:type="pct"/>
            <w:shd w:val="clear" w:color="auto" w:fill="auto"/>
            <w:noWrap/>
            <w:vAlign w:val="center"/>
          </w:tcPr>
          <w:p w14:paraId="51DE8AEE" w14:textId="51103A62"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5.888.825</w:t>
            </w:r>
          </w:p>
        </w:tc>
      </w:tr>
      <w:tr w:rsidR="00133184" w:rsidRPr="0009028A" w14:paraId="2D53C268" w14:textId="77777777" w:rsidTr="00E97933">
        <w:trPr>
          <w:trHeight w:val="227"/>
        </w:trPr>
        <w:tc>
          <w:tcPr>
            <w:tcW w:w="2614" w:type="pct"/>
            <w:shd w:val="clear" w:color="auto" w:fill="auto"/>
            <w:noWrap/>
            <w:vAlign w:val="bottom"/>
            <w:hideMark/>
          </w:tcPr>
          <w:p w14:paraId="3C2B6445" w14:textId="77777777" w:rsidR="00133184" w:rsidRPr="0009028A" w:rsidRDefault="00133184" w:rsidP="0065786D">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Deudores comerciales y otras cuentas por cobrar, neto</w:t>
            </w:r>
          </w:p>
        </w:tc>
        <w:tc>
          <w:tcPr>
            <w:tcW w:w="341" w:type="pct"/>
            <w:shd w:val="clear" w:color="auto" w:fill="auto"/>
            <w:noWrap/>
            <w:vAlign w:val="center"/>
          </w:tcPr>
          <w:p w14:paraId="67B282BB" w14:textId="4A939F89" w:rsidR="00133184" w:rsidRPr="0009028A" w:rsidRDefault="00F75D67" w:rsidP="00133184">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7</w:t>
            </w:r>
          </w:p>
        </w:tc>
        <w:tc>
          <w:tcPr>
            <w:tcW w:w="155" w:type="pct"/>
            <w:vAlign w:val="center"/>
          </w:tcPr>
          <w:p w14:paraId="464E2DB4" w14:textId="77777777" w:rsidR="00133184" w:rsidRPr="0009028A" w:rsidRDefault="00133184" w:rsidP="00133184">
            <w:pPr>
              <w:spacing w:after="0" w:line="240" w:lineRule="auto"/>
              <w:jc w:val="center"/>
              <w:rPr>
                <w:rFonts w:ascii="Arial" w:hAnsi="Arial" w:cs="Arial"/>
                <w:sz w:val="18"/>
                <w:szCs w:val="18"/>
              </w:rPr>
            </w:pPr>
          </w:p>
        </w:tc>
        <w:tc>
          <w:tcPr>
            <w:tcW w:w="868" w:type="pct"/>
            <w:shd w:val="clear" w:color="auto" w:fill="auto"/>
            <w:noWrap/>
            <w:vAlign w:val="center"/>
          </w:tcPr>
          <w:p w14:paraId="403C3033"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97.422.909</w:t>
            </w:r>
          </w:p>
        </w:tc>
        <w:tc>
          <w:tcPr>
            <w:tcW w:w="154" w:type="pct"/>
          </w:tcPr>
          <w:p w14:paraId="571F2873" w14:textId="77777777" w:rsidR="00133184" w:rsidRPr="0009028A" w:rsidRDefault="00133184" w:rsidP="00133184">
            <w:pPr>
              <w:spacing w:after="0" w:line="240" w:lineRule="auto"/>
              <w:jc w:val="right"/>
              <w:rPr>
                <w:rFonts w:ascii="Arial" w:hAnsi="Arial" w:cs="Arial"/>
                <w:sz w:val="18"/>
                <w:szCs w:val="18"/>
              </w:rPr>
            </w:pPr>
          </w:p>
        </w:tc>
        <w:tc>
          <w:tcPr>
            <w:tcW w:w="867" w:type="pct"/>
            <w:shd w:val="clear" w:color="auto" w:fill="auto"/>
            <w:noWrap/>
            <w:vAlign w:val="center"/>
            <w:hideMark/>
          </w:tcPr>
          <w:p w14:paraId="6011FE40" w14:textId="739931FA"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77.429.146</w:t>
            </w:r>
          </w:p>
        </w:tc>
      </w:tr>
      <w:tr w:rsidR="00133184" w:rsidRPr="0009028A" w14:paraId="12083A17" w14:textId="77777777" w:rsidTr="00E97933">
        <w:trPr>
          <w:trHeight w:val="227"/>
        </w:trPr>
        <w:tc>
          <w:tcPr>
            <w:tcW w:w="2614" w:type="pct"/>
            <w:shd w:val="clear" w:color="auto" w:fill="auto"/>
            <w:noWrap/>
            <w:vAlign w:val="bottom"/>
            <w:hideMark/>
          </w:tcPr>
          <w:p w14:paraId="0155CB81" w14:textId="77777777" w:rsidR="00133184" w:rsidRPr="0009028A" w:rsidRDefault="00133184" w:rsidP="0065786D">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Activos por impuestos</w:t>
            </w:r>
          </w:p>
        </w:tc>
        <w:tc>
          <w:tcPr>
            <w:tcW w:w="341" w:type="pct"/>
            <w:shd w:val="clear" w:color="auto" w:fill="auto"/>
            <w:noWrap/>
            <w:vAlign w:val="center"/>
          </w:tcPr>
          <w:p w14:paraId="536CBE6C" w14:textId="77777777" w:rsidR="00133184" w:rsidRPr="0009028A" w:rsidRDefault="00133184" w:rsidP="00133184">
            <w:pPr>
              <w:spacing w:after="0" w:line="240" w:lineRule="auto"/>
              <w:jc w:val="center"/>
              <w:rPr>
                <w:rFonts w:ascii="Arial" w:eastAsia="Times New Roman" w:hAnsi="Arial" w:cs="Arial"/>
                <w:sz w:val="18"/>
                <w:szCs w:val="18"/>
                <w:lang w:eastAsia="es-CO"/>
              </w:rPr>
            </w:pPr>
          </w:p>
        </w:tc>
        <w:tc>
          <w:tcPr>
            <w:tcW w:w="155" w:type="pct"/>
            <w:vAlign w:val="center"/>
          </w:tcPr>
          <w:p w14:paraId="0DD215AC" w14:textId="77777777" w:rsidR="00133184" w:rsidRPr="0009028A" w:rsidRDefault="00133184" w:rsidP="00133184">
            <w:pPr>
              <w:spacing w:after="0" w:line="240" w:lineRule="auto"/>
              <w:jc w:val="center"/>
              <w:rPr>
                <w:rFonts w:ascii="Arial" w:hAnsi="Arial" w:cs="Arial"/>
                <w:sz w:val="18"/>
                <w:szCs w:val="18"/>
              </w:rPr>
            </w:pPr>
          </w:p>
        </w:tc>
        <w:tc>
          <w:tcPr>
            <w:tcW w:w="868" w:type="pct"/>
            <w:shd w:val="clear" w:color="auto" w:fill="auto"/>
            <w:noWrap/>
            <w:vAlign w:val="center"/>
          </w:tcPr>
          <w:p w14:paraId="4F961DA8"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20.332.266</w:t>
            </w:r>
          </w:p>
        </w:tc>
        <w:tc>
          <w:tcPr>
            <w:tcW w:w="154" w:type="pct"/>
          </w:tcPr>
          <w:p w14:paraId="2BDE0BB1" w14:textId="77777777" w:rsidR="00133184" w:rsidRPr="0009028A" w:rsidRDefault="00133184" w:rsidP="00133184">
            <w:pPr>
              <w:spacing w:after="0" w:line="240" w:lineRule="auto"/>
              <w:jc w:val="right"/>
              <w:rPr>
                <w:rFonts w:ascii="Arial" w:hAnsi="Arial" w:cs="Arial"/>
                <w:sz w:val="18"/>
                <w:szCs w:val="18"/>
              </w:rPr>
            </w:pPr>
          </w:p>
        </w:tc>
        <w:tc>
          <w:tcPr>
            <w:tcW w:w="867" w:type="pct"/>
            <w:shd w:val="clear" w:color="auto" w:fill="auto"/>
            <w:noWrap/>
            <w:vAlign w:val="center"/>
            <w:hideMark/>
          </w:tcPr>
          <w:p w14:paraId="4CFC9C62" w14:textId="615F9B84"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19.296.773</w:t>
            </w:r>
          </w:p>
        </w:tc>
      </w:tr>
      <w:tr w:rsidR="00133184" w:rsidRPr="0009028A" w14:paraId="38C799DC" w14:textId="77777777" w:rsidTr="00E97933">
        <w:trPr>
          <w:trHeight w:val="191"/>
        </w:trPr>
        <w:tc>
          <w:tcPr>
            <w:tcW w:w="2614" w:type="pct"/>
            <w:shd w:val="clear" w:color="auto" w:fill="auto"/>
            <w:noWrap/>
            <w:vAlign w:val="bottom"/>
          </w:tcPr>
          <w:p w14:paraId="60A939B4" w14:textId="77777777" w:rsidR="00133184" w:rsidRPr="0009028A" w:rsidRDefault="00133184" w:rsidP="0065786D">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Otros activos no financieros</w:t>
            </w:r>
          </w:p>
        </w:tc>
        <w:tc>
          <w:tcPr>
            <w:tcW w:w="341" w:type="pct"/>
            <w:shd w:val="clear" w:color="auto" w:fill="auto"/>
            <w:noWrap/>
            <w:vAlign w:val="center"/>
          </w:tcPr>
          <w:p w14:paraId="571794D1" w14:textId="77777777" w:rsidR="00133184" w:rsidRPr="0009028A" w:rsidRDefault="00133184" w:rsidP="00133184">
            <w:pPr>
              <w:spacing w:after="0" w:line="240" w:lineRule="auto"/>
              <w:jc w:val="center"/>
              <w:rPr>
                <w:rFonts w:ascii="Arial" w:eastAsia="Times New Roman" w:hAnsi="Arial" w:cs="Arial"/>
                <w:sz w:val="18"/>
                <w:szCs w:val="18"/>
                <w:lang w:eastAsia="es-CO"/>
              </w:rPr>
            </w:pPr>
          </w:p>
        </w:tc>
        <w:tc>
          <w:tcPr>
            <w:tcW w:w="155" w:type="pct"/>
            <w:vAlign w:val="center"/>
          </w:tcPr>
          <w:p w14:paraId="3EB4FB61" w14:textId="77777777" w:rsidR="00133184" w:rsidRPr="0009028A" w:rsidRDefault="00133184" w:rsidP="00133184">
            <w:pPr>
              <w:spacing w:after="0" w:line="240" w:lineRule="auto"/>
              <w:jc w:val="center"/>
              <w:rPr>
                <w:rFonts w:ascii="Arial" w:hAnsi="Arial" w:cs="Arial"/>
                <w:sz w:val="18"/>
                <w:szCs w:val="18"/>
              </w:rPr>
            </w:pPr>
          </w:p>
        </w:tc>
        <w:tc>
          <w:tcPr>
            <w:tcW w:w="868" w:type="pct"/>
            <w:shd w:val="clear" w:color="auto" w:fill="auto"/>
            <w:noWrap/>
            <w:vAlign w:val="center"/>
          </w:tcPr>
          <w:p w14:paraId="401C8FD4"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7.243.267</w:t>
            </w:r>
          </w:p>
        </w:tc>
        <w:tc>
          <w:tcPr>
            <w:tcW w:w="154" w:type="pct"/>
          </w:tcPr>
          <w:p w14:paraId="650FFA02" w14:textId="77777777" w:rsidR="00133184" w:rsidRPr="0009028A" w:rsidRDefault="00133184" w:rsidP="00133184">
            <w:pPr>
              <w:spacing w:after="0" w:line="240" w:lineRule="auto"/>
              <w:jc w:val="right"/>
              <w:rPr>
                <w:rFonts w:ascii="Arial" w:hAnsi="Arial" w:cs="Arial"/>
                <w:sz w:val="18"/>
                <w:szCs w:val="18"/>
              </w:rPr>
            </w:pPr>
          </w:p>
        </w:tc>
        <w:tc>
          <w:tcPr>
            <w:tcW w:w="867" w:type="pct"/>
            <w:shd w:val="clear" w:color="auto" w:fill="auto"/>
            <w:noWrap/>
            <w:vAlign w:val="center"/>
          </w:tcPr>
          <w:p w14:paraId="22C69ED2" w14:textId="00735EFF"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336.041</w:t>
            </w:r>
          </w:p>
        </w:tc>
      </w:tr>
      <w:tr w:rsidR="00133184" w:rsidRPr="0009028A" w14:paraId="35549512" w14:textId="77777777" w:rsidTr="00E97933">
        <w:trPr>
          <w:trHeight w:val="191"/>
        </w:trPr>
        <w:tc>
          <w:tcPr>
            <w:tcW w:w="2614" w:type="pct"/>
            <w:shd w:val="clear" w:color="auto" w:fill="auto"/>
            <w:noWrap/>
            <w:vAlign w:val="bottom"/>
            <w:hideMark/>
          </w:tcPr>
          <w:p w14:paraId="5C664FE8" w14:textId="77777777" w:rsidR="00133184" w:rsidRPr="0009028A" w:rsidRDefault="00133184" w:rsidP="0065786D">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Activos clasificados como mantenidos para la venta</w:t>
            </w:r>
          </w:p>
        </w:tc>
        <w:tc>
          <w:tcPr>
            <w:tcW w:w="341" w:type="pct"/>
            <w:shd w:val="clear" w:color="auto" w:fill="auto"/>
            <w:noWrap/>
            <w:vAlign w:val="center"/>
          </w:tcPr>
          <w:p w14:paraId="5C145FF4" w14:textId="77777777" w:rsidR="00133184" w:rsidRPr="0009028A" w:rsidRDefault="00133184" w:rsidP="00133184">
            <w:pPr>
              <w:spacing w:after="0" w:line="240" w:lineRule="auto"/>
              <w:jc w:val="center"/>
              <w:rPr>
                <w:rFonts w:ascii="Arial" w:eastAsia="Times New Roman" w:hAnsi="Arial" w:cs="Arial"/>
                <w:sz w:val="18"/>
                <w:szCs w:val="18"/>
                <w:lang w:eastAsia="es-CO"/>
              </w:rPr>
            </w:pPr>
          </w:p>
        </w:tc>
        <w:tc>
          <w:tcPr>
            <w:tcW w:w="155" w:type="pct"/>
            <w:vAlign w:val="center"/>
          </w:tcPr>
          <w:p w14:paraId="14B20A54" w14:textId="77777777" w:rsidR="00133184" w:rsidRPr="0009028A" w:rsidRDefault="00133184" w:rsidP="00133184">
            <w:pPr>
              <w:spacing w:after="0" w:line="240" w:lineRule="auto"/>
              <w:jc w:val="center"/>
              <w:rPr>
                <w:rFonts w:ascii="Arial" w:hAnsi="Arial" w:cs="Arial"/>
                <w:sz w:val="18"/>
                <w:szCs w:val="18"/>
              </w:rPr>
            </w:pPr>
          </w:p>
        </w:tc>
        <w:tc>
          <w:tcPr>
            <w:tcW w:w="868" w:type="pct"/>
            <w:shd w:val="clear" w:color="auto" w:fill="auto"/>
            <w:noWrap/>
            <w:vAlign w:val="center"/>
          </w:tcPr>
          <w:p w14:paraId="0D430792" w14:textId="25001C96" w:rsidR="00133184" w:rsidRPr="0009028A" w:rsidRDefault="00133184" w:rsidP="00133184">
            <w:pPr>
              <w:spacing w:after="0" w:line="240" w:lineRule="auto"/>
              <w:jc w:val="right"/>
              <w:rPr>
                <w:rFonts w:ascii="Arial" w:hAnsi="Arial" w:cs="Arial"/>
                <w:sz w:val="18"/>
                <w:szCs w:val="18"/>
                <w:u w:val="single"/>
              </w:rPr>
            </w:pPr>
            <w:r w:rsidRPr="0009028A">
              <w:rPr>
                <w:rFonts w:ascii="Arial" w:hAnsi="Arial" w:cs="Arial"/>
                <w:sz w:val="18"/>
                <w:szCs w:val="18"/>
                <w:u w:val="single"/>
              </w:rPr>
              <w:t>24.243.264</w:t>
            </w:r>
          </w:p>
        </w:tc>
        <w:tc>
          <w:tcPr>
            <w:tcW w:w="154" w:type="pct"/>
          </w:tcPr>
          <w:p w14:paraId="0ED5A25D" w14:textId="77777777" w:rsidR="00133184" w:rsidRPr="0009028A" w:rsidRDefault="00133184" w:rsidP="00133184">
            <w:pPr>
              <w:spacing w:after="0" w:line="240" w:lineRule="auto"/>
              <w:jc w:val="right"/>
              <w:rPr>
                <w:rFonts w:ascii="Arial" w:hAnsi="Arial" w:cs="Arial"/>
                <w:sz w:val="18"/>
                <w:szCs w:val="18"/>
                <w:u w:val="single"/>
              </w:rPr>
            </w:pPr>
          </w:p>
        </w:tc>
        <w:tc>
          <w:tcPr>
            <w:tcW w:w="867" w:type="pct"/>
            <w:shd w:val="clear" w:color="auto" w:fill="auto"/>
            <w:noWrap/>
            <w:vAlign w:val="center"/>
            <w:hideMark/>
          </w:tcPr>
          <w:p w14:paraId="5F86115A" w14:textId="30F7005C" w:rsidR="00133184" w:rsidRPr="0009028A" w:rsidRDefault="00133184" w:rsidP="00133184">
            <w:pPr>
              <w:spacing w:after="0" w:line="240" w:lineRule="auto"/>
              <w:jc w:val="right"/>
              <w:rPr>
                <w:rFonts w:ascii="Arial" w:hAnsi="Arial" w:cs="Arial"/>
                <w:sz w:val="18"/>
                <w:szCs w:val="18"/>
                <w:u w:val="single"/>
              </w:rPr>
            </w:pPr>
            <w:r w:rsidRPr="0009028A">
              <w:rPr>
                <w:rFonts w:ascii="Arial" w:hAnsi="Arial" w:cs="Arial"/>
                <w:sz w:val="18"/>
                <w:szCs w:val="18"/>
                <w:u w:val="single"/>
              </w:rPr>
              <w:t>24.243.264</w:t>
            </w:r>
          </w:p>
        </w:tc>
      </w:tr>
      <w:tr w:rsidR="00133184" w:rsidRPr="0009028A" w14:paraId="0F17D4C5" w14:textId="77777777" w:rsidTr="00E97933">
        <w:trPr>
          <w:trHeight w:val="227"/>
        </w:trPr>
        <w:tc>
          <w:tcPr>
            <w:tcW w:w="2614" w:type="pct"/>
            <w:shd w:val="clear" w:color="auto" w:fill="auto"/>
            <w:noWrap/>
            <w:vAlign w:val="bottom"/>
            <w:hideMark/>
          </w:tcPr>
          <w:p w14:paraId="08E7922F" w14:textId="77777777" w:rsidR="00133184" w:rsidRPr="0009028A" w:rsidRDefault="00133184" w:rsidP="00205950">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Total activos corrientes</w:t>
            </w:r>
          </w:p>
        </w:tc>
        <w:tc>
          <w:tcPr>
            <w:tcW w:w="341" w:type="pct"/>
            <w:shd w:val="clear" w:color="auto" w:fill="auto"/>
            <w:noWrap/>
            <w:vAlign w:val="center"/>
          </w:tcPr>
          <w:p w14:paraId="36DFC2DB" w14:textId="77777777" w:rsidR="00133184" w:rsidRPr="0009028A" w:rsidRDefault="00133184" w:rsidP="00133184">
            <w:pPr>
              <w:spacing w:after="0" w:line="240" w:lineRule="auto"/>
              <w:jc w:val="center"/>
              <w:rPr>
                <w:rFonts w:ascii="Arial" w:eastAsia="Times New Roman" w:hAnsi="Arial" w:cs="Arial"/>
                <w:sz w:val="18"/>
                <w:szCs w:val="18"/>
                <w:lang w:eastAsia="es-CO"/>
              </w:rPr>
            </w:pPr>
          </w:p>
        </w:tc>
        <w:tc>
          <w:tcPr>
            <w:tcW w:w="155" w:type="pct"/>
            <w:vAlign w:val="center"/>
          </w:tcPr>
          <w:p w14:paraId="414324B9" w14:textId="77777777" w:rsidR="00133184" w:rsidRPr="0009028A" w:rsidRDefault="00133184" w:rsidP="00133184">
            <w:pPr>
              <w:spacing w:after="0" w:line="240" w:lineRule="auto"/>
              <w:jc w:val="center"/>
              <w:rPr>
                <w:rFonts w:ascii="Arial" w:hAnsi="Arial" w:cs="Arial"/>
                <w:bCs/>
                <w:sz w:val="18"/>
                <w:szCs w:val="18"/>
              </w:rPr>
            </w:pPr>
            <w:r w:rsidRPr="0009028A">
              <w:rPr>
                <w:rFonts w:ascii="Arial" w:hAnsi="Arial" w:cs="Arial"/>
                <w:bCs/>
                <w:sz w:val="18"/>
                <w:szCs w:val="18"/>
              </w:rPr>
              <w:t>$</w:t>
            </w:r>
          </w:p>
        </w:tc>
        <w:tc>
          <w:tcPr>
            <w:tcW w:w="868" w:type="pct"/>
            <w:shd w:val="clear" w:color="auto" w:fill="auto"/>
            <w:noWrap/>
            <w:vAlign w:val="center"/>
          </w:tcPr>
          <w:p w14:paraId="47E4ACE4" w14:textId="27057507" w:rsidR="00133184" w:rsidRPr="0009028A" w:rsidRDefault="00133184" w:rsidP="00133184">
            <w:pPr>
              <w:spacing w:after="0" w:line="240" w:lineRule="auto"/>
              <w:jc w:val="right"/>
              <w:rPr>
                <w:rFonts w:ascii="Arial" w:hAnsi="Arial" w:cs="Arial"/>
                <w:sz w:val="18"/>
                <w:szCs w:val="18"/>
                <w:u w:val="double"/>
              </w:rPr>
            </w:pPr>
            <w:r w:rsidRPr="0009028A">
              <w:rPr>
                <w:rFonts w:ascii="Arial" w:hAnsi="Arial" w:cs="Arial"/>
                <w:b/>
                <w:bCs/>
                <w:sz w:val="18"/>
                <w:szCs w:val="18"/>
                <w:u w:val="double"/>
              </w:rPr>
              <w:t>163.168.688</w:t>
            </w:r>
          </w:p>
        </w:tc>
        <w:tc>
          <w:tcPr>
            <w:tcW w:w="154" w:type="pct"/>
          </w:tcPr>
          <w:p w14:paraId="27CA3CCB" w14:textId="77777777" w:rsidR="00133184" w:rsidRPr="0009028A" w:rsidRDefault="00133184" w:rsidP="00133184">
            <w:pPr>
              <w:spacing w:after="0" w:line="240" w:lineRule="auto"/>
              <w:jc w:val="right"/>
              <w:rPr>
                <w:rFonts w:ascii="Arial" w:hAnsi="Arial" w:cs="Arial"/>
                <w:b/>
                <w:bCs/>
                <w:sz w:val="18"/>
                <w:szCs w:val="18"/>
                <w:u w:val="double"/>
              </w:rPr>
            </w:pPr>
          </w:p>
        </w:tc>
        <w:tc>
          <w:tcPr>
            <w:tcW w:w="867" w:type="pct"/>
            <w:shd w:val="clear" w:color="auto" w:fill="auto"/>
            <w:noWrap/>
            <w:vAlign w:val="center"/>
            <w:hideMark/>
          </w:tcPr>
          <w:p w14:paraId="2AC97EF2" w14:textId="34C29491" w:rsidR="00133184" w:rsidRPr="0009028A" w:rsidRDefault="00133184" w:rsidP="00133184">
            <w:pPr>
              <w:spacing w:after="0" w:line="240" w:lineRule="auto"/>
              <w:jc w:val="right"/>
              <w:rPr>
                <w:rFonts w:ascii="Arial" w:hAnsi="Arial" w:cs="Arial"/>
                <w:b/>
                <w:bCs/>
                <w:sz w:val="18"/>
                <w:szCs w:val="18"/>
                <w:u w:val="double"/>
              </w:rPr>
            </w:pPr>
            <w:r w:rsidRPr="0009028A">
              <w:rPr>
                <w:rFonts w:ascii="Arial" w:hAnsi="Arial" w:cs="Arial"/>
                <w:b/>
                <w:bCs/>
                <w:sz w:val="18"/>
                <w:szCs w:val="18"/>
                <w:u w:val="double"/>
              </w:rPr>
              <w:t>143.862.475</w:t>
            </w:r>
          </w:p>
        </w:tc>
      </w:tr>
      <w:tr w:rsidR="00133184" w:rsidRPr="0009028A" w14:paraId="0546D714" w14:textId="77777777" w:rsidTr="00E97933">
        <w:trPr>
          <w:trHeight w:val="227"/>
        </w:trPr>
        <w:tc>
          <w:tcPr>
            <w:tcW w:w="2614" w:type="pct"/>
            <w:shd w:val="clear" w:color="auto" w:fill="auto"/>
            <w:noWrap/>
            <w:vAlign w:val="bottom"/>
            <w:hideMark/>
          </w:tcPr>
          <w:p w14:paraId="204A4EA7" w14:textId="77777777" w:rsidR="00133184" w:rsidRPr="0009028A" w:rsidRDefault="00133184" w:rsidP="00F60660">
            <w:pPr>
              <w:spacing w:after="0" w:line="240" w:lineRule="auto"/>
              <w:jc w:val="center"/>
              <w:rPr>
                <w:rFonts w:ascii="Arial" w:eastAsia="Times New Roman" w:hAnsi="Arial" w:cs="Arial"/>
                <w:b/>
                <w:bCs/>
                <w:sz w:val="18"/>
                <w:szCs w:val="18"/>
                <w:lang w:eastAsia="es-CO"/>
              </w:rPr>
            </w:pPr>
          </w:p>
        </w:tc>
        <w:tc>
          <w:tcPr>
            <w:tcW w:w="341" w:type="pct"/>
            <w:shd w:val="clear" w:color="auto" w:fill="auto"/>
            <w:noWrap/>
            <w:vAlign w:val="center"/>
          </w:tcPr>
          <w:p w14:paraId="5DB82246" w14:textId="77777777" w:rsidR="00133184" w:rsidRPr="0009028A" w:rsidRDefault="00133184" w:rsidP="00133184">
            <w:pPr>
              <w:spacing w:after="0" w:line="240" w:lineRule="auto"/>
              <w:jc w:val="center"/>
              <w:rPr>
                <w:rFonts w:ascii="Arial" w:eastAsia="Times New Roman" w:hAnsi="Arial" w:cs="Arial"/>
                <w:sz w:val="18"/>
                <w:szCs w:val="18"/>
                <w:lang w:eastAsia="es-CO"/>
              </w:rPr>
            </w:pPr>
          </w:p>
        </w:tc>
        <w:tc>
          <w:tcPr>
            <w:tcW w:w="155" w:type="pct"/>
            <w:vAlign w:val="center"/>
          </w:tcPr>
          <w:p w14:paraId="7C07CDD0"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868" w:type="pct"/>
            <w:shd w:val="clear" w:color="auto" w:fill="auto"/>
            <w:noWrap/>
            <w:vAlign w:val="center"/>
          </w:tcPr>
          <w:p w14:paraId="526FA477" w14:textId="77777777" w:rsidR="00133184" w:rsidRPr="0009028A" w:rsidRDefault="00133184" w:rsidP="00133184">
            <w:pPr>
              <w:spacing w:after="0" w:line="240" w:lineRule="auto"/>
              <w:jc w:val="right"/>
              <w:rPr>
                <w:rFonts w:ascii="Arial" w:eastAsia="Times New Roman" w:hAnsi="Arial" w:cs="Arial"/>
                <w:sz w:val="18"/>
                <w:szCs w:val="18"/>
                <w:highlight w:val="yellow"/>
                <w:lang w:eastAsia="es-CO"/>
              </w:rPr>
            </w:pPr>
          </w:p>
        </w:tc>
        <w:tc>
          <w:tcPr>
            <w:tcW w:w="154" w:type="pct"/>
          </w:tcPr>
          <w:p w14:paraId="33C474F8" w14:textId="77777777" w:rsidR="00133184" w:rsidRPr="0009028A" w:rsidRDefault="00133184" w:rsidP="00133184">
            <w:pPr>
              <w:spacing w:after="0" w:line="240" w:lineRule="auto"/>
              <w:jc w:val="right"/>
              <w:rPr>
                <w:rFonts w:ascii="Arial" w:eastAsia="Times New Roman" w:hAnsi="Arial" w:cs="Arial"/>
                <w:sz w:val="18"/>
                <w:szCs w:val="18"/>
                <w:lang w:eastAsia="es-CO"/>
              </w:rPr>
            </w:pPr>
          </w:p>
        </w:tc>
        <w:tc>
          <w:tcPr>
            <w:tcW w:w="867" w:type="pct"/>
            <w:shd w:val="clear" w:color="auto" w:fill="auto"/>
            <w:noWrap/>
            <w:vAlign w:val="center"/>
            <w:hideMark/>
          </w:tcPr>
          <w:p w14:paraId="20054578" w14:textId="148B017A" w:rsidR="00133184" w:rsidRPr="0009028A" w:rsidRDefault="00133184" w:rsidP="00133184">
            <w:pPr>
              <w:spacing w:after="0" w:line="240" w:lineRule="auto"/>
              <w:jc w:val="right"/>
              <w:rPr>
                <w:rFonts w:ascii="Arial" w:eastAsia="Times New Roman" w:hAnsi="Arial" w:cs="Arial"/>
                <w:sz w:val="18"/>
                <w:szCs w:val="18"/>
                <w:lang w:eastAsia="es-CO"/>
              </w:rPr>
            </w:pPr>
          </w:p>
        </w:tc>
      </w:tr>
      <w:tr w:rsidR="00133184" w:rsidRPr="0009028A" w14:paraId="6706D96B" w14:textId="77777777" w:rsidTr="00E97933">
        <w:trPr>
          <w:trHeight w:val="227"/>
        </w:trPr>
        <w:tc>
          <w:tcPr>
            <w:tcW w:w="2614" w:type="pct"/>
            <w:shd w:val="clear" w:color="auto" w:fill="auto"/>
            <w:noWrap/>
            <w:vAlign w:val="bottom"/>
            <w:hideMark/>
          </w:tcPr>
          <w:p w14:paraId="09B5BC83" w14:textId="77777777" w:rsidR="00133184" w:rsidRPr="0009028A" w:rsidRDefault="00133184" w:rsidP="00F60660">
            <w:pPr>
              <w:spacing w:after="0" w:line="240" w:lineRule="auto"/>
              <w:rPr>
                <w:rFonts w:ascii="Arial" w:eastAsia="Times New Roman" w:hAnsi="Arial" w:cs="Arial"/>
                <w:b/>
                <w:bCs/>
                <w:sz w:val="18"/>
                <w:szCs w:val="18"/>
                <w:lang w:eastAsia="es-CO"/>
              </w:rPr>
            </w:pPr>
            <w:bookmarkStart w:id="5" w:name="_Hlk529465928"/>
            <w:r w:rsidRPr="0009028A">
              <w:rPr>
                <w:rFonts w:ascii="Arial" w:eastAsia="Times New Roman" w:hAnsi="Arial" w:cs="Arial"/>
                <w:b/>
                <w:bCs/>
                <w:sz w:val="18"/>
                <w:szCs w:val="18"/>
                <w:lang w:eastAsia="es-CO"/>
              </w:rPr>
              <w:t>Activos no corrientes</w:t>
            </w:r>
          </w:p>
        </w:tc>
        <w:tc>
          <w:tcPr>
            <w:tcW w:w="341" w:type="pct"/>
            <w:shd w:val="clear" w:color="auto" w:fill="auto"/>
            <w:noWrap/>
            <w:vAlign w:val="center"/>
          </w:tcPr>
          <w:p w14:paraId="1C0DA171" w14:textId="77777777" w:rsidR="00133184" w:rsidRPr="0009028A" w:rsidRDefault="00133184" w:rsidP="00133184">
            <w:pPr>
              <w:spacing w:after="0" w:line="240" w:lineRule="auto"/>
              <w:jc w:val="center"/>
              <w:rPr>
                <w:rFonts w:ascii="Arial" w:eastAsia="Times New Roman" w:hAnsi="Arial" w:cs="Arial"/>
                <w:sz w:val="18"/>
                <w:szCs w:val="18"/>
                <w:lang w:eastAsia="es-CO"/>
              </w:rPr>
            </w:pPr>
          </w:p>
        </w:tc>
        <w:tc>
          <w:tcPr>
            <w:tcW w:w="155" w:type="pct"/>
            <w:vAlign w:val="center"/>
          </w:tcPr>
          <w:p w14:paraId="51F73A33"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868" w:type="pct"/>
            <w:shd w:val="clear" w:color="auto" w:fill="auto"/>
            <w:noWrap/>
            <w:vAlign w:val="center"/>
          </w:tcPr>
          <w:p w14:paraId="1480A1AE" w14:textId="77777777" w:rsidR="00133184" w:rsidRPr="0009028A" w:rsidRDefault="00133184" w:rsidP="00133184">
            <w:pPr>
              <w:spacing w:after="0" w:line="240" w:lineRule="auto"/>
              <w:jc w:val="right"/>
              <w:rPr>
                <w:rFonts w:ascii="Arial" w:eastAsia="Times New Roman" w:hAnsi="Arial" w:cs="Arial"/>
                <w:sz w:val="18"/>
                <w:szCs w:val="18"/>
                <w:highlight w:val="yellow"/>
                <w:lang w:eastAsia="es-CO"/>
              </w:rPr>
            </w:pPr>
          </w:p>
        </w:tc>
        <w:tc>
          <w:tcPr>
            <w:tcW w:w="154" w:type="pct"/>
          </w:tcPr>
          <w:p w14:paraId="242C67F0" w14:textId="77777777" w:rsidR="00133184" w:rsidRPr="0009028A" w:rsidRDefault="00133184" w:rsidP="00133184">
            <w:pPr>
              <w:spacing w:after="0" w:line="240" w:lineRule="auto"/>
              <w:jc w:val="right"/>
              <w:rPr>
                <w:rFonts w:ascii="Arial" w:eastAsia="Times New Roman" w:hAnsi="Arial" w:cs="Arial"/>
                <w:sz w:val="18"/>
                <w:szCs w:val="18"/>
                <w:lang w:eastAsia="es-CO"/>
              </w:rPr>
            </w:pPr>
          </w:p>
        </w:tc>
        <w:tc>
          <w:tcPr>
            <w:tcW w:w="867" w:type="pct"/>
            <w:shd w:val="clear" w:color="auto" w:fill="auto"/>
            <w:noWrap/>
            <w:vAlign w:val="center"/>
            <w:hideMark/>
          </w:tcPr>
          <w:p w14:paraId="25C739F3" w14:textId="12C82B28" w:rsidR="00133184" w:rsidRPr="0009028A" w:rsidRDefault="00133184" w:rsidP="00133184">
            <w:pPr>
              <w:spacing w:after="0" w:line="240" w:lineRule="auto"/>
              <w:jc w:val="right"/>
              <w:rPr>
                <w:rFonts w:ascii="Arial" w:eastAsia="Times New Roman" w:hAnsi="Arial" w:cs="Arial"/>
                <w:sz w:val="18"/>
                <w:szCs w:val="18"/>
                <w:lang w:eastAsia="es-CO"/>
              </w:rPr>
            </w:pPr>
          </w:p>
        </w:tc>
      </w:tr>
      <w:tr w:rsidR="00133184" w:rsidRPr="0009028A" w14:paraId="5B363AD7" w14:textId="77777777" w:rsidTr="00E97933">
        <w:trPr>
          <w:trHeight w:val="227"/>
        </w:trPr>
        <w:tc>
          <w:tcPr>
            <w:tcW w:w="2614" w:type="pct"/>
            <w:shd w:val="clear" w:color="auto" w:fill="auto"/>
            <w:noWrap/>
            <w:vAlign w:val="bottom"/>
          </w:tcPr>
          <w:p w14:paraId="0CCFDC47" w14:textId="77777777" w:rsidR="00133184" w:rsidRPr="0009028A" w:rsidRDefault="00133184" w:rsidP="009670B2">
            <w:pPr>
              <w:spacing w:after="0" w:line="240" w:lineRule="auto"/>
              <w:rPr>
                <w:rFonts w:ascii="Arial" w:eastAsia="Times New Roman" w:hAnsi="Arial" w:cs="Arial"/>
                <w:sz w:val="18"/>
                <w:szCs w:val="18"/>
                <w:lang w:eastAsia="es-CO"/>
              </w:rPr>
            </w:pPr>
            <w:bookmarkStart w:id="6" w:name="_Hlk8657099"/>
            <w:r w:rsidRPr="0009028A">
              <w:rPr>
                <w:rFonts w:ascii="Arial" w:eastAsia="Times New Roman" w:hAnsi="Arial" w:cs="Arial"/>
                <w:sz w:val="18"/>
                <w:szCs w:val="18"/>
                <w:lang w:eastAsia="es-CO"/>
              </w:rPr>
              <w:t>Activos por derecho de uso propiedades, plantas y equipo</w:t>
            </w:r>
            <w:bookmarkEnd w:id="6"/>
          </w:p>
        </w:tc>
        <w:tc>
          <w:tcPr>
            <w:tcW w:w="341" w:type="pct"/>
            <w:shd w:val="clear" w:color="auto" w:fill="auto"/>
            <w:noWrap/>
            <w:vAlign w:val="center"/>
          </w:tcPr>
          <w:p w14:paraId="1D4253AE" w14:textId="207AE5BA" w:rsidR="00133184" w:rsidRPr="0009028A" w:rsidRDefault="00D100F1" w:rsidP="00133184">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8</w:t>
            </w:r>
          </w:p>
        </w:tc>
        <w:tc>
          <w:tcPr>
            <w:tcW w:w="155" w:type="pct"/>
            <w:vAlign w:val="center"/>
          </w:tcPr>
          <w:p w14:paraId="1491036B" w14:textId="77777777" w:rsidR="00133184" w:rsidRPr="0009028A" w:rsidRDefault="00133184" w:rsidP="00133184">
            <w:pPr>
              <w:spacing w:after="0" w:line="240" w:lineRule="auto"/>
              <w:jc w:val="center"/>
              <w:rPr>
                <w:rFonts w:ascii="Arial" w:hAnsi="Arial" w:cs="Arial"/>
                <w:sz w:val="18"/>
                <w:szCs w:val="18"/>
              </w:rPr>
            </w:pPr>
          </w:p>
        </w:tc>
        <w:tc>
          <w:tcPr>
            <w:tcW w:w="868" w:type="pct"/>
            <w:shd w:val="clear" w:color="auto" w:fill="auto"/>
            <w:noWrap/>
            <w:vAlign w:val="center"/>
          </w:tcPr>
          <w:p w14:paraId="1A3CE51C"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11.608.064</w:t>
            </w:r>
          </w:p>
        </w:tc>
        <w:tc>
          <w:tcPr>
            <w:tcW w:w="154" w:type="pct"/>
          </w:tcPr>
          <w:p w14:paraId="3F1733FD" w14:textId="77777777" w:rsidR="00133184" w:rsidRPr="0009028A" w:rsidRDefault="00133184" w:rsidP="00133184">
            <w:pPr>
              <w:spacing w:after="0" w:line="240" w:lineRule="auto"/>
              <w:jc w:val="right"/>
              <w:rPr>
                <w:rFonts w:ascii="Arial" w:hAnsi="Arial" w:cs="Arial"/>
                <w:sz w:val="18"/>
                <w:szCs w:val="18"/>
              </w:rPr>
            </w:pPr>
          </w:p>
        </w:tc>
        <w:tc>
          <w:tcPr>
            <w:tcW w:w="867" w:type="pct"/>
            <w:shd w:val="clear" w:color="auto" w:fill="auto"/>
            <w:noWrap/>
            <w:vAlign w:val="center"/>
          </w:tcPr>
          <w:p w14:paraId="2D2E105B" w14:textId="569C23D3"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w:t>
            </w:r>
          </w:p>
        </w:tc>
      </w:tr>
      <w:tr w:rsidR="00133184" w:rsidRPr="0009028A" w14:paraId="0F90857C" w14:textId="77777777" w:rsidTr="00E97933">
        <w:trPr>
          <w:trHeight w:val="227"/>
        </w:trPr>
        <w:tc>
          <w:tcPr>
            <w:tcW w:w="2614" w:type="pct"/>
            <w:shd w:val="clear" w:color="auto" w:fill="auto"/>
            <w:noWrap/>
            <w:vAlign w:val="bottom"/>
            <w:hideMark/>
          </w:tcPr>
          <w:p w14:paraId="4A7C2465" w14:textId="77777777" w:rsidR="00133184" w:rsidRPr="0009028A" w:rsidRDefault="00133184" w:rsidP="009670B2">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Intangibles, neto</w:t>
            </w:r>
          </w:p>
        </w:tc>
        <w:tc>
          <w:tcPr>
            <w:tcW w:w="341" w:type="pct"/>
            <w:shd w:val="clear" w:color="auto" w:fill="auto"/>
            <w:noWrap/>
            <w:vAlign w:val="center"/>
          </w:tcPr>
          <w:p w14:paraId="178D0BD0" w14:textId="16AB20D5" w:rsidR="00133184" w:rsidRPr="0009028A" w:rsidRDefault="00D100F1" w:rsidP="00133184">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9</w:t>
            </w:r>
          </w:p>
        </w:tc>
        <w:tc>
          <w:tcPr>
            <w:tcW w:w="155" w:type="pct"/>
            <w:vAlign w:val="center"/>
          </w:tcPr>
          <w:p w14:paraId="190AEB3A" w14:textId="77777777" w:rsidR="00133184" w:rsidRPr="0009028A" w:rsidRDefault="00133184" w:rsidP="00133184">
            <w:pPr>
              <w:spacing w:after="0" w:line="240" w:lineRule="auto"/>
              <w:jc w:val="center"/>
              <w:rPr>
                <w:rFonts w:ascii="Arial" w:hAnsi="Arial" w:cs="Arial"/>
                <w:sz w:val="18"/>
                <w:szCs w:val="18"/>
              </w:rPr>
            </w:pPr>
          </w:p>
        </w:tc>
        <w:tc>
          <w:tcPr>
            <w:tcW w:w="868" w:type="pct"/>
            <w:shd w:val="clear" w:color="auto" w:fill="auto"/>
            <w:noWrap/>
            <w:vAlign w:val="center"/>
          </w:tcPr>
          <w:p w14:paraId="52EEE08B"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18.601.263</w:t>
            </w:r>
          </w:p>
        </w:tc>
        <w:tc>
          <w:tcPr>
            <w:tcW w:w="154" w:type="pct"/>
          </w:tcPr>
          <w:p w14:paraId="3A9BAE3E" w14:textId="77777777" w:rsidR="00133184" w:rsidRPr="0009028A" w:rsidRDefault="00133184" w:rsidP="00133184">
            <w:pPr>
              <w:spacing w:after="0" w:line="240" w:lineRule="auto"/>
              <w:jc w:val="right"/>
              <w:rPr>
                <w:rFonts w:ascii="Arial" w:hAnsi="Arial" w:cs="Arial"/>
                <w:sz w:val="18"/>
                <w:szCs w:val="18"/>
              </w:rPr>
            </w:pPr>
          </w:p>
        </w:tc>
        <w:tc>
          <w:tcPr>
            <w:tcW w:w="867" w:type="pct"/>
            <w:shd w:val="clear" w:color="auto" w:fill="auto"/>
            <w:noWrap/>
            <w:vAlign w:val="center"/>
          </w:tcPr>
          <w:p w14:paraId="3129117C" w14:textId="78323EAF"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15.947.814</w:t>
            </w:r>
          </w:p>
        </w:tc>
      </w:tr>
      <w:tr w:rsidR="00133184" w:rsidRPr="0009028A" w14:paraId="4F4D434E" w14:textId="77777777" w:rsidTr="00E97933">
        <w:trPr>
          <w:trHeight w:val="227"/>
        </w:trPr>
        <w:tc>
          <w:tcPr>
            <w:tcW w:w="2614" w:type="pct"/>
            <w:shd w:val="clear" w:color="auto" w:fill="auto"/>
            <w:noWrap/>
            <w:vAlign w:val="bottom"/>
            <w:hideMark/>
          </w:tcPr>
          <w:p w14:paraId="365DABCE" w14:textId="77777777" w:rsidR="00133184" w:rsidRPr="0009028A" w:rsidRDefault="00133184" w:rsidP="009670B2">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Propiedades, planta y equipo, neto</w:t>
            </w:r>
          </w:p>
        </w:tc>
        <w:tc>
          <w:tcPr>
            <w:tcW w:w="341" w:type="pct"/>
            <w:shd w:val="clear" w:color="auto" w:fill="auto"/>
            <w:noWrap/>
            <w:vAlign w:val="center"/>
          </w:tcPr>
          <w:p w14:paraId="4294DBCC" w14:textId="10A01493" w:rsidR="00133184" w:rsidRPr="0009028A" w:rsidRDefault="00D100F1" w:rsidP="00133184">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10</w:t>
            </w:r>
          </w:p>
        </w:tc>
        <w:tc>
          <w:tcPr>
            <w:tcW w:w="155" w:type="pct"/>
            <w:vAlign w:val="center"/>
          </w:tcPr>
          <w:p w14:paraId="63C0F268" w14:textId="77777777" w:rsidR="00133184" w:rsidRPr="0009028A" w:rsidRDefault="00133184" w:rsidP="00133184">
            <w:pPr>
              <w:spacing w:after="0" w:line="240" w:lineRule="auto"/>
              <w:jc w:val="center"/>
              <w:rPr>
                <w:rFonts w:ascii="Arial" w:hAnsi="Arial" w:cs="Arial"/>
                <w:sz w:val="18"/>
                <w:szCs w:val="18"/>
              </w:rPr>
            </w:pPr>
          </w:p>
        </w:tc>
        <w:tc>
          <w:tcPr>
            <w:tcW w:w="868" w:type="pct"/>
            <w:shd w:val="clear" w:color="auto" w:fill="auto"/>
            <w:noWrap/>
            <w:vAlign w:val="center"/>
          </w:tcPr>
          <w:p w14:paraId="7C205CB0"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2.618.880</w:t>
            </w:r>
          </w:p>
        </w:tc>
        <w:tc>
          <w:tcPr>
            <w:tcW w:w="154" w:type="pct"/>
          </w:tcPr>
          <w:p w14:paraId="02D32094" w14:textId="77777777" w:rsidR="00133184" w:rsidRPr="0009028A" w:rsidRDefault="00133184" w:rsidP="00133184">
            <w:pPr>
              <w:spacing w:after="0" w:line="240" w:lineRule="auto"/>
              <w:jc w:val="right"/>
              <w:rPr>
                <w:rFonts w:ascii="Arial" w:hAnsi="Arial" w:cs="Arial"/>
                <w:sz w:val="18"/>
                <w:szCs w:val="18"/>
              </w:rPr>
            </w:pPr>
          </w:p>
        </w:tc>
        <w:tc>
          <w:tcPr>
            <w:tcW w:w="867" w:type="pct"/>
            <w:shd w:val="clear" w:color="auto" w:fill="auto"/>
            <w:noWrap/>
            <w:vAlign w:val="center"/>
          </w:tcPr>
          <w:p w14:paraId="0090D523" w14:textId="0178654E"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6.689.464</w:t>
            </w:r>
          </w:p>
        </w:tc>
      </w:tr>
      <w:tr w:rsidR="00133184" w:rsidRPr="0009028A" w14:paraId="0B5E8ED2" w14:textId="77777777" w:rsidTr="00E97933">
        <w:trPr>
          <w:trHeight w:val="227"/>
        </w:trPr>
        <w:tc>
          <w:tcPr>
            <w:tcW w:w="2614" w:type="pct"/>
            <w:shd w:val="clear" w:color="auto" w:fill="auto"/>
            <w:noWrap/>
            <w:vAlign w:val="bottom"/>
            <w:hideMark/>
          </w:tcPr>
          <w:p w14:paraId="621BEBE4" w14:textId="77777777" w:rsidR="00133184" w:rsidRPr="0009028A" w:rsidRDefault="00133184" w:rsidP="009670B2">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Inversiones en asociadas y negocios conjuntos</w:t>
            </w:r>
          </w:p>
        </w:tc>
        <w:tc>
          <w:tcPr>
            <w:tcW w:w="341" w:type="pct"/>
            <w:shd w:val="clear" w:color="auto" w:fill="auto"/>
            <w:noWrap/>
            <w:vAlign w:val="center"/>
          </w:tcPr>
          <w:p w14:paraId="643565FD" w14:textId="4806C1F6" w:rsidR="00133184" w:rsidRPr="0009028A" w:rsidRDefault="00F75D67" w:rsidP="00133184">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1</w:t>
            </w:r>
            <w:r w:rsidR="00D100F1">
              <w:rPr>
                <w:rFonts w:ascii="Arial" w:eastAsia="Times New Roman" w:hAnsi="Arial" w:cs="Arial"/>
                <w:sz w:val="18"/>
                <w:szCs w:val="18"/>
                <w:lang w:eastAsia="es-CO"/>
              </w:rPr>
              <w:t>1</w:t>
            </w:r>
          </w:p>
        </w:tc>
        <w:tc>
          <w:tcPr>
            <w:tcW w:w="155" w:type="pct"/>
            <w:vAlign w:val="center"/>
          </w:tcPr>
          <w:p w14:paraId="6F9684C8" w14:textId="77777777" w:rsidR="00133184" w:rsidRPr="0009028A" w:rsidRDefault="00133184" w:rsidP="00133184">
            <w:pPr>
              <w:spacing w:after="0" w:line="240" w:lineRule="auto"/>
              <w:jc w:val="center"/>
              <w:rPr>
                <w:rFonts w:ascii="Arial" w:hAnsi="Arial" w:cs="Arial"/>
                <w:sz w:val="18"/>
                <w:szCs w:val="18"/>
              </w:rPr>
            </w:pPr>
          </w:p>
        </w:tc>
        <w:tc>
          <w:tcPr>
            <w:tcW w:w="868" w:type="pct"/>
            <w:shd w:val="clear" w:color="auto" w:fill="auto"/>
            <w:noWrap/>
            <w:vAlign w:val="center"/>
          </w:tcPr>
          <w:p w14:paraId="7C70DFBE"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601.285.918</w:t>
            </w:r>
          </w:p>
        </w:tc>
        <w:tc>
          <w:tcPr>
            <w:tcW w:w="154" w:type="pct"/>
          </w:tcPr>
          <w:p w14:paraId="1C4C7086" w14:textId="77777777" w:rsidR="00133184" w:rsidRPr="0009028A" w:rsidRDefault="00133184" w:rsidP="00133184">
            <w:pPr>
              <w:spacing w:after="0" w:line="240" w:lineRule="auto"/>
              <w:jc w:val="right"/>
              <w:rPr>
                <w:rFonts w:ascii="Arial" w:hAnsi="Arial" w:cs="Arial"/>
                <w:sz w:val="18"/>
                <w:szCs w:val="18"/>
              </w:rPr>
            </w:pPr>
          </w:p>
        </w:tc>
        <w:tc>
          <w:tcPr>
            <w:tcW w:w="867" w:type="pct"/>
            <w:shd w:val="clear" w:color="auto" w:fill="auto"/>
            <w:noWrap/>
            <w:vAlign w:val="center"/>
          </w:tcPr>
          <w:p w14:paraId="11447C3B" w14:textId="1DC12FC5" w:rsidR="00133184" w:rsidRPr="0009028A" w:rsidRDefault="00133184" w:rsidP="00133184">
            <w:pPr>
              <w:spacing w:after="0" w:line="240" w:lineRule="auto"/>
              <w:jc w:val="right"/>
              <w:rPr>
                <w:rFonts w:ascii="Arial" w:hAnsi="Arial" w:cs="Arial"/>
                <w:sz w:val="18"/>
                <w:szCs w:val="18"/>
              </w:rPr>
            </w:pPr>
            <w:r w:rsidRPr="00F26CE9">
              <w:rPr>
                <w:rFonts w:ascii="Arial" w:hAnsi="Arial" w:cs="Arial"/>
                <w:sz w:val="18"/>
                <w:szCs w:val="18"/>
                <w:highlight w:val="lightGray"/>
              </w:rPr>
              <w:t>556.</w:t>
            </w:r>
            <w:r w:rsidR="00F26CE9" w:rsidRPr="00F26CE9">
              <w:rPr>
                <w:rFonts w:ascii="Arial" w:hAnsi="Arial" w:cs="Arial"/>
                <w:sz w:val="18"/>
                <w:szCs w:val="18"/>
                <w:highlight w:val="lightGray"/>
              </w:rPr>
              <w:t>4</w:t>
            </w:r>
            <w:r w:rsidRPr="00F26CE9">
              <w:rPr>
                <w:rFonts w:ascii="Arial" w:hAnsi="Arial" w:cs="Arial"/>
                <w:sz w:val="18"/>
                <w:szCs w:val="18"/>
                <w:highlight w:val="lightGray"/>
              </w:rPr>
              <w:t>66.</w:t>
            </w:r>
            <w:r w:rsidR="00F26CE9" w:rsidRPr="00F26CE9">
              <w:rPr>
                <w:rFonts w:ascii="Arial" w:hAnsi="Arial" w:cs="Arial"/>
                <w:sz w:val="18"/>
                <w:szCs w:val="18"/>
                <w:highlight w:val="lightGray"/>
              </w:rPr>
              <w:t>663</w:t>
            </w:r>
          </w:p>
        </w:tc>
      </w:tr>
      <w:tr w:rsidR="00133184" w:rsidRPr="0009028A" w14:paraId="48F90451" w14:textId="77777777" w:rsidTr="00E97933">
        <w:trPr>
          <w:trHeight w:val="227"/>
        </w:trPr>
        <w:tc>
          <w:tcPr>
            <w:tcW w:w="2614" w:type="pct"/>
            <w:shd w:val="clear" w:color="auto" w:fill="auto"/>
            <w:noWrap/>
            <w:vAlign w:val="bottom"/>
            <w:hideMark/>
          </w:tcPr>
          <w:p w14:paraId="4599C849" w14:textId="77777777" w:rsidR="00133184" w:rsidRPr="0009028A" w:rsidRDefault="00133184" w:rsidP="009670B2">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Inversiones en subsidiarias</w:t>
            </w:r>
          </w:p>
        </w:tc>
        <w:tc>
          <w:tcPr>
            <w:tcW w:w="341" w:type="pct"/>
            <w:shd w:val="clear" w:color="auto" w:fill="auto"/>
            <w:noWrap/>
            <w:vAlign w:val="center"/>
          </w:tcPr>
          <w:p w14:paraId="37A562A0" w14:textId="650A9315" w:rsidR="00133184" w:rsidRPr="0009028A" w:rsidRDefault="00133184" w:rsidP="00133184">
            <w:pPr>
              <w:spacing w:after="0" w:line="240" w:lineRule="auto"/>
              <w:jc w:val="center"/>
              <w:rPr>
                <w:rFonts w:ascii="Arial" w:eastAsia="Times New Roman" w:hAnsi="Arial" w:cs="Arial"/>
                <w:sz w:val="18"/>
                <w:szCs w:val="18"/>
                <w:lang w:eastAsia="es-CO"/>
              </w:rPr>
            </w:pPr>
            <w:r w:rsidRPr="0009028A">
              <w:rPr>
                <w:rFonts w:ascii="Arial" w:eastAsia="Times New Roman" w:hAnsi="Arial" w:cs="Arial"/>
                <w:sz w:val="18"/>
                <w:szCs w:val="18"/>
                <w:lang w:eastAsia="es-CO"/>
              </w:rPr>
              <w:t>1</w:t>
            </w:r>
            <w:r w:rsidR="00D100F1">
              <w:rPr>
                <w:rFonts w:ascii="Arial" w:eastAsia="Times New Roman" w:hAnsi="Arial" w:cs="Arial"/>
                <w:sz w:val="18"/>
                <w:szCs w:val="18"/>
                <w:lang w:eastAsia="es-CO"/>
              </w:rPr>
              <w:t>2</w:t>
            </w:r>
          </w:p>
        </w:tc>
        <w:tc>
          <w:tcPr>
            <w:tcW w:w="155" w:type="pct"/>
            <w:vAlign w:val="center"/>
          </w:tcPr>
          <w:p w14:paraId="5EC56040" w14:textId="77777777" w:rsidR="00133184" w:rsidRPr="0009028A" w:rsidRDefault="00133184" w:rsidP="00133184">
            <w:pPr>
              <w:spacing w:after="0" w:line="240" w:lineRule="auto"/>
              <w:jc w:val="center"/>
              <w:rPr>
                <w:rFonts w:ascii="Arial" w:hAnsi="Arial" w:cs="Arial"/>
                <w:sz w:val="18"/>
                <w:szCs w:val="18"/>
              </w:rPr>
            </w:pPr>
          </w:p>
        </w:tc>
        <w:tc>
          <w:tcPr>
            <w:tcW w:w="868" w:type="pct"/>
            <w:shd w:val="clear" w:color="auto" w:fill="auto"/>
            <w:noWrap/>
            <w:vAlign w:val="center"/>
          </w:tcPr>
          <w:p w14:paraId="550A6611"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1.548.726.763</w:t>
            </w:r>
          </w:p>
        </w:tc>
        <w:tc>
          <w:tcPr>
            <w:tcW w:w="154" w:type="pct"/>
          </w:tcPr>
          <w:p w14:paraId="0A76672C" w14:textId="77777777" w:rsidR="00133184" w:rsidRPr="0009028A" w:rsidRDefault="00133184" w:rsidP="00133184">
            <w:pPr>
              <w:spacing w:after="0" w:line="240" w:lineRule="auto"/>
              <w:jc w:val="right"/>
              <w:rPr>
                <w:rFonts w:ascii="Arial" w:hAnsi="Arial" w:cs="Arial"/>
                <w:sz w:val="18"/>
                <w:szCs w:val="18"/>
              </w:rPr>
            </w:pPr>
          </w:p>
        </w:tc>
        <w:tc>
          <w:tcPr>
            <w:tcW w:w="867" w:type="pct"/>
            <w:shd w:val="clear" w:color="auto" w:fill="auto"/>
            <w:noWrap/>
            <w:vAlign w:val="center"/>
          </w:tcPr>
          <w:p w14:paraId="0AFA8CD2" w14:textId="3B8578C1"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1.613.863.832</w:t>
            </w:r>
          </w:p>
        </w:tc>
      </w:tr>
      <w:tr w:rsidR="007261D9" w:rsidRPr="0009028A" w14:paraId="529B1FC5" w14:textId="77777777" w:rsidTr="00E97933">
        <w:trPr>
          <w:trHeight w:val="227"/>
        </w:trPr>
        <w:tc>
          <w:tcPr>
            <w:tcW w:w="2614" w:type="pct"/>
            <w:shd w:val="clear" w:color="auto" w:fill="auto"/>
            <w:noWrap/>
            <w:vAlign w:val="bottom"/>
          </w:tcPr>
          <w:p w14:paraId="1A36A9C2" w14:textId="455B7D1C" w:rsidR="007261D9" w:rsidRPr="0009028A" w:rsidRDefault="007261D9" w:rsidP="009670B2">
            <w:pPr>
              <w:spacing w:after="0" w:line="240" w:lineRule="auto"/>
              <w:rPr>
                <w:rFonts w:ascii="Arial" w:eastAsia="Times New Roman" w:hAnsi="Arial" w:cs="Arial"/>
                <w:sz w:val="18"/>
                <w:szCs w:val="18"/>
                <w:lang w:eastAsia="es-CO"/>
              </w:rPr>
            </w:pPr>
            <w:r w:rsidRPr="007261D9">
              <w:rPr>
                <w:rFonts w:ascii="Arial" w:eastAsia="Times New Roman" w:hAnsi="Arial" w:cs="Arial"/>
                <w:sz w:val="18"/>
                <w:szCs w:val="18"/>
                <w:lang w:eastAsia="es-CO"/>
              </w:rPr>
              <w:t>Activos por impuestos diferidos</w:t>
            </w:r>
          </w:p>
        </w:tc>
        <w:tc>
          <w:tcPr>
            <w:tcW w:w="341" w:type="pct"/>
            <w:shd w:val="clear" w:color="auto" w:fill="auto"/>
            <w:noWrap/>
            <w:vAlign w:val="center"/>
          </w:tcPr>
          <w:p w14:paraId="3E1B434F" w14:textId="77777777" w:rsidR="007261D9" w:rsidRPr="0009028A" w:rsidRDefault="007261D9" w:rsidP="00133184">
            <w:pPr>
              <w:spacing w:after="0" w:line="240" w:lineRule="auto"/>
              <w:jc w:val="center"/>
              <w:rPr>
                <w:rFonts w:ascii="Arial" w:eastAsia="Times New Roman" w:hAnsi="Arial" w:cs="Arial"/>
                <w:sz w:val="18"/>
                <w:szCs w:val="18"/>
                <w:lang w:eastAsia="es-CO"/>
              </w:rPr>
            </w:pPr>
          </w:p>
        </w:tc>
        <w:tc>
          <w:tcPr>
            <w:tcW w:w="155" w:type="pct"/>
            <w:vAlign w:val="center"/>
          </w:tcPr>
          <w:p w14:paraId="36F1F149" w14:textId="77777777" w:rsidR="007261D9" w:rsidRPr="0009028A" w:rsidRDefault="007261D9" w:rsidP="00133184">
            <w:pPr>
              <w:spacing w:after="0" w:line="240" w:lineRule="auto"/>
              <w:jc w:val="center"/>
              <w:rPr>
                <w:rFonts w:ascii="Arial" w:hAnsi="Arial" w:cs="Arial"/>
                <w:sz w:val="18"/>
                <w:szCs w:val="18"/>
              </w:rPr>
            </w:pPr>
          </w:p>
        </w:tc>
        <w:tc>
          <w:tcPr>
            <w:tcW w:w="868" w:type="pct"/>
            <w:shd w:val="clear" w:color="auto" w:fill="auto"/>
            <w:noWrap/>
            <w:vAlign w:val="center"/>
          </w:tcPr>
          <w:p w14:paraId="7AC25136" w14:textId="4BF02F87" w:rsidR="007261D9" w:rsidRPr="0009028A" w:rsidRDefault="007261D9" w:rsidP="00133184">
            <w:pPr>
              <w:spacing w:after="0" w:line="240" w:lineRule="auto"/>
              <w:jc w:val="right"/>
              <w:rPr>
                <w:rFonts w:ascii="Arial" w:hAnsi="Arial" w:cs="Arial"/>
                <w:sz w:val="18"/>
                <w:szCs w:val="18"/>
              </w:rPr>
            </w:pPr>
            <w:r w:rsidRPr="007261D9">
              <w:rPr>
                <w:rFonts w:ascii="Arial" w:hAnsi="Arial" w:cs="Arial"/>
                <w:sz w:val="18"/>
                <w:szCs w:val="18"/>
              </w:rPr>
              <w:t>27.285.724</w:t>
            </w:r>
          </w:p>
        </w:tc>
        <w:tc>
          <w:tcPr>
            <w:tcW w:w="154" w:type="pct"/>
          </w:tcPr>
          <w:p w14:paraId="0BB280B4" w14:textId="77777777" w:rsidR="007261D9" w:rsidRPr="0009028A" w:rsidRDefault="007261D9" w:rsidP="00133184">
            <w:pPr>
              <w:spacing w:after="0" w:line="240" w:lineRule="auto"/>
              <w:jc w:val="right"/>
              <w:rPr>
                <w:rFonts w:ascii="Arial" w:hAnsi="Arial" w:cs="Arial"/>
                <w:sz w:val="18"/>
                <w:szCs w:val="18"/>
              </w:rPr>
            </w:pPr>
          </w:p>
        </w:tc>
        <w:tc>
          <w:tcPr>
            <w:tcW w:w="867" w:type="pct"/>
            <w:shd w:val="clear" w:color="auto" w:fill="auto"/>
            <w:noWrap/>
            <w:vAlign w:val="center"/>
          </w:tcPr>
          <w:p w14:paraId="5A002513" w14:textId="70296C35" w:rsidR="007261D9" w:rsidRPr="0009028A" w:rsidRDefault="007261D9" w:rsidP="00133184">
            <w:pPr>
              <w:spacing w:after="0" w:line="240" w:lineRule="auto"/>
              <w:jc w:val="right"/>
              <w:rPr>
                <w:rFonts w:ascii="Arial" w:hAnsi="Arial" w:cs="Arial"/>
                <w:sz w:val="18"/>
                <w:szCs w:val="18"/>
              </w:rPr>
            </w:pPr>
            <w:r w:rsidRPr="007261D9">
              <w:rPr>
                <w:rFonts w:ascii="Arial" w:hAnsi="Arial" w:cs="Arial"/>
                <w:sz w:val="18"/>
                <w:szCs w:val="18"/>
              </w:rPr>
              <w:t>27.573.224</w:t>
            </w:r>
          </w:p>
        </w:tc>
      </w:tr>
      <w:tr w:rsidR="00133184" w:rsidRPr="0009028A" w14:paraId="55A32B63" w14:textId="77777777" w:rsidTr="00E97933">
        <w:trPr>
          <w:trHeight w:val="227"/>
        </w:trPr>
        <w:tc>
          <w:tcPr>
            <w:tcW w:w="2614" w:type="pct"/>
            <w:shd w:val="clear" w:color="auto" w:fill="auto"/>
            <w:noWrap/>
            <w:vAlign w:val="bottom"/>
            <w:hideMark/>
          </w:tcPr>
          <w:p w14:paraId="78F23A05" w14:textId="77777777" w:rsidR="00133184" w:rsidRPr="0009028A" w:rsidRDefault="00133184" w:rsidP="009670B2">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Otros activos financieros</w:t>
            </w:r>
          </w:p>
        </w:tc>
        <w:tc>
          <w:tcPr>
            <w:tcW w:w="341" w:type="pct"/>
            <w:shd w:val="clear" w:color="auto" w:fill="auto"/>
            <w:noWrap/>
            <w:vAlign w:val="center"/>
          </w:tcPr>
          <w:p w14:paraId="7FA8BBFC"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155" w:type="pct"/>
            <w:vAlign w:val="center"/>
          </w:tcPr>
          <w:p w14:paraId="0740C197" w14:textId="77777777" w:rsidR="00133184" w:rsidRPr="0009028A" w:rsidRDefault="00133184" w:rsidP="00133184">
            <w:pPr>
              <w:spacing w:after="0" w:line="240" w:lineRule="auto"/>
              <w:jc w:val="center"/>
              <w:rPr>
                <w:rFonts w:ascii="Arial" w:hAnsi="Arial" w:cs="Arial"/>
                <w:sz w:val="18"/>
                <w:szCs w:val="18"/>
              </w:rPr>
            </w:pPr>
          </w:p>
        </w:tc>
        <w:tc>
          <w:tcPr>
            <w:tcW w:w="868" w:type="pct"/>
            <w:shd w:val="clear" w:color="auto" w:fill="auto"/>
            <w:noWrap/>
            <w:vAlign w:val="center"/>
          </w:tcPr>
          <w:p w14:paraId="5A4F67E4"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230.250</w:t>
            </w:r>
          </w:p>
        </w:tc>
        <w:tc>
          <w:tcPr>
            <w:tcW w:w="154" w:type="pct"/>
          </w:tcPr>
          <w:p w14:paraId="128BA94A" w14:textId="77777777" w:rsidR="00133184" w:rsidRPr="0009028A" w:rsidRDefault="00133184" w:rsidP="00133184">
            <w:pPr>
              <w:spacing w:after="0" w:line="240" w:lineRule="auto"/>
              <w:jc w:val="right"/>
              <w:rPr>
                <w:rFonts w:ascii="Arial" w:hAnsi="Arial" w:cs="Arial"/>
                <w:sz w:val="18"/>
                <w:szCs w:val="18"/>
              </w:rPr>
            </w:pPr>
          </w:p>
        </w:tc>
        <w:tc>
          <w:tcPr>
            <w:tcW w:w="867" w:type="pct"/>
            <w:shd w:val="clear" w:color="auto" w:fill="auto"/>
            <w:noWrap/>
            <w:vAlign w:val="center"/>
          </w:tcPr>
          <w:p w14:paraId="33516BD9" w14:textId="18BFAE6F" w:rsidR="00133184" w:rsidRPr="0009028A" w:rsidRDefault="00F26CE9" w:rsidP="00133184">
            <w:pPr>
              <w:spacing w:after="0" w:line="240" w:lineRule="auto"/>
              <w:jc w:val="right"/>
              <w:rPr>
                <w:rFonts w:ascii="Arial" w:hAnsi="Arial" w:cs="Arial"/>
                <w:sz w:val="18"/>
                <w:szCs w:val="18"/>
              </w:rPr>
            </w:pPr>
            <w:r w:rsidRPr="00F26CE9">
              <w:rPr>
                <w:rFonts w:ascii="Arial" w:hAnsi="Arial" w:cs="Arial"/>
                <w:sz w:val="18"/>
                <w:szCs w:val="18"/>
                <w:highlight w:val="lightGray"/>
              </w:rPr>
              <w:t>92.585</w:t>
            </w:r>
          </w:p>
        </w:tc>
      </w:tr>
      <w:tr w:rsidR="00133184" w:rsidRPr="0009028A" w14:paraId="78C0F88E" w14:textId="77777777" w:rsidTr="00E97933">
        <w:trPr>
          <w:trHeight w:val="227"/>
        </w:trPr>
        <w:tc>
          <w:tcPr>
            <w:tcW w:w="2614" w:type="pct"/>
            <w:shd w:val="clear" w:color="auto" w:fill="auto"/>
            <w:noWrap/>
            <w:vAlign w:val="bottom"/>
          </w:tcPr>
          <w:p w14:paraId="6FC460B6" w14:textId="77777777" w:rsidR="00133184" w:rsidRPr="0009028A" w:rsidRDefault="00133184" w:rsidP="009670B2">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Otros activos no financieros</w:t>
            </w:r>
          </w:p>
        </w:tc>
        <w:tc>
          <w:tcPr>
            <w:tcW w:w="341" w:type="pct"/>
            <w:shd w:val="clear" w:color="auto" w:fill="auto"/>
            <w:noWrap/>
            <w:vAlign w:val="center"/>
          </w:tcPr>
          <w:p w14:paraId="5BBF0799" w14:textId="77777777" w:rsidR="00133184" w:rsidRPr="0009028A" w:rsidRDefault="00133184" w:rsidP="00133184">
            <w:pPr>
              <w:spacing w:after="0" w:line="240" w:lineRule="auto"/>
              <w:jc w:val="center"/>
              <w:rPr>
                <w:rFonts w:ascii="Arial" w:eastAsia="Times New Roman" w:hAnsi="Arial" w:cs="Arial"/>
                <w:sz w:val="18"/>
                <w:szCs w:val="18"/>
                <w:lang w:eastAsia="es-CO"/>
              </w:rPr>
            </w:pPr>
          </w:p>
        </w:tc>
        <w:tc>
          <w:tcPr>
            <w:tcW w:w="155" w:type="pct"/>
            <w:vAlign w:val="center"/>
          </w:tcPr>
          <w:p w14:paraId="4A935E8F" w14:textId="77777777" w:rsidR="00133184" w:rsidRPr="0009028A" w:rsidRDefault="00133184" w:rsidP="00133184">
            <w:pPr>
              <w:spacing w:after="0" w:line="240" w:lineRule="auto"/>
              <w:jc w:val="center"/>
              <w:rPr>
                <w:rFonts w:ascii="Arial" w:hAnsi="Arial" w:cs="Arial"/>
                <w:sz w:val="18"/>
                <w:szCs w:val="18"/>
              </w:rPr>
            </w:pPr>
          </w:p>
        </w:tc>
        <w:tc>
          <w:tcPr>
            <w:tcW w:w="868" w:type="pct"/>
            <w:shd w:val="clear" w:color="auto" w:fill="auto"/>
            <w:noWrap/>
            <w:vAlign w:val="center"/>
          </w:tcPr>
          <w:p w14:paraId="129F75F5" w14:textId="0C9D4F24" w:rsidR="00133184" w:rsidRPr="0009028A" w:rsidRDefault="00133184" w:rsidP="00133184">
            <w:pPr>
              <w:spacing w:after="0" w:line="240" w:lineRule="auto"/>
              <w:jc w:val="right"/>
              <w:rPr>
                <w:rFonts w:ascii="Arial" w:hAnsi="Arial" w:cs="Arial"/>
                <w:sz w:val="18"/>
                <w:szCs w:val="18"/>
                <w:u w:val="single"/>
              </w:rPr>
            </w:pPr>
            <w:r w:rsidRPr="0009028A">
              <w:rPr>
                <w:rFonts w:ascii="Arial" w:hAnsi="Arial" w:cs="Arial"/>
                <w:sz w:val="18"/>
                <w:szCs w:val="18"/>
                <w:u w:val="single"/>
              </w:rPr>
              <w:t>307.491</w:t>
            </w:r>
          </w:p>
        </w:tc>
        <w:tc>
          <w:tcPr>
            <w:tcW w:w="154" w:type="pct"/>
          </w:tcPr>
          <w:p w14:paraId="407A87D0" w14:textId="77777777" w:rsidR="00133184" w:rsidRPr="0009028A" w:rsidRDefault="00133184" w:rsidP="00133184">
            <w:pPr>
              <w:spacing w:after="0" w:line="240" w:lineRule="auto"/>
              <w:jc w:val="right"/>
              <w:rPr>
                <w:rFonts w:ascii="Arial" w:hAnsi="Arial" w:cs="Arial"/>
                <w:sz w:val="18"/>
                <w:szCs w:val="18"/>
                <w:u w:val="single"/>
              </w:rPr>
            </w:pPr>
          </w:p>
        </w:tc>
        <w:tc>
          <w:tcPr>
            <w:tcW w:w="867" w:type="pct"/>
            <w:shd w:val="clear" w:color="auto" w:fill="auto"/>
            <w:noWrap/>
            <w:vAlign w:val="center"/>
          </w:tcPr>
          <w:p w14:paraId="0A7D01F6" w14:textId="12EA458A" w:rsidR="00133184" w:rsidRPr="0009028A" w:rsidRDefault="00133184" w:rsidP="00133184">
            <w:pPr>
              <w:spacing w:after="0" w:line="240" w:lineRule="auto"/>
              <w:jc w:val="right"/>
              <w:rPr>
                <w:rFonts w:ascii="Arial" w:hAnsi="Arial" w:cs="Arial"/>
                <w:sz w:val="18"/>
                <w:szCs w:val="18"/>
                <w:u w:val="single"/>
              </w:rPr>
            </w:pPr>
            <w:r w:rsidRPr="0009028A">
              <w:rPr>
                <w:rFonts w:ascii="Arial" w:hAnsi="Arial" w:cs="Arial"/>
                <w:sz w:val="18"/>
                <w:szCs w:val="18"/>
                <w:u w:val="single"/>
              </w:rPr>
              <w:t>307.491</w:t>
            </w:r>
          </w:p>
        </w:tc>
      </w:tr>
      <w:tr w:rsidR="00133184" w:rsidRPr="0009028A" w14:paraId="305CCFAB" w14:textId="77777777" w:rsidTr="00E97933">
        <w:trPr>
          <w:trHeight w:val="227"/>
        </w:trPr>
        <w:tc>
          <w:tcPr>
            <w:tcW w:w="2614" w:type="pct"/>
            <w:shd w:val="clear" w:color="auto" w:fill="auto"/>
            <w:noWrap/>
            <w:vAlign w:val="bottom"/>
            <w:hideMark/>
          </w:tcPr>
          <w:p w14:paraId="1E0C56A6" w14:textId="77777777" w:rsidR="00133184" w:rsidRPr="0009028A" w:rsidRDefault="00133184" w:rsidP="009670B2">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Total activos no corrientes</w:t>
            </w:r>
          </w:p>
        </w:tc>
        <w:tc>
          <w:tcPr>
            <w:tcW w:w="341" w:type="pct"/>
            <w:shd w:val="clear" w:color="auto" w:fill="auto"/>
            <w:noWrap/>
            <w:vAlign w:val="center"/>
          </w:tcPr>
          <w:p w14:paraId="5A64E9E8" w14:textId="77777777" w:rsidR="00133184" w:rsidRPr="0009028A" w:rsidRDefault="00133184" w:rsidP="00133184">
            <w:pPr>
              <w:spacing w:after="0" w:line="240" w:lineRule="auto"/>
              <w:jc w:val="center"/>
              <w:rPr>
                <w:rFonts w:ascii="Arial" w:eastAsia="Times New Roman" w:hAnsi="Arial" w:cs="Arial"/>
                <w:sz w:val="18"/>
                <w:szCs w:val="18"/>
                <w:lang w:eastAsia="es-CO"/>
              </w:rPr>
            </w:pPr>
          </w:p>
        </w:tc>
        <w:tc>
          <w:tcPr>
            <w:tcW w:w="155" w:type="pct"/>
            <w:vAlign w:val="center"/>
          </w:tcPr>
          <w:p w14:paraId="6C6E4DAF" w14:textId="77777777" w:rsidR="00133184" w:rsidRPr="0009028A" w:rsidRDefault="00133184" w:rsidP="00133184">
            <w:pPr>
              <w:spacing w:after="0" w:line="240" w:lineRule="auto"/>
              <w:jc w:val="center"/>
              <w:rPr>
                <w:rFonts w:ascii="Arial" w:hAnsi="Arial" w:cs="Arial"/>
                <w:bCs/>
                <w:sz w:val="18"/>
                <w:szCs w:val="18"/>
              </w:rPr>
            </w:pPr>
            <w:r w:rsidRPr="0009028A">
              <w:rPr>
                <w:rFonts w:ascii="Arial" w:hAnsi="Arial" w:cs="Arial"/>
                <w:bCs/>
                <w:sz w:val="18"/>
                <w:szCs w:val="18"/>
              </w:rPr>
              <w:t>$</w:t>
            </w:r>
          </w:p>
        </w:tc>
        <w:tc>
          <w:tcPr>
            <w:tcW w:w="868" w:type="pct"/>
            <w:shd w:val="clear" w:color="auto" w:fill="auto"/>
            <w:noWrap/>
            <w:vAlign w:val="center"/>
          </w:tcPr>
          <w:p w14:paraId="5EA71BB2" w14:textId="25CF4F6E" w:rsidR="00133184" w:rsidRPr="0009028A" w:rsidRDefault="007261D9" w:rsidP="00133184">
            <w:pPr>
              <w:spacing w:after="0" w:line="240" w:lineRule="auto"/>
              <w:jc w:val="right"/>
              <w:rPr>
                <w:rFonts w:ascii="Arial" w:hAnsi="Arial" w:cs="Arial"/>
                <w:sz w:val="18"/>
                <w:szCs w:val="18"/>
                <w:u w:val="double"/>
              </w:rPr>
            </w:pPr>
            <w:r w:rsidRPr="007261D9">
              <w:rPr>
                <w:rFonts w:ascii="Arial" w:hAnsi="Arial" w:cs="Arial"/>
                <w:b/>
                <w:bCs/>
                <w:sz w:val="18"/>
                <w:szCs w:val="18"/>
                <w:u w:val="double"/>
              </w:rPr>
              <w:t>2.210.664.353</w:t>
            </w:r>
          </w:p>
        </w:tc>
        <w:tc>
          <w:tcPr>
            <w:tcW w:w="154" w:type="pct"/>
          </w:tcPr>
          <w:p w14:paraId="52D0C46A" w14:textId="77777777" w:rsidR="00133184" w:rsidRPr="0009028A" w:rsidRDefault="00133184" w:rsidP="00133184">
            <w:pPr>
              <w:spacing w:after="0" w:line="240" w:lineRule="auto"/>
              <w:jc w:val="right"/>
              <w:rPr>
                <w:rFonts w:ascii="Arial" w:hAnsi="Arial" w:cs="Arial"/>
                <w:b/>
                <w:bCs/>
                <w:sz w:val="18"/>
                <w:szCs w:val="18"/>
                <w:u w:val="double"/>
              </w:rPr>
            </w:pPr>
          </w:p>
        </w:tc>
        <w:tc>
          <w:tcPr>
            <w:tcW w:w="867" w:type="pct"/>
            <w:shd w:val="clear" w:color="auto" w:fill="auto"/>
            <w:noWrap/>
            <w:vAlign w:val="center"/>
            <w:hideMark/>
          </w:tcPr>
          <w:p w14:paraId="4BDE75DF" w14:textId="2933DB3E" w:rsidR="00133184" w:rsidRPr="0009028A" w:rsidRDefault="007261D9" w:rsidP="00133184">
            <w:pPr>
              <w:spacing w:after="0" w:line="240" w:lineRule="auto"/>
              <w:jc w:val="right"/>
              <w:rPr>
                <w:rFonts w:ascii="Arial" w:hAnsi="Arial" w:cs="Arial"/>
                <w:b/>
                <w:bCs/>
                <w:sz w:val="18"/>
                <w:szCs w:val="18"/>
                <w:u w:val="double"/>
              </w:rPr>
            </w:pPr>
            <w:r w:rsidRPr="007261D9">
              <w:rPr>
                <w:rFonts w:ascii="Arial" w:hAnsi="Arial" w:cs="Arial"/>
                <w:b/>
                <w:bCs/>
                <w:sz w:val="18"/>
                <w:szCs w:val="18"/>
                <w:u w:val="double"/>
              </w:rPr>
              <w:t>2.220.941.073</w:t>
            </w:r>
          </w:p>
        </w:tc>
      </w:tr>
      <w:tr w:rsidR="00133184" w:rsidRPr="0009028A" w14:paraId="4383CED8" w14:textId="77777777" w:rsidTr="00E97933">
        <w:trPr>
          <w:trHeight w:val="304"/>
        </w:trPr>
        <w:tc>
          <w:tcPr>
            <w:tcW w:w="2614" w:type="pct"/>
            <w:shd w:val="clear" w:color="auto" w:fill="auto"/>
            <w:noWrap/>
            <w:vAlign w:val="bottom"/>
            <w:hideMark/>
          </w:tcPr>
          <w:p w14:paraId="73979CEC" w14:textId="77777777" w:rsidR="00133184" w:rsidRPr="0009028A" w:rsidRDefault="00133184" w:rsidP="009670B2">
            <w:pPr>
              <w:spacing w:before="240" w:after="0" w:line="276"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Total activos</w:t>
            </w:r>
          </w:p>
        </w:tc>
        <w:tc>
          <w:tcPr>
            <w:tcW w:w="341" w:type="pct"/>
            <w:shd w:val="clear" w:color="auto" w:fill="auto"/>
            <w:noWrap/>
            <w:vAlign w:val="center"/>
          </w:tcPr>
          <w:p w14:paraId="1A6C06B8" w14:textId="77777777" w:rsidR="00133184" w:rsidRPr="0009028A" w:rsidRDefault="00133184" w:rsidP="00133184">
            <w:pPr>
              <w:spacing w:before="240" w:after="0" w:line="276" w:lineRule="auto"/>
              <w:jc w:val="center"/>
              <w:rPr>
                <w:rFonts w:ascii="Arial" w:eastAsia="Times New Roman" w:hAnsi="Arial" w:cs="Arial"/>
                <w:sz w:val="18"/>
                <w:szCs w:val="18"/>
                <w:lang w:eastAsia="es-CO"/>
              </w:rPr>
            </w:pPr>
          </w:p>
        </w:tc>
        <w:tc>
          <w:tcPr>
            <w:tcW w:w="155" w:type="pct"/>
            <w:vAlign w:val="center"/>
          </w:tcPr>
          <w:p w14:paraId="3D4A736C" w14:textId="77777777" w:rsidR="00133184" w:rsidRPr="0009028A" w:rsidRDefault="00133184" w:rsidP="00133184">
            <w:pPr>
              <w:spacing w:before="240" w:after="0" w:line="276" w:lineRule="auto"/>
              <w:jc w:val="center"/>
              <w:rPr>
                <w:rFonts w:ascii="Arial" w:hAnsi="Arial" w:cs="Arial"/>
                <w:bCs/>
                <w:sz w:val="18"/>
                <w:szCs w:val="18"/>
              </w:rPr>
            </w:pPr>
            <w:r w:rsidRPr="0009028A">
              <w:rPr>
                <w:rFonts w:ascii="Arial" w:hAnsi="Arial" w:cs="Arial"/>
                <w:bCs/>
                <w:sz w:val="18"/>
                <w:szCs w:val="18"/>
              </w:rPr>
              <w:t>$</w:t>
            </w:r>
          </w:p>
        </w:tc>
        <w:tc>
          <w:tcPr>
            <w:tcW w:w="868" w:type="pct"/>
            <w:shd w:val="clear" w:color="auto" w:fill="auto"/>
            <w:noWrap/>
            <w:vAlign w:val="center"/>
          </w:tcPr>
          <w:p w14:paraId="6C3AC103" w14:textId="57812F5B" w:rsidR="00133184" w:rsidRPr="0009028A" w:rsidRDefault="007261D9" w:rsidP="00133184">
            <w:pPr>
              <w:spacing w:before="240" w:after="0" w:line="276" w:lineRule="auto"/>
              <w:jc w:val="right"/>
              <w:rPr>
                <w:rFonts w:ascii="Arial" w:hAnsi="Arial" w:cs="Arial"/>
                <w:b/>
                <w:bCs/>
                <w:sz w:val="18"/>
                <w:szCs w:val="18"/>
                <w:u w:val="double"/>
              </w:rPr>
            </w:pPr>
            <w:r w:rsidRPr="007261D9">
              <w:rPr>
                <w:rFonts w:ascii="Arial" w:hAnsi="Arial" w:cs="Arial"/>
                <w:b/>
                <w:bCs/>
                <w:sz w:val="18"/>
                <w:szCs w:val="18"/>
                <w:u w:val="double"/>
              </w:rPr>
              <w:t>2.373.833.041</w:t>
            </w:r>
          </w:p>
        </w:tc>
        <w:tc>
          <w:tcPr>
            <w:tcW w:w="154" w:type="pct"/>
          </w:tcPr>
          <w:p w14:paraId="1DB6B97C" w14:textId="77777777" w:rsidR="00133184" w:rsidRPr="0009028A" w:rsidRDefault="00133184" w:rsidP="00133184">
            <w:pPr>
              <w:spacing w:before="240" w:after="0" w:line="276" w:lineRule="auto"/>
              <w:jc w:val="right"/>
              <w:rPr>
                <w:rFonts w:ascii="Arial" w:hAnsi="Arial" w:cs="Arial"/>
                <w:b/>
                <w:bCs/>
                <w:sz w:val="18"/>
                <w:szCs w:val="18"/>
                <w:u w:val="double"/>
              </w:rPr>
            </w:pPr>
          </w:p>
        </w:tc>
        <w:tc>
          <w:tcPr>
            <w:tcW w:w="867" w:type="pct"/>
            <w:shd w:val="clear" w:color="auto" w:fill="auto"/>
            <w:noWrap/>
            <w:vAlign w:val="center"/>
            <w:hideMark/>
          </w:tcPr>
          <w:p w14:paraId="250B7492" w14:textId="6FDB3BA5" w:rsidR="00133184" w:rsidRPr="0009028A" w:rsidRDefault="007261D9" w:rsidP="00133184">
            <w:pPr>
              <w:spacing w:before="240" w:after="0" w:line="276" w:lineRule="auto"/>
              <w:jc w:val="right"/>
              <w:rPr>
                <w:rFonts w:ascii="Arial" w:hAnsi="Arial" w:cs="Arial"/>
                <w:b/>
                <w:bCs/>
                <w:sz w:val="18"/>
                <w:szCs w:val="18"/>
                <w:u w:val="double"/>
              </w:rPr>
            </w:pPr>
            <w:r w:rsidRPr="007261D9">
              <w:rPr>
                <w:rFonts w:ascii="Arial" w:hAnsi="Arial" w:cs="Arial"/>
                <w:b/>
                <w:bCs/>
                <w:sz w:val="18"/>
                <w:szCs w:val="18"/>
                <w:u w:val="double"/>
              </w:rPr>
              <w:t>2.364.803.548</w:t>
            </w:r>
          </w:p>
        </w:tc>
      </w:tr>
      <w:bookmarkEnd w:id="4"/>
      <w:bookmarkEnd w:id="5"/>
    </w:tbl>
    <w:p w14:paraId="32A30B16" w14:textId="77777777" w:rsidR="0061497F" w:rsidRPr="0009028A" w:rsidRDefault="0061497F" w:rsidP="00525587">
      <w:pPr>
        <w:rPr>
          <w:rFonts w:ascii="Arial" w:hAnsi="Arial" w:cs="Arial"/>
        </w:rPr>
      </w:pPr>
    </w:p>
    <w:p w14:paraId="33ED23EF" w14:textId="77777777" w:rsidR="0061497F" w:rsidRPr="0009028A" w:rsidRDefault="0061497F" w:rsidP="00525587">
      <w:pPr>
        <w:rPr>
          <w:rFonts w:ascii="Arial" w:hAnsi="Arial" w:cs="Arial"/>
        </w:rPr>
      </w:pPr>
      <w:r w:rsidRPr="0009028A">
        <w:rPr>
          <w:rFonts w:ascii="Arial" w:hAnsi="Arial" w:cs="Arial"/>
        </w:rPr>
        <w:br w:type="page"/>
      </w:r>
    </w:p>
    <w:p w14:paraId="2B88529B" w14:textId="343A064F" w:rsidR="00DC2FFF" w:rsidRPr="0009028A" w:rsidRDefault="00DC2FFF" w:rsidP="00DC2FFF">
      <w:pPr>
        <w:spacing w:after="0"/>
        <w:rPr>
          <w:rFonts w:ascii="Arial" w:hAnsi="Arial" w:cs="Arial"/>
          <w:color w:val="0C2D66"/>
          <w:sz w:val="36"/>
          <w:szCs w:val="36"/>
        </w:rPr>
      </w:pPr>
      <w:r w:rsidRPr="0009028A">
        <w:rPr>
          <w:rFonts w:ascii="Arial" w:hAnsi="Arial" w:cs="Arial"/>
          <w:color w:val="0C2D66"/>
          <w:sz w:val="36"/>
          <w:szCs w:val="36"/>
        </w:rPr>
        <w:lastRenderedPageBreak/>
        <w:t>Odinsa S.A.</w:t>
      </w:r>
    </w:p>
    <w:p w14:paraId="27D5C26D" w14:textId="12327187" w:rsidR="00D95C99" w:rsidRPr="0009028A" w:rsidRDefault="00D95C99" w:rsidP="00BE3A75">
      <w:pPr>
        <w:spacing w:after="0"/>
        <w:rPr>
          <w:rFonts w:ascii="Arial" w:hAnsi="Arial" w:cs="Arial"/>
          <w:b/>
          <w:color w:val="0C2D66"/>
          <w:sz w:val="28"/>
          <w:szCs w:val="28"/>
        </w:rPr>
      </w:pPr>
      <w:r w:rsidRPr="0009028A">
        <w:rPr>
          <w:rFonts w:ascii="Arial" w:hAnsi="Arial" w:cs="Arial"/>
          <w:b/>
          <w:color w:val="0C2D66"/>
          <w:sz w:val="28"/>
          <w:szCs w:val="28"/>
        </w:rPr>
        <w:t>Estado</w:t>
      </w:r>
      <w:r w:rsidR="003573E2" w:rsidRPr="0009028A">
        <w:rPr>
          <w:rFonts w:ascii="Arial" w:hAnsi="Arial" w:cs="Arial"/>
          <w:b/>
          <w:color w:val="0C2D66"/>
          <w:sz w:val="28"/>
          <w:szCs w:val="28"/>
        </w:rPr>
        <w:t>s</w:t>
      </w:r>
      <w:r w:rsidRPr="0009028A">
        <w:rPr>
          <w:rFonts w:ascii="Arial" w:hAnsi="Arial" w:cs="Arial"/>
          <w:b/>
          <w:color w:val="0C2D66"/>
          <w:sz w:val="28"/>
          <w:szCs w:val="28"/>
        </w:rPr>
        <w:t xml:space="preserve"> </w:t>
      </w:r>
      <w:r w:rsidR="00C82E26" w:rsidRPr="0009028A">
        <w:rPr>
          <w:rFonts w:ascii="Arial" w:hAnsi="Arial" w:cs="Arial"/>
          <w:b/>
          <w:color w:val="0C2D66"/>
          <w:sz w:val="28"/>
          <w:szCs w:val="28"/>
        </w:rPr>
        <w:t xml:space="preserve">intermedios </w:t>
      </w:r>
      <w:r w:rsidR="00224611" w:rsidRPr="0009028A">
        <w:rPr>
          <w:rFonts w:ascii="Arial" w:hAnsi="Arial" w:cs="Arial"/>
          <w:b/>
          <w:color w:val="0C2D66"/>
          <w:sz w:val="28"/>
          <w:szCs w:val="28"/>
        </w:rPr>
        <w:t xml:space="preserve">condensados </w:t>
      </w:r>
      <w:r w:rsidR="003573E2" w:rsidRPr="0009028A">
        <w:rPr>
          <w:rFonts w:ascii="Arial" w:hAnsi="Arial" w:cs="Arial"/>
          <w:b/>
          <w:color w:val="0C2D66"/>
          <w:sz w:val="28"/>
          <w:szCs w:val="28"/>
        </w:rPr>
        <w:t xml:space="preserve">separados </w:t>
      </w:r>
      <w:r w:rsidRPr="0009028A">
        <w:rPr>
          <w:rFonts w:ascii="Arial" w:hAnsi="Arial" w:cs="Arial"/>
          <w:b/>
          <w:color w:val="0C2D66"/>
          <w:sz w:val="28"/>
          <w:szCs w:val="28"/>
        </w:rPr>
        <w:t>de situación financiera</w:t>
      </w:r>
    </w:p>
    <w:p w14:paraId="4E909954" w14:textId="77777777" w:rsidR="00BE3A75" w:rsidRPr="0009028A" w:rsidRDefault="003573E2" w:rsidP="00BE3A75">
      <w:pPr>
        <w:spacing w:after="0"/>
        <w:rPr>
          <w:rFonts w:ascii="Arial" w:hAnsi="Arial" w:cs="Arial"/>
          <w:sz w:val="20"/>
          <w:szCs w:val="20"/>
        </w:rPr>
      </w:pPr>
      <w:r w:rsidRPr="0009028A">
        <w:rPr>
          <w:rFonts w:ascii="Arial" w:hAnsi="Arial" w:cs="Arial"/>
          <w:sz w:val="20"/>
          <w:szCs w:val="20"/>
        </w:rPr>
        <w:t>(</w:t>
      </w:r>
      <w:r w:rsidR="00913A00" w:rsidRPr="0009028A">
        <w:rPr>
          <w:rFonts w:ascii="Arial" w:hAnsi="Arial" w:cs="Arial"/>
          <w:sz w:val="20"/>
          <w:szCs w:val="20"/>
        </w:rPr>
        <w:t>E</w:t>
      </w:r>
      <w:r w:rsidRPr="0009028A">
        <w:rPr>
          <w:rFonts w:ascii="Arial" w:hAnsi="Arial" w:cs="Arial"/>
          <w:sz w:val="20"/>
          <w:szCs w:val="20"/>
        </w:rPr>
        <w:t>xpresados e</w:t>
      </w:r>
      <w:r w:rsidR="00913A00" w:rsidRPr="0009028A">
        <w:rPr>
          <w:rFonts w:ascii="Arial" w:hAnsi="Arial" w:cs="Arial"/>
          <w:sz w:val="20"/>
          <w:szCs w:val="20"/>
        </w:rPr>
        <w:t xml:space="preserve">n miles </w:t>
      </w:r>
      <w:r w:rsidRPr="0009028A">
        <w:rPr>
          <w:rFonts w:ascii="Arial" w:hAnsi="Arial" w:cs="Arial"/>
          <w:sz w:val="20"/>
          <w:szCs w:val="20"/>
        </w:rPr>
        <w:t>de pesos</w:t>
      </w:r>
      <w:r w:rsidR="00C82E26" w:rsidRPr="0009028A">
        <w:rPr>
          <w:rFonts w:ascii="Arial" w:hAnsi="Arial" w:cs="Arial"/>
          <w:sz w:val="20"/>
          <w:szCs w:val="20"/>
        </w:rPr>
        <w:t xml:space="preserve"> Colombianos</w:t>
      </w:r>
      <w:r w:rsidRPr="0009028A">
        <w:rPr>
          <w:rFonts w:ascii="Arial" w:hAnsi="Arial" w:cs="Arial"/>
          <w:sz w:val="20"/>
          <w:szCs w:val="20"/>
        </w:rPr>
        <w:t>)</w:t>
      </w:r>
    </w:p>
    <w:p w14:paraId="1C56FB2B" w14:textId="77777777" w:rsidR="004869C8" w:rsidRPr="0009028A" w:rsidRDefault="004869C8" w:rsidP="00C21888">
      <w:pPr>
        <w:spacing w:after="0"/>
        <w:rPr>
          <w:rFonts w:ascii="Arial" w:hAnsi="Arial" w:cs="Arial"/>
          <w:sz w:val="20"/>
        </w:rPr>
      </w:pPr>
    </w:p>
    <w:p w14:paraId="4FEE5751" w14:textId="77777777" w:rsidR="00D94145" w:rsidRPr="0009028A" w:rsidRDefault="00D94145" w:rsidP="00C21888">
      <w:pPr>
        <w:spacing w:after="0"/>
        <w:rPr>
          <w:rFonts w:ascii="Arial" w:hAnsi="Arial" w:cs="Arial"/>
          <w:sz w:val="20"/>
        </w:rPr>
      </w:pPr>
    </w:p>
    <w:tbl>
      <w:tblPr>
        <w:tblW w:w="9327" w:type="dxa"/>
        <w:tblLayout w:type="fixed"/>
        <w:tblCellMar>
          <w:left w:w="70" w:type="dxa"/>
          <w:right w:w="70" w:type="dxa"/>
        </w:tblCellMar>
        <w:tblLook w:val="04A0" w:firstRow="1" w:lastRow="0" w:firstColumn="1" w:lastColumn="0" w:noHBand="0" w:noVBand="1"/>
      </w:tblPr>
      <w:tblGrid>
        <w:gridCol w:w="4962"/>
        <w:gridCol w:w="624"/>
        <w:gridCol w:w="284"/>
        <w:gridCol w:w="1587"/>
        <w:gridCol w:w="283"/>
        <w:gridCol w:w="1587"/>
      </w:tblGrid>
      <w:tr w:rsidR="00133184" w:rsidRPr="0009028A" w14:paraId="67E6D554" w14:textId="77777777" w:rsidTr="00E97933">
        <w:trPr>
          <w:trHeight w:val="227"/>
        </w:trPr>
        <w:tc>
          <w:tcPr>
            <w:tcW w:w="4962" w:type="dxa"/>
            <w:shd w:val="clear" w:color="auto" w:fill="auto"/>
            <w:noWrap/>
            <w:vAlign w:val="center"/>
            <w:hideMark/>
          </w:tcPr>
          <w:p w14:paraId="0598AF32" w14:textId="77777777" w:rsidR="00133184" w:rsidRPr="0009028A" w:rsidRDefault="00133184" w:rsidP="00133184">
            <w:pPr>
              <w:spacing w:after="0" w:line="240" w:lineRule="auto"/>
              <w:rPr>
                <w:rFonts w:ascii="Arial" w:eastAsia="Times New Roman" w:hAnsi="Arial" w:cs="Arial"/>
                <w:sz w:val="18"/>
                <w:szCs w:val="18"/>
                <w:lang w:eastAsia="es-CO"/>
              </w:rPr>
            </w:pPr>
          </w:p>
        </w:tc>
        <w:tc>
          <w:tcPr>
            <w:tcW w:w="624" w:type="dxa"/>
            <w:shd w:val="clear" w:color="auto" w:fill="auto"/>
            <w:vAlign w:val="center"/>
            <w:hideMark/>
          </w:tcPr>
          <w:p w14:paraId="4D85D2CD" w14:textId="77777777" w:rsidR="00133184" w:rsidRPr="0009028A" w:rsidRDefault="00133184" w:rsidP="00133184">
            <w:pPr>
              <w:spacing w:after="0" w:line="240" w:lineRule="auto"/>
              <w:jc w:val="center"/>
              <w:rPr>
                <w:rFonts w:ascii="Arial" w:eastAsia="Times New Roman" w:hAnsi="Arial" w:cs="Arial"/>
                <w:b/>
                <w:bCs/>
                <w:sz w:val="16"/>
                <w:szCs w:val="16"/>
                <w:lang w:eastAsia="es-CO"/>
              </w:rPr>
            </w:pPr>
            <w:r w:rsidRPr="0009028A">
              <w:rPr>
                <w:rFonts w:ascii="Arial" w:eastAsia="Times New Roman" w:hAnsi="Arial" w:cs="Arial"/>
                <w:b/>
                <w:bCs/>
                <w:sz w:val="16"/>
                <w:szCs w:val="16"/>
                <w:lang w:eastAsia="es-CO"/>
              </w:rPr>
              <w:t>Notas</w:t>
            </w:r>
          </w:p>
        </w:tc>
        <w:tc>
          <w:tcPr>
            <w:tcW w:w="284" w:type="dxa"/>
            <w:vAlign w:val="center"/>
          </w:tcPr>
          <w:p w14:paraId="21F4E0CF" w14:textId="77777777" w:rsidR="00133184" w:rsidRPr="0009028A" w:rsidRDefault="00133184" w:rsidP="00133184">
            <w:pPr>
              <w:spacing w:after="0" w:line="240" w:lineRule="auto"/>
              <w:jc w:val="center"/>
              <w:rPr>
                <w:rFonts w:ascii="Arial" w:eastAsia="Times New Roman" w:hAnsi="Arial" w:cs="Arial"/>
                <w:b/>
                <w:bCs/>
                <w:sz w:val="16"/>
                <w:szCs w:val="16"/>
                <w:lang w:eastAsia="es-CO"/>
              </w:rPr>
            </w:pPr>
          </w:p>
        </w:tc>
        <w:tc>
          <w:tcPr>
            <w:tcW w:w="1587" w:type="dxa"/>
            <w:shd w:val="clear" w:color="auto" w:fill="auto"/>
            <w:vAlign w:val="center"/>
            <w:hideMark/>
          </w:tcPr>
          <w:p w14:paraId="4A6132F9" w14:textId="77777777" w:rsidR="00133184" w:rsidRPr="0009028A" w:rsidRDefault="00133184" w:rsidP="00133184">
            <w:pPr>
              <w:spacing w:after="0" w:line="240" w:lineRule="auto"/>
              <w:jc w:val="center"/>
              <w:rPr>
                <w:rFonts w:ascii="Arial" w:eastAsia="Times New Roman" w:hAnsi="Arial" w:cs="Arial"/>
                <w:b/>
                <w:bCs/>
                <w:sz w:val="16"/>
                <w:szCs w:val="16"/>
                <w:lang w:eastAsia="es-CO"/>
              </w:rPr>
            </w:pPr>
            <w:r w:rsidRPr="0009028A">
              <w:rPr>
                <w:rFonts w:ascii="Arial" w:eastAsia="Times New Roman" w:hAnsi="Arial" w:cs="Arial"/>
                <w:b/>
                <w:bCs/>
                <w:sz w:val="16"/>
                <w:szCs w:val="16"/>
                <w:lang w:eastAsia="es-CO"/>
              </w:rPr>
              <w:t>31 de marzo de 2019</w:t>
            </w:r>
          </w:p>
        </w:tc>
        <w:tc>
          <w:tcPr>
            <w:tcW w:w="283" w:type="dxa"/>
            <w:vAlign w:val="center"/>
          </w:tcPr>
          <w:p w14:paraId="07158ACA" w14:textId="77777777" w:rsidR="00133184" w:rsidRPr="0009028A" w:rsidRDefault="00133184" w:rsidP="00133184">
            <w:pPr>
              <w:spacing w:after="0" w:line="240" w:lineRule="auto"/>
              <w:jc w:val="center"/>
              <w:rPr>
                <w:rFonts w:ascii="Arial" w:eastAsia="Times New Roman" w:hAnsi="Arial" w:cs="Arial"/>
                <w:b/>
                <w:bCs/>
                <w:sz w:val="16"/>
                <w:szCs w:val="16"/>
                <w:lang w:eastAsia="es-CO"/>
              </w:rPr>
            </w:pPr>
          </w:p>
        </w:tc>
        <w:tc>
          <w:tcPr>
            <w:tcW w:w="1587" w:type="dxa"/>
            <w:shd w:val="clear" w:color="auto" w:fill="auto"/>
            <w:vAlign w:val="center"/>
            <w:hideMark/>
          </w:tcPr>
          <w:p w14:paraId="0DED6921" w14:textId="66E8ABD9" w:rsidR="00133184" w:rsidRPr="0009028A" w:rsidRDefault="00133184" w:rsidP="00133184">
            <w:pPr>
              <w:spacing w:after="0" w:line="240" w:lineRule="auto"/>
              <w:jc w:val="center"/>
              <w:rPr>
                <w:rFonts w:ascii="Arial" w:eastAsia="Times New Roman" w:hAnsi="Arial" w:cs="Arial"/>
                <w:b/>
                <w:bCs/>
                <w:sz w:val="16"/>
                <w:szCs w:val="16"/>
                <w:lang w:eastAsia="es-CO"/>
              </w:rPr>
            </w:pPr>
            <w:r w:rsidRPr="0009028A">
              <w:rPr>
                <w:rFonts w:ascii="Arial" w:eastAsia="Times New Roman" w:hAnsi="Arial" w:cs="Arial"/>
                <w:b/>
                <w:bCs/>
                <w:sz w:val="16"/>
                <w:szCs w:val="16"/>
                <w:lang w:eastAsia="es-CO"/>
              </w:rPr>
              <w:t>31 de diciembre de 2018</w:t>
            </w:r>
          </w:p>
        </w:tc>
      </w:tr>
      <w:tr w:rsidR="00133184" w:rsidRPr="0009028A" w14:paraId="10715444" w14:textId="77777777" w:rsidTr="00E97933">
        <w:trPr>
          <w:trHeight w:val="227"/>
        </w:trPr>
        <w:tc>
          <w:tcPr>
            <w:tcW w:w="4962" w:type="dxa"/>
            <w:shd w:val="clear" w:color="auto" w:fill="auto"/>
            <w:noWrap/>
            <w:vAlign w:val="center"/>
            <w:hideMark/>
          </w:tcPr>
          <w:p w14:paraId="1D92D627" w14:textId="77777777" w:rsidR="00133184" w:rsidRPr="0009028A" w:rsidRDefault="00133184" w:rsidP="00133184">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Pasivos</w:t>
            </w:r>
          </w:p>
        </w:tc>
        <w:tc>
          <w:tcPr>
            <w:tcW w:w="624" w:type="dxa"/>
            <w:shd w:val="clear" w:color="auto" w:fill="auto"/>
            <w:noWrap/>
            <w:vAlign w:val="center"/>
            <w:hideMark/>
          </w:tcPr>
          <w:p w14:paraId="252E5975" w14:textId="77777777" w:rsidR="00133184" w:rsidRPr="0009028A" w:rsidRDefault="00133184" w:rsidP="00133184">
            <w:pPr>
              <w:spacing w:after="0" w:line="240" w:lineRule="auto"/>
              <w:jc w:val="center"/>
              <w:rPr>
                <w:rFonts w:ascii="Arial" w:eastAsia="Times New Roman" w:hAnsi="Arial" w:cs="Arial"/>
                <w:b/>
                <w:bCs/>
                <w:sz w:val="18"/>
                <w:szCs w:val="18"/>
                <w:lang w:eastAsia="es-CO"/>
              </w:rPr>
            </w:pPr>
          </w:p>
        </w:tc>
        <w:tc>
          <w:tcPr>
            <w:tcW w:w="284" w:type="dxa"/>
            <w:vAlign w:val="center"/>
          </w:tcPr>
          <w:p w14:paraId="7E2A9552" w14:textId="77777777" w:rsidR="00133184" w:rsidRPr="0009028A" w:rsidRDefault="00133184" w:rsidP="00133184">
            <w:pPr>
              <w:spacing w:after="0" w:line="240" w:lineRule="auto"/>
              <w:jc w:val="center"/>
              <w:rPr>
                <w:rFonts w:ascii="Arial" w:eastAsia="Times New Roman" w:hAnsi="Arial" w:cs="Arial"/>
                <w:sz w:val="18"/>
                <w:szCs w:val="18"/>
                <w:lang w:eastAsia="es-CO"/>
              </w:rPr>
            </w:pPr>
          </w:p>
        </w:tc>
        <w:tc>
          <w:tcPr>
            <w:tcW w:w="1587" w:type="dxa"/>
            <w:shd w:val="clear" w:color="auto" w:fill="auto"/>
            <w:noWrap/>
            <w:vAlign w:val="center"/>
            <w:hideMark/>
          </w:tcPr>
          <w:p w14:paraId="42AF775B" w14:textId="77777777" w:rsidR="00133184" w:rsidRPr="0009028A" w:rsidRDefault="00133184" w:rsidP="00133184">
            <w:pPr>
              <w:spacing w:after="0" w:line="240" w:lineRule="auto"/>
              <w:jc w:val="right"/>
              <w:rPr>
                <w:rFonts w:ascii="Arial" w:eastAsia="Times New Roman" w:hAnsi="Arial" w:cs="Arial"/>
                <w:sz w:val="18"/>
                <w:szCs w:val="18"/>
                <w:lang w:eastAsia="es-CO"/>
              </w:rPr>
            </w:pPr>
          </w:p>
        </w:tc>
        <w:tc>
          <w:tcPr>
            <w:tcW w:w="283" w:type="dxa"/>
            <w:vAlign w:val="center"/>
          </w:tcPr>
          <w:p w14:paraId="44F297C9" w14:textId="77777777" w:rsidR="00133184" w:rsidRPr="0009028A" w:rsidRDefault="00133184" w:rsidP="00133184">
            <w:pPr>
              <w:spacing w:after="0" w:line="240" w:lineRule="auto"/>
              <w:jc w:val="right"/>
              <w:rPr>
                <w:rFonts w:ascii="Arial" w:eastAsia="Times New Roman" w:hAnsi="Arial" w:cs="Arial"/>
                <w:sz w:val="18"/>
                <w:szCs w:val="18"/>
                <w:lang w:eastAsia="es-CO"/>
              </w:rPr>
            </w:pPr>
          </w:p>
        </w:tc>
        <w:tc>
          <w:tcPr>
            <w:tcW w:w="1587" w:type="dxa"/>
            <w:shd w:val="clear" w:color="auto" w:fill="auto"/>
            <w:noWrap/>
            <w:vAlign w:val="center"/>
            <w:hideMark/>
          </w:tcPr>
          <w:p w14:paraId="6082AE9B" w14:textId="607A0A86" w:rsidR="00133184" w:rsidRPr="0009028A" w:rsidRDefault="00133184" w:rsidP="00133184">
            <w:pPr>
              <w:spacing w:after="0" w:line="240" w:lineRule="auto"/>
              <w:jc w:val="right"/>
              <w:rPr>
                <w:rFonts w:ascii="Arial" w:eastAsia="Times New Roman" w:hAnsi="Arial" w:cs="Arial"/>
                <w:sz w:val="18"/>
                <w:szCs w:val="18"/>
                <w:lang w:eastAsia="es-CO"/>
              </w:rPr>
            </w:pPr>
          </w:p>
        </w:tc>
      </w:tr>
      <w:tr w:rsidR="00133184" w:rsidRPr="0009028A" w14:paraId="08D17AD0" w14:textId="77777777" w:rsidTr="00E97933">
        <w:trPr>
          <w:trHeight w:val="227"/>
        </w:trPr>
        <w:tc>
          <w:tcPr>
            <w:tcW w:w="4962" w:type="dxa"/>
            <w:shd w:val="clear" w:color="auto" w:fill="auto"/>
            <w:noWrap/>
            <w:vAlign w:val="center"/>
            <w:hideMark/>
          </w:tcPr>
          <w:p w14:paraId="66BA7404" w14:textId="77777777" w:rsidR="00133184" w:rsidRPr="0009028A" w:rsidRDefault="00133184" w:rsidP="00133184">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Pasivos corrientes</w:t>
            </w:r>
          </w:p>
        </w:tc>
        <w:tc>
          <w:tcPr>
            <w:tcW w:w="624" w:type="dxa"/>
            <w:shd w:val="clear" w:color="auto" w:fill="auto"/>
            <w:noWrap/>
            <w:vAlign w:val="center"/>
            <w:hideMark/>
          </w:tcPr>
          <w:p w14:paraId="1A01A9F4" w14:textId="7527FBC1" w:rsidR="00133184" w:rsidRPr="0009028A" w:rsidRDefault="00133184" w:rsidP="00133184">
            <w:pPr>
              <w:spacing w:after="0" w:line="240" w:lineRule="auto"/>
              <w:jc w:val="center"/>
              <w:rPr>
                <w:rFonts w:ascii="Arial" w:eastAsia="Times New Roman" w:hAnsi="Arial" w:cs="Arial"/>
                <w:sz w:val="18"/>
                <w:szCs w:val="18"/>
                <w:lang w:eastAsia="es-CO"/>
              </w:rPr>
            </w:pPr>
          </w:p>
        </w:tc>
        <w:tc>
          <w:tcPr>
            <w:tcW w:w="284" w:type="dxa"/>
            <w:vAlign w:val="center"/>
          </w:tcPr>
          <w:p w14:paraId="4CE1A9B7" w14:textId="77777777" w:rsidR="00133184" w:rsidRPr="0009028A" w:rsidRDefault="00133184" w:rsidP="00133184">
            <w:pPr>
              <w:spacing w:after="0" w:line="240" w:lineRule="auto"/>
              <w:jc w:val="center"/>
              <w:rPr>
                <w:rFonts w:ascii="Arial" w:eastAsia="Times New Roman" w:hAnsi="Arial" w:cs="Arial"/>
                <w:sz w:val="18"/>
                <w:szCs w:val="18"/>
                <w:lang w:eastAsia="es-CO"/>
              </w:rPr>
            </w:pPr>
          </w:p>
        </w:tc>
        <w:tc>
          <w:tcPr>
            <w:tcW w:w="1587" w:type="dxa"/>
            <w:shd w:val="clear" w:color="auto" w:fill="auto"/>
            <w:noWrap/>
            <w:vAlign w:val="center"/>
            <w:hideMark/>
          </w:tcPr>
          <w:p w14:paraId="0838B48A" w14:textId="7FFC6E86" w:rsidR="00133184" w:rsidRPr="0009028A" w:rsidRDefault="00133184" w:rsidP="00133184">
            <w:pPr>
              <w:spacing w:after="0" w:line="240" w:lineRule="auto"/>
              <w:jc w:val="right"/>
              <w:rPr>
                <w:rFonts w:ascii="Arial" w:eastAsia="Times New Roman" w:hAnsi="Arial" w:cs="Arial"/>
                <w:sz w:val="18"/>
                <w:szCs w:val="18"/>
                <w:lang w:eastAsia="es-CO"/>
              </w:rPr>
            </w:pPr>
          </w:p>
        </w:tc>
        <w:tc>
          <w:tcPr>
            <w:tcW w:w="283" w:type="dxa"/>
            <w:vAlign w:val="center"/>
          </w:tcPr>
          <w:p w14:paraId="41E355B2" w14:textId="77777777" w:rsidR="00133184" w:rsidRPr="0009028A" w:rsidRDefault="00133184" w:rsidP="00133184">
            <w:pPr>
              <w:spacing w:after="0" w:line="240" w:lineRule="auto"/>
              <w:jc w:val="right"/>
              <w:rPr>
                <w:rFonts w:ascii="Arial" w:eastAsia="Times New Roman" w:hAnsi="Arial" w:cs="Arial"/>
                <w:sz w:val="18"/>
                <w:szCs w:val="18"/>
                <w:lang w:eastAsia="es-CO"/>
              </w:rPr>
            </w:pPr>
          </w:p>
        </w:tc>
        <w:tc>
          <w:tcPr>
            <w:tcW w:w="1587" w:type="dxa"/>
            <w:shd w:val="clear" w:color="auto" w:fill="auto"/>
            <w:noWrap/>
            <w:vAlign w:val="center"/>
            <w:hideMark/>
          </w:tcPr>
          <w:p w14:paraId="0272CA8F" w14:textId="12291287" w:rsidR="00133184" w:rsidRPr="0009028A" w:rsidRDefault="00133184" w:rsidP="00133184">
            <w:pPr>
              <w:spacing w:after="0" w:line="240" w:lineRule="auto"/>
              <w:jc w:val="right"/>
              <w:rPr>
                <w:rFonts w:ascii="Arial" w:eastAsia="Times New Roman" w:hAnsi="Arial" w:cs="Arial"/>
                <w:sz w:val="18"/>
                <w:szCs w:val="18"/>
                <w:lang w:eastAsia="es-CO"/>
              </w:rPr>
            </w:pPr>
          </w:p>
        </w:tc>
      </w:tr>
      <w:tr w:rsidR="00133184" w:rsidRPr="0009028A" w14:paraId="3D31A96A" w14:textId="77777777" w:rsidTr="00E97933">
        <w:trPr>
          <w:trHeight w:val="227"/>
        </w:trPr>
        <w:tc>
          <w:tcPr>
            <w:tcW w:w="4962" w:type="dxa"/>
            <w:shd w:val="clear" w:color="auto" w:fill="auto"/>
            <w:noWrap/>
            <w:vAlign w:val="center"/>
            <w:hideMark/>
          </w:tcPr>
          <w:p w14:paraId="67612D24" w14:textId="77777777" w:rsidR="00133184" w:rsidRPr="0009028A" w:rsidRDefault="00133184" w:rsidP="00133184">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Obligaciones financieras</w:t>
            </w:r>
          </w:p>
        </w:tc>
        <w:tc>
          <w:tcPr>
            <w:tcW w:w="624" w:type="dxa"/>
            <w:shd w:val="clear" w:color="auto" w:fill="auto"/>
            <w:noWrap/>
            <w:vAlign w:val="center"/>
          </w:tcPr>
          <w:p w14:paraId="160DBC07" w14:textId="77777777" w:rsidR="00133184" w:rsidRPr="0009028A" w:rsidRDefault="00133184" w:rsidP="00133184">
            <w:pPr>
              <w:spacing w:after="0" w:line="240" w:lineRule="auto"/>
              <w:jc w:val="center"/>
              <w:rPr>
                <w:rFonts w:ascii="Arial" w:eastAsia="Times New Roman" w:hAnsi="Arial" w:cs="Arial"/>
                <w:sz w:val="18"/>
                <w:szCs w:val="18"/>
                <w:lang w:eastAsia="es-CO"/>
              </w:rPr>
            </w:pPr>
          </w:p>
        </w:tc>
        <w:tc>
          <w:tcPr>
            <w:tcW w:w="284" w:type="dxa"/>
            <w:vAlign w:val="center"/>
          </w:tcPr>
          <w:p w14:paraId="27F309B3" w14:textId="77777777" w:rsidR="00133184" w:rsidRPr="0009028A" w:rsidRDefault="00133184" w:rsidP="00133184">
            <w:pPr>
              <w:spacing w:after="0" w:line="240" w:lineRule="auto"/>
              <w:jc w:val="center"/>
              <w:rPr>
                <w:rFonts w:ascii="Arial" w:hAnsi="Arial" w:cs="Arial"/>
                <w:sz w:val="18"/>
                <w:szCs w:val="18"/>
              </w:rPr>
            </w:pPr>
            <w:r w:rsidRPr="0009028A">
              <w:rPr>
                <w:rFonts w:ascii="Arial" w:hAnsi="Arial" w:cs="Arial"/>
                <w:sz w:val="18"/>
                <w:szCs w:val="18"/>
              </w:rPr>
              <w:t>$</w:t>
            </w:r>
          </w:p>
        </w:tc>
        <w:tc>
          <w:tcPr>
            <w:tcW w:w="1587" w:type="dxa"/>
            <w:shd w:val="clear" w:color="auto" w:fill="auto"/>
            <w:noWrap/>
            <w:vAlign w:val="center"/>
          </w:tcPr>
          <w:p w14:paraId="31C7D180"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236.450.983</w:t>
            </w:r>
          </w:p>
        </w:tc>
        <w:tc>
          <w:tcPr>
            <w:tcW w:w="283" w:type="dxa"/>
            <w:vAlign w:val="center"/>
          </w:tcPr>
          <w:p w14:paraId="50936912" w14:textId="77777777" w:rsidR="00133184" w:rsidRPr="0009028A" w:rsidRDefault="00133184" w:rsidP="00133184">
            <w:pPr>
              <w:spacing w:after="0" w:line="240" w:lineRule="auto"/>
              <w:jc w:val="right"/>
              <w:rPr>
                <w:rFonts w:ascii="Arial" w:hAnsi="Arial" w:cs="Arial"/>
                <w:sz w:val="18"/>
                <w:szCs w:val="18"/>
              </w:rPr>
            </w:pPr>
          </w:p>
        </w:tc>
        <w:tc>
          <w:tcPr>
            <w:tcW w:w="1587" w:type="dxa"/>
            <w:shd w:val="clear" w:color="auto" w:fill="auto"/>
            <w:noWrap/>
            <w:vAlign w:val="center"/>
          </w:tcPr>
          <w:p w14:paraId="59BCDB30" w14:textId="495B59DE"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236.449.261</w:t>
            </w:r>
          </w:p>
        </w:tc>
      </w:tr>
      <w:tr w:rsidR="00133184" w:rsidRPr="0009028A" w14:paraId="4FB9E0AD" w14:textId="77777777" w:rsidTr="00E97933">
        <w:trPr>
          <w:trHeight w:val="227"/>
        </w:trPr>
        <w:tc>
          <w:tcPr>
            <w:tcW w:w="4962" w:type="dxa"/>
            <w:shd w:val="clear" w:color="auto" w:fill="auto"/>
            <w:noWrap/>
            <w:vAlign w:val="center"/>
          </w:tcPr>
          <w:p w14:paraId="353D0D58" w14:textId="77777777" w:rsidR="00133184" w:rsidRPr="0009028A" w:rsidRDefault="00133184" w:rsidP="00133184">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Pasivos por arrendamientos</w:t>
            </w:r>
          </w:p>
        </w:tc>
        <w:tc>
          <w:tcPr>
            <w:tcW w:w="624" w:type="dxa"/>
            <w:shd w:val="clear" w:color="auto" w:fill="auto"/>
            <w:noWrap/>
            <w:vAlign w:val="center"/>
          </w:tcPr>
          <w:p w14:paraId="0235A78A" w14:textId="2CC8B3A6" w:rsidR="00133184" w:rsidRPr="0009028A" w:rsidRDefault="00964E83" w:rsidP="00133184">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13</w:t>
            </w:r>
          </w:p>
        </w:tc>
        <w:tc>
          <w:tcPr>
            <w:tcW w:w="284" w:type="dxa"/>
            <w:vAlign w:val="center"/>
          </w:tcPr>
          <w:p w14:paraId="5F68FFF2" w14:textId="77777777" w:rsidR="00133184" w:rsidRPr="0009028A" w:rsidRDefault="00133184" w:rsidP="00133184">
            <w:pPr>
              <w:spacing w:after="0" w:line="240" w:lineRule="auto"/>
              <w:jc w:val="center"/>
              <w:rPr>
                <w:rFonts w:ascii="Arial" w:hAnsi="Arial" w:cs="Arial"/>
                <w:sz w:val="18"/>
                <w:szCs w:val="18"/>
              </w:rPr>
            </w:pPr>
          </w:p>
        </w:tc>
        <w:tc>
          <w:tcPr>
            <w:tcW w:w="1587" w:type="dxa"/>
            <w:shd w:val="clear" w:color="auto" w:fill="auto"/>
            <w:noWrap/>
            <w:vAlign w:val="center"/>
          </w:tcPr>
          <w:p w14:paraId="5A2FC433"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15.174.453</w:t>
            </w:r>
          </w:p>
        </w:tc>
        <w:tc>
          <w:tcPr>
            <w:tcW w:w="283" w:type="dxa"/>
            <w:vAlign w:val="center"/>
          </w:tcPr>
          <w:p w14:paraId="30E50438" w14:textId="77777777" w:rsidR="00133184" w:rsidRPr="0009028A" w:rsidRDefault="00133184" w:rsidP="00133184">
            <w:pPr>
              <w:spacing w:after="0" w:line="240" w:lineRule="auto"/>
              <w:jc w:val="right"/>
              <w:rPr>
                <w:rFonts w:ascii="Arial" w:hAnsi="Arial" w:cs="Arial"/>
                <w:sz w:val="18"/>
                <w:szCs w:val="18"/>
              </w:rPr>
            </w:pPr>
          </w:p>
        </w:tc>
        <w:tc>
          <w:tcPr>
            <w:tcW w:w="1587" w:type="dxa"/>
            <w:shd w:val="clear" w:color="auto" w:fill="auto"/>
            <w:noWrap/>
            <w:vAlign w:val="center"/>
          </w:tcPr>
          <w:p w14:paraId="7586CED6" w14:textId="4232C60F"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w:t>
            </w:r>
          </w:p>
        </w:tc>
      </w:tr>
      <w:tr w:rsidR="00133184" w:rsidRPr="0009028A" w14:paraId="481905B5" w14:textId="77777777" w:rsidTr="00E97933">
        <w:trPr>
          <w:trHeight w:val="227"/>
        </w:trPr>
        <w:tc>
          <w:tcPr>
            <w:tcW w:w="4962" w:type="dxa"/>
            <w:shd w:val="clear" w:color="auto" w:fill="auto"/>
            <w:noWrap/>
            <w:vAlign w:val="center"/>
            <w:hideMark/>
          </w:tcPr>
          <w:p w14:paraId="28ED2D48" w14:textId="77777777" w:rsidR="00133184" w:rsidRPr="0009028A" w:rsidRDefault="00133184" w:rsidP="00133184">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Beneficios a empleados</w:t>
            </w:r>
          </w:p>
        </w:tc>
        <w:tc>
          <w:tcPr>
            <w:tcW w:w="624" w:type="dxa"/>
            <w:shd w:val="clear" w:color="auto" w:fill="auto"/>
            <w:noWrap/>
            <w:vAlign w:val="center"/>
          </w:tcPr>
          <w:p w14:paraId="2DEEF43B" w14:textId="77777777" w:rsidR="00133184" w:rsidRPr="0009028A" w:rsidRDefault="00133184" w:rsidP="00133184">
            <w:pPr>
              <w:spacing w:after="0" w:line="240" w:lineRule="auto"/>
              <w:jc w:val="center"/>
              <w:rPr>
                <w:rFonts w:ascii="Arial" w:eastAsia="Times New Roman" w:hAnsi="Arial" w:cs="Arial"/>
                <w:sz w:val="18"/>
                <w:szCs w:val="18"/>
                <w:lang w:eastAsia="es-CO"/>
              </w:rPr>
            </w:pPr>
          </w:p>
        </w:tc>
        <w:tc>
          <w:tcPr>
            <w:tcW w:w="284" w:type="dxa"/>
            <w:vAlign w:val="center"/>
          </w:tcPr>
          <w:p w14:paraId="431C4371" w14:textId="77777777" w:rsidR="00133184" w:rsidRPr="0009028A" w:rsidRDefault="00133184" w:rsidP="00133184">
            <w:pPr>
              <w:spacing w:after="0" w:line="240" w:lineRule="auto"/>
              <w:jc w:val="center"/>
              <w:rPr>
                <w:rFonts w:ascii="Arial" w:hAnsi="Arial" w:cs="Arial"/>
                <w:sz w:val="18"/>
                <w:szCs w:val="18"/>
              </w:rPr>
            </w:pPr>
          </w:p>
        </w:tc>
        <w:tc>
          <w:tcPr>
            <w:tcW w:w="1587" w:type="dxa"/>
            <w:shd w:val="clear" w:color="auto" w:fill="auto"/>
            <w:noWrap/>
            <w:vAlign w:val="center"/>
          </w:tcPr>
          <w:p w14:paraId="2E540EE2"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4.104.333</w:t>
            </w:r>
          </w:p>
        </w:tc>
        <w:tc>
          <w:tcPr>
            <w:tcW w:w="283" w:type="dxa"/>
            <w:vAlign w:val="center"/>
          </w:tcPr>
          <w:p w14:paraId="08F7F276" w14:textId="77777777" w:rsidR="00133184" w:rsidRPr="0009028A" w:rsidRDefault="00133184" w:rsidP="00133184">
            <w:pPr>
              <w:spacing w:after="0" w:line="240" w:lineRule="auto"/>
              <w:jc w:val="right"/>
              <w:rPr>
                <w:rFonts w:ascii="Arial" w:hAnsi="Arial" w:cs="Arial"/>
                <w:sz w:val="18"/>
                <w:szCs w:val="18"/>
              </w:rPr>
            </w:pPr>
          </w:p>
        </w:tc>
        <w:tc>
          <w:tcPr>
            <w:tcW w:w="1587" w:type="dxa"/>
            <w:shd w:val="clear" w:color="auto" w:fill="auto"/>
            <w:noWrap/>
            <w:vAlign w:val="center"/>
          </w:tcPr>
          <w:p w14:paraId="69CBBCDB" w14:textId="5CDF98DB"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8.986.172</w:t>
            </w:r>
          </w:p>
        </w:tc>
      </w:tr>
      <w:tr w:rsidR="00133184" w:rsidRPr="0009028A" w14:paraId="62306B24" w14:textId="77777777" w:rsidTr="00E97933">
        <w:trPr>
          <w:trHeight w:val="227"/>
        </w:trPr>
        <w:tc>
          <w:tcPr>
            <w:tcW w:w="4962" w:type="dxa"/>
            <w:shd w:val="clear" w:color="auto" w:fill="auto"/>
            <w:noWrap/>
            <w:vAlign w:val="center"/>
            <w:hideMark/>
          </w:tcPr>
          <w:p w14:paraId="02FCDD08" w14:textId="77777777" w:rsidR="00133184" w:rsidRPr="0009028A" w:rsidRDefault="00133184" w:rsidP="00133184">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Acreedores comerciales y otras cuentas por pagar</w:t>
            </w:r>
          </w:p>
        </w:tc>
        <w:tc>
          <w:tcPr>
            <w:tcW w:w="624" w:type="dxa"/>
            <w:shd w:val="clear" w:color="auto" w:fill="auto"/>
            <w:noWrap/>
            <w:vAlign w:val="center"/>
          </w:tcPr>
          <w:p w14:paraId="39B81B14" w14:textId="72B16A89" w:rsidR="00133184" w:rsidRPr="0009028A" w:rsidRDefault="00F75D67" w:rsidP="00133184">
            <w:pPr>
              <w:spacing w:after="0" w:line="240" w:lineRule="auto"/>
              <w:jc w:val="center"/>
              <w:rPr>
                <w:rFonts w:ascii="Arial" w:eastAsia="Times New Roman" w:hAnsi="Arial" w:cs="Arial"/>
                <w:sz w:val="18"/>
                <w:szCs w:val="18"/>
                <w:highlight w:val="yellow"/>
                <w:lang w:eastAsia="es-CO"/>
              </w:rPr>
            </w:pPr>
            <w:r w:rsidRPr="00F75D67">
              <w:rPr>
                <w:rFonts w:ascii="Arial" w:eastAsia="Times New Roman" w:hAnsi="Arial" w:cs="Arial"/>
                <w:sz w:val="18"/>
                <w:szCs w:val="18"/>
                <w:lang w:eastAsia="es-CO"/>
              </w:rPr>
              <w:t>1</w:t>
            </w:r>
            <w:r w:rsidR="00964E83">
              <w:rPr>
                <w:rFonts w:ascii="Arial" w:eastAsia="Times New Roman" w:hAnsi="Arial" w:cs="Arial"/>
                <w:sz w:val="18"/>
                <w:szCs w:val="18"/>
                <w:lang w:eastAsia="es-CO"/>
              </w:rPr>
              <w:t>4</w:t>
            </w:r>
          </w:p>
        </w:tc>
        <w:tc>
          <w:tcPr>
            <w:tcW w:w="284" w:type="dxa"/>
            <w:vAlign w:val="center"/>
          </w:tcPr>
          <w:p w14:paraId="66F39752" w14:textId="77777777" w:rsidR="00133184" w:rsidRPr="0009028A" w:rsidRDefault="00133184" w:rsidP="00133184">
            <w:pPr>
              <w:spacing w:after="0" w:line="240" w:lineRule="auto"/>
              <w:jc w:val="center"/>
              <w:rPr>
                <w:rFonts w:ascii="Arial" w:hAnsi="Arial" w:cs="Arial"/>
                <w:sz w:val="18"/>
                <w:szCs w:val="18"/>
              </w:rPr>
            </w:pPr>
          </w:p>
        </w:tc>
        <w:tc>
          <w:tcPr>
            <w:tcW w:w="1587" w:type="dxa"/>
            <w:shd w:val="clear" w:color="auto" w:fill="auto"/>
            <w:noWrap/>
            <w:vAlign w:val="center"/>
          </w:tcPr>
          <w:p w14:paraId="2A011974"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106.796.413</w:t>
            </w:r>
          </w:p>
        </w:tc>
        <w:tc>
          <w:tcPr>
            <w:tcW w:w="283" w:type="dxa"/>
            <w:vAlign w:val="center"/>
          </w:tcPr>
          <w:p w14:paraId="1FBB89FC" w14:textId="77777777" w:rsidR="00133184" w:rsidRPr="0009028A" w:rsidRDefault="00133184" w:rsidP="00133184">
            <w:pPr>
              <w:spacing w:after="0" w:line="240" w:lineRule="auto"/>
              <w:jc w:val="right"/>
              <w:rPr>
                <w:rFonts w:ascii="Arial" w:hAnsi="Arial" w:cs="Arial"/>
                <w:sz w:val="18"/>
                <w:szCs w:val="18"/>
              </w:rPr>
            </w:pPr>
          </w:p>
        </w:tc>
        <w:tc>
          <w:tcPr>
            <w:tcW w:w="1587" w:type="dxa"/>
            <w:shd w:val="clear" w:color="auto" w:fill="auto"/>
            <w:noWrap/>
            <w:vAlign w:val="center"/>
          </w:tcPr>
          <w:p w14:paraId="073A49DE" w14:textId="2B1D57BC"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53.588.418</w:t>
            </w:r>
          </w:p>
        </w:tc>
      </w:tr>
      <w:tr w:rsidR="00133184" w:rsidRPr="0009028A" w14:paraId="49B16B81" w14:textId="77777777" w:rsidTr="00E97933">
        <w:trPr>
          <w:trHeight w:val="227"/>
        </w:trPr>
        <w:tc>
          <w:tcPr>
            <w:tcW w:w="4962" w:type="dxa"/>
            <w:shd w:val="clear" w:color="auto" w:fill="auto"/>
            <w:noWrap/>
            <w:vAlign w:val="center"/>
            <w:hideMark/>
          </w:tcPr>
          <w:p w14:paraId="768B2555" w14:textId="77777777" w:rsidR="00133184" w:rsidRPr="0009028A" w:rsidRDefault="00133184" w:rsidP="00133184">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Pasivos por impuestos</w:t>
            </w:r>
          </w:p>
        </w:tc>
        <w:tc>
          <w:tcPr>
            <w:tcW w:w="624" w:type="dxa"/>
            <w:shd w:val="clear" w:color="auto" w:fill="auto"/>
            <w:noWrap/>
            <w:vAlign w:val="center"/>
          </w:tcPr>
          <w:p w14:paraId="5324253D"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284" w:type="dxa"/>
            <w:vAlign w:val="center"/>
          </w:tcPr>
          <w:p w14:paraId="2CB57CA3" w14:textId="77777777" w:rsidR="00133184" w:rsidRPr="0009028A" w:rsidRDefault="00133184" w:rsidP="00133184">
            <w:pPr>
              <w:spacing w:after="0" w:line="240" w:lineRule="auto"/>
              <w:jc w:val="center"/>
              <w:rPr>
                <w:rFonts w:ascii="Arial" w:hAnsi="Arial" w:cs="Arial"/>
                <w:sz w:val="18"/>
                <w:szCs w:val="18"/>
              </w:rPr>
            </w:pPr>
          </w:p>
        </w:tc>
        <w:tc>
          <w:tcPr>
            <w:tcW w:w="1587" w:type="dxa"/>
            <w:shd w:val="clear" w:color="auto" w:fill="auto"/>
            <w:noWrap/>
            <w:vAlign w:val="center"/>
          </w:tcPr>
          <w:p w14:paraId="497B4D22"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20.478.739</w:t>
            </w:r>
          </w:p>
        </w:tc>
        <w:tc>
          <w:tcPr>
            <w:tcW w:w="283" w:type="dxa"/>
            <w:vAlign w:val="center"/>
          </w:tcPr>
          <w:p w14:paraId="133C1824" w14:textId="77777777" w:rsidR="00133184" w:rsidRPr="0009028A" w:rsidRDefault="00133184" w:rsidP="00133184">
            <w:pPr>
              <w:spacing w:after="0" w:line="240" w:lineRule="auto"/>
              <w:jc w:val="right"/>
              <w:rPr>
                <w:rFonts w:ascii="Arial" w:hAnsi="Arial" w:cs="Arial"/>
                <w:sz w:val="18"/>
                <w:szCs w:val="18"/>
              </w:rPr>
            </w:pPr>
          </w:p>
        </w:tc>
        <w:tc>
          <w:tcPr>
            <w:tcW w:w="1587" w:type="dxa"/>
            <w:shd w:val="clear" w:color="auto" w:fill="auto"/>
            <w:noWrap/>
            <w:vAlign w:val="center"/>
          </w:tcPr>
          <w:p w14:paraId="1A4AFBFA" w14:textId="78A95558"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16.371.480</w:t>
            </w:r>
          </w:p>
        </w:tc>
      </w:tr>
      <w:tr w:rsidR="00133184" w:rsidRPr="0009028A" w14:paraId="3FE0E633" w14:textId="77777777" w:rsidTr="00E97933">
        <w:trPr>
          <w:trHeight w:val="227"/>
        </w:trPr>
        <w:tc>
          <w:tcPr>
            <w:tcW w:w="4962" w:type="dxa"/>
            <w:shd w:val="clear" w:color="auto" w:fill="auto"/>
            <w:noWrap/>
            <w:vAlign w:val="center"/>
            <w:hideMark/>
          </w:tcPr>
          <w:p w14:paraId="36760ADB" w14:textId="77777777" w:rsidR="00133184" w:rsidRPr="0009028A" w:rsidRDefault="00133184" w:rsidP="00133184">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Otros pasivos no financieros</w:t>
            </w:r>
          </w:p>
        </w:tc>
        <w:tc>
          <w:tcPr>
            <w:tcW w:w="624" w:type="dxa"/>
            <w:shd w:val="clear" w:color="auto" w:fill="auto"/>
            <w:noWrap/>
            <w:vAlign w:val="center"/>
          </w:tcPr>
          <w:p w14:paraId="698B48FA"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284" w:type="dxa"/>
            <w:vAlign w:val="center"/>
          </w:tcPr>
          <w:p w14:paraId="1F7B7B5C" w14:textId="77777777" w:rsidR="00133184" w:rsidRPr="0009028A" w:rsidRDefault="00133184" w:rsidP="00133184">
            <w:pPr>
              <w:spacing w:after="0" w:line="240" w:lineRule="auto"/>
              <w:jc w:val="center"/>
              <w:rPr>
                <w:rFonts w:ascii="Arial" w:hAnsi="Arial" w:cs="Arial"/>
                <w:sz w:val="18"/>
                <w:szCs w:val="18"/>
              </w:rPr>
            </w:pPr>
          </w:p>
        </w:tc>
        <w:tc>
          <w:tcPr>
            <w:tcW w:w="1587" w:type="dxa"/>
            <w:shd w:val="clear" w:color="auto" w:fill="auto"/>
            <w:noWrap/>
            <w:vAlign w:val="center"/>
          </w:tcPr>
          <w:p w14:paraId="5F383869"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3.720.788</w:t>
            </w:r>
          </w:p>
        </w:tc>
        <w:tc>
          <w:tcPr>
            <w:tcW w:w="283" w:type="dxa"/>
            <w:vAlign w:val="center"/>
          </w:tcPr>
          <w:p w14:paraId="0413FC42" w14:textId="77777777" w:rsidR="00133184" w:rsidRPr="0009028A" w:rsidRDefault="00133184" w:rsidP="00133184">
            <w:pPr>
              <w:spacing w:after="0" w:line="240" w:lineRule="auto"/>
              <w:jc w:val="right"/>
              <w:rPr>
                <w:rFonts w:ascii="Arial" w:hAnsi="Arial" w:cs="Arial"/>
                <w:sz w:val="18"/>
                <w:szCs w:val="18"/>
              </w:rPr>
            </w:pPr>
          </w:p>
        </w:tc>
        <w:tc>
          <w:tcPr>
            <w:tcW w:w="1587" w:type="dxa"/>
            <w:shd w:val="clear" w:color="auto" w:fill="auto"/>
            <w:noWrap/>
            <w:vAlign w:val="center"/>
          </w:tcPr>
          <w:p w14:paraId="0AD8F2A2" w14:textId="0376EAA2"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2.795.232</w:t>
            </w:r>
          </w:p>
        </w:tc>
      </w:tr>
      <w:tr w:rsidR="00133184" w:rsidRPr="0009028A" w14:paraId="36F85863" w14:textId="77777777" w:rsidTr="00E97933">
        <w:trPr>
          <w:trHeight w:val="227"/>
        </w:trPr>
        <w:tc>
          <w:tcPr>
            <w:tcW w:w="4962" w:type="dxa"/>
            <w:shd w:val="clear" w:color="auto" w:fill="auto"/>
            <w:noWrap/>
            <w:vAlign w:val="center"/>
          </w:tcPr>
          <w:p w14:paraId="31EC18F5" w14:textId="77777777" w:rsidR="00133184" w:rsidRPr="0009028A" w:rsidRDefault="00133184" w:rsidP="00133184">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Títulos emitidos</w:t>
            </w:r>
          </w:p>
        </w:tc>
        <w:tc>
          <w:tcPr>
            <w:tcW w:w="624" w:type="dxa"/>
            <w:shd w:val="clear" w:color="auto" w:fill="auto"/>
            <w:noWrap/>
            <w:vAlign w:val="center"/>
          </w:tcPr>
          <w:p w14:paraId="49862E18"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284" w:type="dxa"/>
            <w:vAlign w:val="center"/>
          </w:tcPr>
          <w:p w14:paraId="3BA3264F" w14:textId="77777777" w:rsidR="00133184" w:rsidRPr="0009028A" w:rsidRDefault="00133184" w:rsidP="00133184">
            <w:pPr>
              <w:spacing w:after="0" w:line="240" w:lineRule="auto"/>
              <w:jc w:val="center"/>
              <w:rPr>
                <w:rFonts w:ascii="Arial" w:hAnsi="Arial" w:cs="Arial"/>
                <w:sz w:val="18"/>
                <w:szCs w:val="18"/>
              </w:rPr>
            </w:pPr>
          </w:p>
        </w:tc>
        <w:tc>
          <w:tcPr>
            <w:tcW w:w="1587" w:type="dxa"/>
            <w:shd w:val="clear" w:color="auto" w:fill="auto"/>
            <w:noWrap/>
            <w:vAlign w:val="center"/>
          </w:tcPr>
          <w:p w14:paraId="7D018B7F" w14:textId="1E9EC2FC" w:rsidR="00133184" w:rsidRPr="0009028A" w:rsidRDefault="0095255B" w:rsidP="00133184">
            <w:pPr>
              <w:spacing w:after="0" w:line="240" w:lineRule="auto"/>
              <w:jc w:val="right"/>
              <w:rPr>
                <w:rFonts w:ascii="Arial" w:hAnsi="Arial" w:cs="Arial"/>
                <w:sz w:val="18"/>
                <w:szCs w:val="18"/>
                <w:u w:val="single"/>
              </w:rPr>
            </w:pPr>
            <w:r>
              <w:rPr>
                <w:rFonts w:ascii="Arial" w:hAnsi="Arial" w:cs="Arial"/>
                <w:sz w:val="18"/>
                <w:szCs w:val="18"/>
                <w:u w:val="single"/>
              </w:rPr>
              <w:t xml:space="preserve">      </w:t>
            </w:r>
            <w:r w:rsidR="00133184" w:rsidRPr="0009028A">
              <w:rPr>
                <w:rFonts w:ascii="Arial" w:hAnsi="Arial" w:cs="Arial"/>
                <w:sz w:val="18"/>
                <w:szCs w:val="18"/>
                <w:u w:val="single"/>
              </w:rPr>
              <w:t>6.918.701</w:t>
            </w:r>
          </w:p>
        </w:tc>
        <w:tc>
          <w:tcPr>
            <w:tcW w:w="283" w:type="dxa"/>
            <w:vAlign w:val="center"/>
          </w:tcPr>
          <w:p w14:paraId="433544F0" w14:textId="77777777" w:rsidR="00133184" w:rsidRPr="0009028A" w:rsidRDefault="00133184" w:rsidP="00133184">
            <w:pPr>
              <w:spacing w:after="0" w:line="240" w:lineRule="auto"/>
              <w:jc w:val="right"/>
              <w:rPr>
                <w:rFonts w:ascii="Arial" w:hAnsi="Arial" w:cs="Arial"/>
                <w:sz w:val="18"/>
                <w:szCs w:val="18"/>
                <w:u w:val="single"/>
              </w:rPr>
            </w:pPr>
          </w:p>
        </w:tc>
        <w:tc>
          <w:tcPr>
            <w:tcW w:w="1587" w:type="dxa"/>
            <w:shd w:val="clear" w:color="auto" w:fill="auto"/>
            <w:noWrap/>
            <w:vAlign w:val="center"/>
          </w:tcPr>
          <w:p w14:paraId="3F518F6F" w14:textId="3194F27E" w:rsidR="00133184" w:rsidRPr="0009028A" w:rsidRDefault="0095255B" w:rsidP="00133184">
            <w:pPr>
              <w:spacing w:after="0" w:line="240" w:lineRule="auto"/>
              <w:jc w:val="right"/>
              <w:rPr>
                <w:rFonts w:ascii="Arial" w:hAnsi="Arial" w:cs="Arial"/>
                <w:sz w:val="18"/>
                <w:szCs w:val="18"/>
                <w:u w:val="single"/>
              </w:rPr>
            </w:pPr>
            <w:r>
              <w:rPr>
                <w:rFonts w:ascii="Arial" w:hAnsi="Arial" w:cs="Arial"/>
                <w:sz w:val="18"/>
                <w:szCs w:val="18"/>
                <w:u w:val="single"/>
              </w:rPr>
              <w:t xml:space="preserve">      </w:t>
            </w:r>
            <w:r w:rsidR="00133184" w:rsidRPr="0009028A">
              <w:rPr>
                <w:rFonts w:ascii="Arial" w:hAnsi="Arial" w:cs="Arial"/>
                <w:sz w:val="18"/>
                <w:szCs w:val="18"/>
                <w:u w:val="single"/>
              </w:rPr>
              <w:t>7.030.777</w:t>
            </w:r>
          </w:p>
        </w:tc>
      </w:tr>
      <w:tr w:rsidR="00133184" w:rsidRPr="0009028A" w14:paraId="77E22498" w14:textId="77777777" w:rsidTr="00E97933">
        <w:trPr>
          <w:trHeight w:val="227"/>
        </w:trPr>
        <w:tc>
          <w:tcPr>
            <w:tcW w:w="4962" w:type="dxa"/>
            <w:shd w:val="clear" w:color="auto" w:fill="auto"/>
            <w:noWrap/>
            <w:vAlign w:val="center"/>
            <w:hideMark/>
          </w:tcPr>
          <w:p w14:paraId="7063973E" w14:textId="77777777" w:rsidR="00133184" w:rsidRPr="0009028A" w:rsidRDefault="00133184" w:rsidP="00133184">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 xml:space="preserve">Total pasivos corrientes </w:t>
            </w:r>
          </w:p>
        </w:tc>
        <w:tc>
          <w:tcPr>
            <w:tcW w:w="624" w:type="dxa"/>
            <w:shd w:val="clear" w:color="auto" w:fill="auto"/>
            <w:noWrap/>
            <w:vAlign w:val="center"/>
          </w:tcPr>
          <w:p w14:paraId="37AE1817"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284" w:type="dxa"/>
            <w:vAlign w:val="center"/>
          </w:tcPr>
          <w:p w14:paraId="2CDEF9DB" w14:textId="77777777" w:rsidR="00133184" w:rsidRPr="0009028A" w:rsidRDefault="00133184" w:rsidP="00133184">
            <w:pPr>
              <w:spacing w:after="0" w:line="240" w:lineRule="auto"/>
              <w:jc w:val="center"/>
              <w:rPr>
                <w:rFonts w:ascii="Arial" w:hAnsi="Arial" w:cs="Arial"/>
                <w:bCs/>
                <w:sz w:val="18"/>
                <w:szCs w:val="18"/>
              </w:rPr>
            </w:pPr>
            <w:r w:rsidRPr="0009028A">
              <w:rPr>
                <w:rFonts w:ascii="Arial" w:hAnsi="Arial" w:cs="Arial"/>
                <w:bCs/>
                <w:sz w:val="18"/>
                <w:szCs w:val="18"/>
              </w:rPr>
              <w:t>$</w:t>
            </w:r>
          </w:p>
        </w:tc>
        <w:tc>
          <w:tcPr>
            <w:tcW w:w="1587" w:type="dxa"/>
            <w:shd w:val="clear" w:color="auto" w:fill="auto"/>
            <w:noWrap/>
            <w:vAlign w:val="center"/>
          </w:tcPr>
          <w:p w14:paraId="012415B0" w14:textId="4BAB0075" w:rsidR="00133184" w:rsidRPr="0009028A" w:rsidRDefault="0095255B" w:rsidP="00133184">
            <w:pPr>
              <w:spacing w:after="0" w:line="240" w:lineRule="auto"/>
              <w:jc w:val="right"/>
              <w:rPr>
                <w:rFonts w:ascii="Arial" w:hAnsi="Arial" w:cs="Arial"/>
                <w:b/>
                <w:bCs/>
                <w:sz w:val="18"/>
                <w:szCs w:val="18"/>
                <w:u w:val="double"/>
              </w:rPr>
            </w:pPr>
            <w:r>
              <w:rPr>
                <w:rFonts w:ascii="Arial" w:hAnsi="Arial" w:cs="Arial"/>
                <w:b/>
                <w:bCs/>
                <w:sz w:val="18"/>
                <w:szCs w:val="18"/>
                <w:u w:val="double"/>
              </w:rPr>
              <w:t xml:space="preserve">  </w:t>
            </w:r>
            <w:r w:rsidR="00133184" w:rsidRPr="0009028A">
              <w:rPr>
                <w:rFonts w:ascii="Arial" w:hAnsi="Arial" w:cs="Arial"/>
                <w:b/>
                <w:bCs/>
                <w:sz w:val="18"/>
                <w:szCs w:val="18"/>
                <w:u w:val="double"/>
              </w:rPr>
              <w:t>393.644.410</w:t>
            </w:r>
          </w:p>
        </w:tc>
        <w:tc>
          <w:tcPr>
            <w:tcW w:w="283" w:type="dxa"/>
            <w:vAlign w:val="center"/>
          </w:tcPr>
          <w:p w14:paraId="0D0A43E9" w14:textId="77777777" w:rsidR="00133184" w:rsidRPr="0009028A" w:rsidRDefault="00133184" w:rsidP="00133184">
            <w:pPr>
              <w:spacing w:after="0" w:line="240" w:lineRule="auto"/>
              <w:jc w:val="right"/>
              <w:rPr>
                <w:rFonts w:ascii="Arial" w:hAnsi="Arial" w:cs="Arial"/>
                <w:b/>
                <w:bCs/>
                <w:sz w:val="18"/>
                <w:szCs w:val="18"/>
                <w:u w:val="double"/>
              </w:rPr>
            </w:pPr>
          </w:p>
        </w:tc>
        <w:tc>
          <w:tcPr>
            <w:tcW w:w="1587" w:type="dxa"/>
            <w:shd w:val="clear" w:color="auto" w:fill="auto"/>
            <w:noWrap/>
            <w:vAlign w:val="center"/>
            <w:hideMark/>
          </w:tcPr>
          <w:p w14:paraId="6060AD38" w14:textId="3A27A982" w:rsidR="00133184" w:rsidRPr="0009028A" w:rsidRDefault="0095255B" w:rsidP="00133184">
            <w:pPr>
              <w:spacing w:after="0" w:line="240" w:lineRule="auto"/>
              <w:jc w:val="right"/>
              <w:rPr>
                <w:rFonts w:ascii="Arial" w:hAnsi="Arial" w:cs="Arial"/>
                <w:b/>
                <w:bCs/>
                <w:sz w:val="18"/>
                <w:szCs w:val="18"/>
                <w:u w:val="double"/>
              </w:rPr>
            </w:pPr>
            <w:r>
              <w:rPr>
                <w:rFonts w:ascii="Arial" w:hAnsi="Arial" w:cs="Arial"/>
                <w:b/>
                <w:bCs/>
                <w:sz w:val="18"/>
                <w:szCs w:val="18"/>
                <w:u w:val="double"/>
              </w:rPr>
              <w:t xml:space="preserve">  </w:t>
            </w:r>
            <w:r w:rsidR="00133184" w:rsidRPr="0009028A">
              <w:rPr>
                <w:rFonts w:ascii="Arial" w:hAnsi="Arial" w:cs="Arial"/>
                <w:b/>
                <w:bCs/>
                <w:sz w:val="18"/>
                <w:szCs w:val="18"/>
                <w:u w:val="double"/>
              </w:rPr>
              <w:t>325.221.340</w:t>
            </w:r>
          </w:p>
        </w:tc>
      </w:tr>
      <w:tr w:rsidR="00133184" w:rsidRPr="0009028A" w14:paraId="750A82E7" w14:textId="77777777" w:rsidTr="00E97933">
        <w:trPr>
          <w:trHeight w:val="227"/>
        </w:trPr>
        <w:tc>
          <w:tcPr>
            <w:tcW w:w="4962" w:type="dxa"/>
            <w:shd w:val="clear" w:color="auto" w:fill="auto"/>
            <w:noWrap/>
            <w:vAlign w:val="center"/>
            <w:hideMark/>
          </w:tcPr>
          <w:p w14:paraId="39A2CC10" w14:textId="77777777" w:rsidR="00133184" w:rsidRPr="0009028A" w:rsidRDefault="00133184" w:rsidP="00133184">
            <w:pPr>
              <w:spacing w:after="0" w:line="240" w:lineRule="auto"/>
              <w:rPr>
                <w:rFonts w:ascii="Arial" w:eastAsia="Times New Roman" w:hAnsi="Arial" w:cs="Arial"/>
                <w:b/>
                <w:bCs/>
                <w:sz w:val="18"/>
                <w:szCs w:val="18"/>
                <w:lang w:eastAsia="es-CO"/>
              </w:rPr>
            </w:pPr>
          </w:p>
        </w:tc>
        <w:tc>
          <w:tcPr>
            <w:tcW w:w="624" w:type="dxa"/>
            <w:shd w:val="clear" w:color="auto" w:fill="auto"/>
            <w:noWrap/>
            <w:vAlign w:val="center"/>
          </w:tcPr>
          <w:p w14:paraId="357B4A92"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284" w:type="dxa"/>
            <w:vAlign w:val="center"/>
          </w:tcPr>
          <w:p w14:paraId="55E884D3"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1587" w:type="dxa"/>
            <w:shd w:val="clear" w:color="auto" w:fill="auto"/>
            <w:noWrap/>
            <w:vAlign w:val="center"/>
          </w:tcPr>
          <w:p w14:paraId="543C7EEC" w14:textId="77777777" w:rsidR="00133184" w:rsidRPr="0009028A" w:rsidRDefault="00133184" w:rsidP="00133184">
            <w:pPr>
              <w:spacing w:after="0" w:line="240" w:lineRule="auto"/>
              <w:jc w:val="right"/>
              <w:rPr>
                <w:rFonts w:ascii="Arial" w:eastAsia="Times New Roman" w:hAnsi="Arial" w:cs="Arial"/>
                <w:sz w:val="18"/>
                <w:szCs w:val="18"/>
                <w:highlight w:val="yellow"/>
                <w:lang w:eastAsia="es-CO"/>
              </w:rPr>
            </w:pPr>
          </w:p>
        </w:tc>
        <w:tc>
          <w:tcPr>
            <w:tcW w:w="283" w:type="dxa"/>
            <w:vAlign w:val="center"/>
          </w:tcPr>
          <w:p w14:paraId="5B5FEC09" w14:textId="77777777" w:rsidR="00133184" w:rsidRPr="0009028A" w:rsidRDefault="00133184" w:rsidP="00133184">
            <w:pPr>
              <w:spacing w:after="0" w:line="240" w:lineRule="auto"/>
              <w:jc w:val="right"/>
              <w:rPr>
                <w:rFonts w:ascii="Arial" w:eastAsia="Times New Roman" w:hAnsi="Arial" w:cs="Arial"/>
                <w:sz w:val="18"/>
                <w:szCs w:val="18"/>
                <w:lang w:eastAsia="es-CO"/>
              </w:rPr>
            </w:pPr>
          </w:p>
        </w:tc>
        <w:tc>
          <w:tcPr>
            <w:tcW w:w="1587" w:type="dxa"/>
            <w:shd w:val="clear" w:color="auto" w:fill="auto"/>
            <w:noWrap/>
            <w:vAlign w:val="center"/>
            <w:hideMark/>
          </w:tcPr>
          <w:p w14:paraId="2FDE0FA2" w14:textId="5DDBFC03" w:rsidR="00133184" w:rsidRPr="0009028A" w:rsidRDefault="00133184" w:rsidP="00133184">
            <w:pPr>
              <w:spacing w:after="0" w:line="240" w:lineRule="auto"/>
              <w:jc w:val="right"/>
              <w:rPr>
                <w:rFonts w:ascii="Arial" w:eastAsia="Times New Roman" w:hAnsi="Arial" w:cs="Arial"/>
                <w:sz w:val="18"/>
                <w:szCs w:val="18"/>
                <w:lang w:eastAsia="es-CO"/>
              </w:rPr>
            </w:pPr>
          </w:p>
        </w:tc>
      </w:tr>
      <w:tr w:rsidR="00133184" w:rsidRPr="0009028A" w14:paraId="53E9D0AB" w14:textId="77777777" w:rsidTr="00E97933">
        <w:trPr>
          <w:trHeight w:val="227"/>
        </w:trPr>
        <w:tc>
          <w:tcPr>
            <w:tcW w:w="4962" w:type="dxa"/>
            <w:shd w:val="clear" w:color="auto" w:fill="auto"/>
            <w:noWrap/>
            <w:vAlign w:val="center"/>
            <w:hideMark/>
          </w:tcPr>
          <w:p w14:paraId="2F4CDBF1" w14:textId="77777777" w:rsidR="00133184" w:rsidRPr="0009028A" w:rsidRDefault="00133184" w:rsidP="00133184">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Pasivos no corrientes</w:t>
            </w:r>
          </w:p>
        </w:tc>
        <w:tc>
          <w:tcPr>
            <w:tcW w:w="624" w:type="dxa"/>
            <w:shd w:val="clear" w:color="auto" w:fill="auto"/>
            <w:noWrap/>
            <w:vAlign w:val="center"/>
          </w:tcPr>
          <w:p w14:paraId="329E887D"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284" w:type="dxa"/>
            <w:vAlign w:val="center"/>
          </w:tcPr>
          <w:p w14:paraId="06E6F862"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1587" w:type="dxa"/>
            <w:shd w:val="clear" w:color="auto" w:fill="auto"/>
            <w:noWrap/>
            <w:vAlign w:val="center"/>
          </w:tcPr>
          <w:p w14:paraId="65D37A53" w14:textId="77777777" w:rsidR="00133184" w:rsidRPr="0009028A" w:rsidRDefault="00133184" w:rsidP="00133184">
            <w:pPr>
              <w:spacing w:after="0" w:line="240" w:lineRule="auto"/>
              <w:jc w:val="right"/>
              <w:rPr>
                <w:rFonts w:ascii="Arial" w:eastAsia="Times New Roman" w:hAnsi="Arial" w:cs="Arial"/>
                <w:sz w:val="18"/>
                <w:szCs w:val="18"/>
                <w:highlight w:val="yellow"/>
                <w:lang w:eastAsia="es-CO"/>
              </w:rPr>
            </w:pPr>
          </w:p>
        </w:tc>
        <w:tc>
          <w:tcPr>
            <w:tcW w:w="283" w:type="dxa"/>
            <w:vAlign w:val="center"/>
          </w:tcPr>
          <w:p w14:paraId="2EF30FDD" w14:textId="77777777" w:rsidR="00133184" w:rsidRPr="0009028A" w:rsidRDefault="00133184" w:rsidP="00133184">
            <w:pPr>
              <w:spacing w:after="0" w:line="240" w:lineRule="auto"/>
              <w:jc w:val="right"/>
              <w:rPr>
                <w:rFonts w:ascii="Arial" w:eastAsia="Times New Roman" w:hAnsi="Arial" w:cs="Arial"/>
                <w:sz w:val="18"/>
                <w:szCs w:val="18"/>
                <w:lang w:eastAsia="es-CO"/>
              </w:rPr>
            </w:pPr>
          </w:p>
        </w:tc>
        <w:tc>
          <w:tcPr>
            <w:tcW w:w="1587" w:type="dxa"/>
            <w:shd w:val="clear" w:color="auto" w:fill="auto"/>
            <w:noWrap/>
            <w:vAlign w:val="center"/>
            <w:hideMark/>
          </w:tcPr>
          <w:p w14:paraId="7D08C13A" w14:textId="4BD139C8" w:rsidR="00133184" w:rsidRPr="0009028A" w:rsidRDefault="00133184" w:rsidP="00133184">
            <w:pPr>
              <w:spacing w:after="0" w:line="240" w:lineRule="auto"/>
              <w:jc w:val="right"/>
              <w:rPr>
                <w:rFonts w:ascii="Arial" w:eastAsia="Times New Roman" w:hAnsi="Arial" w:cs="Arial"/>
                <w:sz w:val="18"/>
                <w:szCs w:val="18"/>
                <w:lang w:eastAsia="es-CO"/>
              </w:rPr>
            </w:pPr>
          </w:p>
        </w:tc>
      </w:tr>
      <w:tr w:rsidR="00133184" w:rsidRPr="0009028A" w14:paraId="729D54EE" w14:textId="77777777" w:rsidTr="00E97933">
        <w:trPr>
          <w:trHeight w:val="227"/>
        </w:trPr>
        <w:tc>
          <w:tcPr>
            <w:tcW w:w="4962" w:type="dxa"/>
            <w:shd w:val="clear" w:color="auto" w:fill="auto"/>
            <w:noWrap/>
            <w:vAlign w:val="center"/>
            <w:hideMark/>
          </w:tcPr>
          <w:p w14:paraId="4BF7210A" w14:textId="77777777" w:rsidR="00133184" w:rsidRPr="0009028A" w:rsidRDefault="00133184" w:rsidP="00133184">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Obligaciones financieras</w:t>
            </w:r>
          </w:p>
        </w:tc>
        <w:tc>
          <w:tcPr>
            <w:tcW w:w="624" w:type="dxa"/>
            <w:shd w:val="clear" w:color="auto" w:fill="auto"/>
            <w:noWrap/>
            <w:vAlign w:val="center"/>
          </w:tcPr>
          <w:p w14:paraId="62BB4C34"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284" w:type="dxa"/>
            <w:vAlign w:val="center"/>
          </w:tcPr>
          <w:p w14:paraId="46676359" w14:textId="77777777" w:rsidR="00133184" w:rsidRPr="0009028A" w:rsidRDefault="00133184" w:rsidP="00133184">
            <w:pPr>
              <w:spacing w:after="0" w:line="240" w:lineRule="auto"/>
              <w:jc w:val="center"/>
              <w:rPr>
                <w:rFonts w:ascii="Arial" w:hAnsi="Arial" w:cs="Arial"/>
                <w:sz w:val="18"/>
                <w:szCs w:val="18"/>
              </w:rPr>
            </w:pPr>
          </w:p>
        </w:tc>
        <w:tc>
          <w:tcPr>
            <w:tcW w:w="1587" w:type="dxa"/>
            <w:shd w:val="clear" w:color="auto" w:fill="auto"/>
            <w:noWrap/>
            <w:vAlign w:val="center"/>
          </w:tcPr>
          <w:p w14:paraId="075B1BDC"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w:t>
            </w:r>
          </w:p>
        </w:tc>
        <w:tc>
          <w:tcPr>
            <w:tcW w:w="283" w:type="dxa"/>
            <w:vAlign w:val="center"/>
          </w:tcPr>
          <w:p w14:paraId="48D2B219" w14:textId="77777777" w:rsidR="00133184" w:rsidRPr="0009028A" w:rsidRDefault="00133184" w:rsidP="00133184">
            <w:pPr>
              <w:spacing w:after="0" w:line="240" w:lineRule="auto"/>
              <w:jc w:val="right"/>
              <w:rPr>
                <w:rFonts w:ascii="Arial" w:hAnsi="Arial" w:cs="Arial"/>
                <w:sz w:val="18"/>
                <w:szCs w:val="18"/>
              </w:rPr>
            </w:pPr>
          </w:p>
        </w:tc>
        <w:tc>
          <w:tcPr>
            <w:tcW w:w="1587" w:type="dxa"/>
            <w:shd w:val="clear" w:color="auto" w:fill="auto"/>
            <w:noWrap/>
            <w:vAlign w:val="center"/>
          </w:tcPr>
          <w:p w14:paraId="4D48882F" w14:textId="3DB44BF4"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14.437.336</w:t>
            </w:r>
          </w:p>
        </w:tc>
      </w:tr>
      <w:tr w:rsidR="00133184" w:rsidRPr="0009028A" w14:paraId="13460F25" w14:textId="77777777" w:rsidTr="00E97933">
        <w:trPr>
          <w:trHeight w:val="227"/>
        </w:trPr>
        <w:tc>
          <w:tcPr>
            <w:tcW w:w="4962" w:type="dxa"/>
            <w:shd w:val="clear" w:color="auto" w:fill="auto"/>
            <w:noWrap/>
            <w:vAlign w:val="center"/>
          </w:tcPr>
          <w:p w14:paraId="18D010D8" w14:textId="77777777" w:rsidR="00133184" w:rsidRPr="0009028A" w:rsidRDefault="00133184" w:rsidP="00133184">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Pasivos por arrendamientos</w:t>
            </w:r>
          </w:p>
        </w:tc>
        <w:tc>
          <w:tcPr>
            <w:tcW w:w="624" w:type="dxa"/>
            <w:shd w:val="clear" w:color="auto" w:fill="auto"/>
            <w:noWrap/>
            <w:vAlign w:val="center"/>
          </w:tcPr>
          <w:p w14:paraId="0122F4FB" w14:textId="0CD91FBA" w:rsidR="00133184" w:rsidRPr="0009028A" w:rsidRDefault="00964E83" w:rsidP="00133184">
            <w:pPr>
              <w:spacing w:after="0" w:line="240" w:lineRule="auto"/>
              <w:jc w:val="center"/>
              <w:rPr>
                <w:rFonts w:ascii="Arial" w:eastAsia="Times New Roman" w:hAnsi="Arial" w:cs="Arial"/>
                <w:sz w:val="18"/>
                <w:szCs w:val="18"/>
                <w:highlight w:val="yellow"/>
                <w:lang w:eastAsia="es-CO"/>
              </w:rPr>
            </w:pPr>
            <w:r w:rsidRPr="00964E83">
              <w:rPr>
                <w:rFonts w:ascii="Arial" w:eastAsia="Times New Roman" w:hAnsi="Arial" w:cs="Arial"/>
                <w:sz w:val="18"/>
                <w:szCs w:val="18"/>
                <w:lang w:eastAsia="es-CO"/>
              </w:rPr>
              <w:t>1</w:t>
            </w:r>
            <w:r>
              <w:rPr>
                <w:rFonts w:ascii="Arial" w:eastAsia="Times New Roman" w:hAnsi="Arial" w:cs="Arial"/>
                <w:sz w:val="18"/>
                <w:szCs w:val="18"/>
                <w:lang w:eastAsia="es-CO"/>
              </w:rPr>
              <w:t>3</w:t>
            </w:r>
          </w:p>
        </w:tc>
        <w:tc>
          <w:tcPr>
            <w:tcW w:w="284" w:type="dxa"/>
            <w:vAlign w:val="center"/>
          </w:tcPr>
          <w:p w14:paraId="351CF1BD" w14:textId="77777777" w:rsidR="00133184" w:rsidRPr="0009028A" w:rsidRDefault="00133184" w:rsidP="00133184">
            <w:pPr>
              <w:spacing w:after="0" w:line="240" w:lineRule="auto"/>
              <w:jc w:val="center"/>
              <w:rPr>
                <w:rFonts w:ascii="Arial" w:hAnsi="Arial" w:cs="Arial"/>
                <w:sz w:val="18"/>
                <w:szCs w:val="18"/>
              </w:rPr>
            </w:pPr>
            <w:r w:rsidRPr="0009028A">
              <w:rPr>
                <w:rFonts w:ascii="Arial" w:hAnsi="Arial" w:cs="Arial"/>
                <w:sz w:val="18"/>
                <w:szCs w:val="18"/>
              </w:rPr>
              <w:t>$</w:t>
            </w:r>
          </w:p>
        </w:tc>
        <w:tc>
          <w:tcPr>
            <w:tcW w:w="1587" w:type="dxa"/>
            <w:shd w:val="clear" w:color="auto" w:fill="auto"/>
            <w:noWrap/>
            <w:vAlign w:val="center"/>
          </w:tcPr>
          <w:p w14:paraId="3272AE1D"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7.252.335</w:t>
            </w:r>
          </w:p>
        </w:tc>
        <w:tc>
          <w:tcPr>
            <w:tcW w:w="283" w:type="dxa"/>
            <w:vAlign w:val="center"/>
          </w:tcPr>
          <w:p w14:paraId="6DC1FEDF" w14:textId="77777777" w:rsidR="00133184" w:rsidRPr="0009028A" w:rsidRDefault="00133184" w:rsidP="00133184">
            <w:pPr>
              <w:spacing w:after="0" w:line="240" w:lineRule="auto"/>
              <w:jc w:val="right"/>
              <w:rPr>
                <w:rFonts w:ascii="Arial" w:hAnsi="Arial" w:cs="Arial"/>
                <w:sz w:val="18"/>
                <w:szCs w:val="18"/>
              </w:rPr>
            </w:pPr>
          </w:p>
        </w:tc>
        <w:tc>
          <w:tcPr>
            <w:tcW w:w="1587" w:type="dxa"/>
            <w:shd w:val="clear" w:color="auto" w:fill="auto"/>
            <w:noWrap/>
            <w:vAlign w:val="center"/>
          </w:tcPr>
          <w:p w14:paraId="748E5454" w14:textId="5607367B"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w:t>
            </w:r>
          </w:p>
        </w:tc>
      </w:tr>
      <w:tr w:rsidR="00133184" w:rsidRPr="0009028A" w14:paraId="67FD8D24" w14:textId="77777777" w:rsidTr="00E97933">
        <w:trPr>
          <w:trHeight w:val="227"/>
        </w:trPr>
        <w:tc>
          <w:tcPr>
            <w:tcW w:w="4962" w:type="dxa"/>
            <w:shd w:val="clear" w:color="auto" w:fill="auto"/>
            <w:noWrap/>
            <w:vAlign w:val="center"/>
          </w:tcPr>
          <w:p w14:paraId="01BFBA9D" w14:textId="5013BE03" w:rsidR="00133184" w:rsidRPr="0009028A" w:rsidRDefault="00133184" w:rsidP="00133184">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Pasivos por impuestos diferidos</w:t>
            </w:r>
          </w:p>
        </w:tc>
        <w:tc>
          <w:tcPr>
            <w:tcW w:w="624" w:type="dxa"/>
            <w:shd w:val="clear" w:color="auto" w:fill="auto"/>
            <w:noWrap/>
            <w:vAlign w:val="center"/>
          </w:tcPr>
          <w:p w14:paraId="3366C70B"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284" w:type="dxa"/>
            <w:vAlign w:val="center"/>
          </w:tcPr>
          <w:p w14:paraId="08EEB8B5" w14:textId="77777777" w:rsidR="00133184" w:rsidRPr="0009028A" w:rsidRDefault="00133184" w:rsidP="00133184">
            <w:pPr>
              <w:spacing w:after="0" w:line="240" w:lineRule="auto"/>
              <w:jc w:val="center"/>
              <w:rPr>
                <w:rFonts w:ascii="Arial" w:hAnsi="Arial" w:cs="Arial"/>
                <w:sz w:val="18"/>
                <w:szCs w:val="18"/>
              </w:rPr>
            </w:pPr>
          </w:p>
        </w:tc>
        <w:tc>
          <w:tcPr>
            <w:tcW w:w="1587" w:type="dxa"/>
            <w:shd w:val="clear" w:color="auto" w:fill="auto"/>
            <w:noWrap/>
            <w:vAlign w:val="center"/>
          </w:tcPr>
          <w:p w14:paraId="4930BBB7" w14:textId="563FC358" w:rsidR="00133184" w:rsidRPr="0009028A" w:rsidRDefault="0092132A" w:rsidP="00133184">
            <w:pPr>
              <w:spacing w:after="0" w:line="240" w:lineRule="auto"/>
              <w:jc w:val="right"/>
              <w:rPr>
                <w:rFonts w:ascii="Arial" w:hAnsi="Arial" w:cs="Arial"/>
                <w:sz w:val="18"/>
                <w:szCs w:val="18"/>
              </w:rPr>
            </w:pPr>
            <w:r w:rsidRPr="0092132A">
              <w:rPr>
                <w:rFonts w:ascii="Arial" w:hAnsi="Arial" w:cs="Arial"/>
                <w:sz w:val="18"/>
                <w:szCs w:val="18"/>
              </w:rPr>
              <w:t>51.371.183</w:t>
            </w:r>
          </w:p>
        </w:tc>
        <w:tc>
          <w:tcPr>
            <w:tcW w:w="283" w:type="dxa"/>
            <w:vAlign w:val="center"/>
          </w:tcPr>
          <w:p w14:paraId="45A1E8A0" w14:textId="77777777" w:rsidR="00133184" w:rsidRPr="0009028A" w:rsidRDefault="00133184" w:rsidP="00133184">
            <w:pPr>
              <w:spacing w:after="0" w:line="240" w:lineRule="auto"/>
              <w:jc w:val="right"/>
              <w:rPr>
                <w:rFonts w:ascii="Arial" w:hAnsi="Arial" w:cs="Arial"/>
                <w:sz w:val="18"/>
                <w:szCs w:val="18"/>
              </w:rPr>
            </w:pPr>
          </w:p>
        </w:tc>
        <w:tc>
          <w:tcPr>
            <w:tcW w:w="1587" w:type="dxa"/>
            <w:shd w:val="clear" w:color="auto" w:fill="auto"/>
            <w:noWrap/>
            <w:vAlign w:val="center"/>
          </w:tcPr>
          <w:p w14:paraId="6D9E2BA7" w14:textId="73C94FAE" w:rsidR="00133184" w:rsidRPr="0009028A" w:rsidRDefault="00F26CE9" w:rsidP="00133184">
            <w:pPr>
              <w:spacing w:after="0" w:line="240" w:lineRule="auto"/>
              <w:jc w:val="right"/>
              <w:rPr>
                <w:rFonts w:ascii="Arial" w:hAnsi="Arial" w:cs="Arial"/>
                <w:sz w:val="18"/>
                <w:szCs w:val="18"/>
              </w:rPr>
            </w:pPr>
            <w:r w:rsidRPr="00F26CE9">
              <w:rPr>
                <w:rFonts w:ascii="Arial" w:hAnsi="Arial" w:cs="Arial"/>
                <w:sz w:val="18"/>
                <w:szCs w:val="18"/>
                <w:highlight w:val="lightGray"/>
              </w:rPr>
              <w:t>39</w:t>
            </w:r>
            <w:r w:rsidR="00525587" w:rsidRPr="00F26CE9">
              <w:rPr>
                <w:rFonts w:ascii="Arial" w:hAnsi="Arial" w:cs="Arial"/>
                <w:sz w:val="18"/>
                <w:szCs w:val="18"/>
                <w:highlight w:val="lightGray"/>
              </w:rPr>
              <w:t>.</w:t>
            </w:r>
            <w:r w:rsidRPr="00F26CE9">
              <w:rPr>
                <w:rFonts w:ascii="Arial" w:hAnsi="Arial" w:cs="Arial"/>
                <w:sz w:val="18"/>
                <w:szCs w:val="18"/>
                <w:highlight w:val="lightGray"/>
              </w:rPr>
              <w:t>009</w:t>
            </w:r>
            <w:r w:rsidR="00525587" w:rsidRPr="00F26CE9">
              <w:rPr>
                <w:rFonts w:ascii="Arial" w:hAnsi="Arial" w:cs="Arial"/>
                <w:sz w:val="18"/>
                <w:szCs w:val="18"/>
                <w:highlight w:val="lightGray"/>
              </w:rPr>
              <w:t>.</w:t>
            </w:r>
            <w:r w:rsidRPr="00F26CE9">
              <w:rPr>
                <w:rFonts w:ascii="Arial" w:hAnsi="Arial" w:cs="Arial"/>
                <w:sz w:val="18"/>
                <w:szCs w:val="18"/>
                <w:highlight w:val="lightGray"/>
              </w:rPr>
              <w:t>342</w:t>
            </w:r>
          </w:p>
        </w:tc>
      </w:tr>
      <w:tr w:rsidR="00133184" w:rsidRPr="0009028A" w14:paraId="6ADEFAF5" w14:textId="77777777" w:rsidTr="00E97933">
        <w:trPr>
          <w:trHeight w:val="227"/>
        </w:trPr>
        <w:tc>
          <w:tcPr>
            <w:tcW w:w="4962" w:type="dxa"/>
            <w:shd w:val="clear" w:color="auto" w:fill="auto"/>
            <w:noWrap/>
            <w:vAlign w:val="center"/>
          </w:tcPr>
          <w:p w14:paraId="051C9871" w14:textId="77777777" w:rsidR="00133184" w:rsidRPr="0009028A" w:rsidRDefault="00133184" w:rsidP="00133184">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Títulos emitidos</w:t>
            </w:r>
          </w:p>
        </w:tc>
        <w:tc>
          <w:tcPr>
            <w:tcW w:w="624" w:type="dxa"/>
            <w:shd w:val="clear" w:color="auto" w:fill="auto"/>
            <w:noWrap/>
            <w:vAlign w:val="center"/>
          </w:tcPr>
          <w:p w14:paraId="3510CBEB"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284" w:type="dxa"/>
            <w:vAlign w:val="center"/>
          </w:tcPr>
          <w:p w14:paraId="606BB7EF" w14:textId="77777777" w:rsidR="00133184" w:rsidRPr="0009028A" w:rsidRDefault="00133184" w:rsidP="00133184">
            <w:pPr>
              <w:spacing w:after="0" w:line="240" w:lineRule="auto"/>
              <w:jc w:val="center"/>
              <w:rPr>
                <w:rFonts w:ascii="Arial" w:hAnsi="Arial" w:cs="Arial"/>
                <w:sz w:val="18"/>
                <w:szCs w:val="18"/>
              </w:rPr>
            </w:pPr>
          </w:p>
        </w:tc>
        <w:tc>
          <w:tcPr>
            <w:tcW w:w="1587" w:type="dxa"/>
            <w:shd w:val="clear" w:color="auto" w:fill="auto"/>
            <w:noWrap/>
            <w:vAlign w:val="center"/>
          </w:tcPr>
          <w:p w14:paraId="1F7C2331" w14:textId="6A8B9DEF" w:rsidR="00133184" w:rsidRPr="0009028A" w:rsidRDefault="0095255B" w:rsidP="00133184">
            <w:pPr>
              <w:spacing w:after="0" w:line="240" w:lineRule="auto"/>
              <w:jc w:val="right"/>
              <w:rPr>
                <w:rFonts w:ascii="Arial" w:hAnsi="Arial" w:cs="Arial"/>
                <w:sz w:val="18"/>
                <w:szCs w:val="18"/>
                <w:u w:val="single"/>
              </w:rPr>
            </w:pPr>
            <w:r>
              <w:rPr>
                <w:rFonts w:ascii="Arial" w:hAnsi="Arial" w:cs="Arial"/>
                <w:sz w:val="18"/>
                <w:szCs w:val="18"/>
                <w:u w:val="single"/>
              </w:rPr>
              <w:t xml:space="preserve">   </w:t>
            </w:r>
            <w:r w:rsidR="00133184" w:rsidRPr="0009028A">
              <w:rPr>
                <w:rFonts w:ascii="Arial" w:hAnsi="Arial" w:cs="Arial"/>
                <w:sz w:val="18"/>
                <w:szCs w:val="18"/>
                <w:u w:val="single"/>
              </w:rPr>
              <w:t>395.853.960</w:t>
            </w:r>
          </w:p>
        </w:tc>
        <w:tc>
          <w:tcPr>
            <w:tcW w:w="283" w:type="dxa"/>
            <w:vAlign w:val="center"/>
          </w:tcPr>
          <w:p w14:paraId="3B9940E9" w14:textId="77777777" w:rsidR="00133184" w:rsidRPr="0009028A" w:rsidRDefault="00133184" w:rsidP="00133184">
            <w:pPr>
              <w:spacing w:after="0" w:line="240" w:lineRule="auto"/>
              <w:jc w:val="right"/>
              <w:rPr>
                <w:rFonts w:ascii="Arial" w:hAnsi="Arial" w:cs="Arial"/>
                <w:sz w:val="18"/>
                <w:szCs w:val="18"/>
                <w:u w:val="single"/>
              </w:rPr>
            </w:pPr>
          </w:p>
        </w:tc>
        <w:tc>
          <w:tcPr>
            <w:tcW w:w="1587" w:type="dxa"/>
            <w:shd w:val="clear" w:color="auto" w:fill="auto"/>
            <w:noWrap/>
            <w:vAlign w:val="center"/>
          </w:tcPr>
          <w:p w14:paraId="785EE0B2" w14:textId="0936D8D5" w:rsidR="00133184" w:rsidRPr="0009028A" w:rsidRDefault="0095255B" w:rsidP="00133184">
            <w:pPr>
              <w:spacing w:after="0" w:line="240" w:lineRule="auto"/>
              <w:jc w:val="right"/>
              <w:rPr>
                <w:rFonts w:ascii="Arial" w:hAnsi="Arial" w:cs="Arial"/>
                <w:sz w:val="18"/>
                <w:szCs w:val="18"/>
                <w:u w:val="single"/>
              </w:rPr>
            </w:pPr>
            <w:r>
              <w:rPr>
                <w:rFonts w:ascii="Arial" w:hAnsi="Arial" w:cs="Arial"/>
                <w:sz w:val="18"/>
                <w:szCs w:val="18"/>
                <w:u w:val="single"/>
              </w:rPr>
              <w:t xml:space="preserve">   </w:t>
            </w:r>
            <w:r w:rsidR="00133184" w:rsidRPr="0009028A">
              <w:rPr>
                <w:rFonts w:ascii="Arial" w:hAnsi="Arial" w:cs="Arial"/>
                <w:sz w:val="18"/>
                <w:szCs w:val="18"/>
                <w:u w:val="single"/>
              </w:rPr>
              <w:t>395.314.787</w:t>
            </w:r>
          </w:p>
        </w:tc>
      </w:tr>
      <w:tr w:rsidR="00133184" w:rsidRPr="0009028A" w14:paraId="0BA71C62" w14:textId="77777777" w:rsidTr="00E97933">
        <w:trPr>
          <w:trHeight w:val="227"/>
        </w:trPr>
        <w:tc>
          <w:tcPr>
            <w:tcW w:w="4962" w:type="dxa"/>
            <w:shd w:val="clear" w:color="auto" w:fill="auto"/>
            <w:noWrap/>
            <w:vAlign w:val="center"/>
            <w:hideMark/>
          </w:tcPr>
          <w:p w14:paraId="074E713C" w14:textId="77777777" w:rsidR="00133184" w:rsidRPr="0009028A" w:rsidRDefault="00133184" w:rsidP="00133184">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Total pasivos no corrientes</w:t>
            </w:r>
          </w:p>
        </w:tc>
        <w:tc>
          <w:tcPr>
            <w:tcW w:w="624" w:type="dxa"/>
            <w:shd w:val="clear" w:color="auto" w:fill="auto"/>
            <w:noWrap/>
            <w:vAlign w:val="center"/>
          </w:tcPr>
          <w:p w14:paraId="675AB162"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284" w:type="dxa"/>
            <w:vAlign w:val="center"/>
          </w:tcPr>
          <w:p w14:paraId="1D53EB59" w14:textId="77777777" w:rsidR="00133184" w:rsidRPr="0009028A" w:rsidRDefault="00133184" w:rsidP="00133184">
            <w:pPr>
              <w:spacing w:after="0" w:line="240" w:lineRule="auto"/>
              <w:jc w:val="center"/>
              <w:rPr>
                <w:rFonts w:ascii="Arial" w:hAnsi="Arial" w:cs="Arial"/>
                <w:bCs/>
                <w:sz w:val="18"/>
                <w:szCs w:val="18"/>
              </w:rPr>
            </w:pPr>
            <w:r w:rsidRPr="0009028A">
              <w:rPr>
                <w:rFonts w:ascii="Arial" w:hAnsi="Arial" w:cs="Arial"/>
                <w:bCs/>
                <w:sz w:val="18"/>
                <w:szCs w:val="18"/>
              </w:rPr>
              <w:t>$</w:t>
            </w:r>
          </w:p>
        </w:tc>
        <w:tc>
          <w:tcPr>
            <w:tcW w:w="1587" w:type="dxa"/>
            <w:shd w:val="clear" w:color="auto" w:fill="auto"/>
            <w:noWrap/>
            <w:vAlign w:val="center"/>
          </w:tcPr>
          <w:p w14:paraId="37787AA4" w14:textId="54EC9FA9" w:rsidR="00133184" w:rsidRPr="0009028A" w:rsidRDefault="007261D9" w:rsidP="00133184">
            <w:pPr>
              <w:spacing w:after="0" w:line="240" w:lineRule="auto"/>
              <w:jc w:val="right"/>
              <w:rPr>
                <w:rFonts w:ascii="Arial" w:hAnsi="Arial" w:cs="Arial"/>
                <w:b/>
                <w:bCs/>
                <w:sz w:val="18"/>
                <w:szCs w:val="18"/>
                <w:u w:val="double"/>
              </w:rPr>
            </w:pPr>
            <w:r w:rsidRPr="007261D9">
              <w:rPr>
                <w:rFonts w:ascii="Arial" w:hAnsi="Arial" w:cs="Arial"/>
                <w:b/>
                <w:bCs/>
                <w:sz w:val="18"/>
                <w:szCs w:val="18"/>
                <w:u w:val="double"/>
              </w:rPr>
              <w:t>454.477.478</w:t>
            </w:r>
          </w:p>
        </w:tc>
        <w:tc>
          <w:tcPr>
            <w:tcW w:w="283" w:type="dxa"/>
            <w:vAlign w:val="center"/>
          </w:tcPr>
          <w:p w14:paraId="42A914C5" w14:textId="77777777" w:rsidR="00133184" w:rsidRPr="0009028A" w:rsidRDefault="00133184" w:rsidP="00133184">
            <w:pPr>
              <w:spacing w:after="0" w:line="240" w:lineRule="auto"/>
              <w:jc w:val="right"/>
              <w:rPr>
                <w:rFonts w:ascii="Arial" w:hAnsi="Arial" w:cs="Arial"/>
                <w:b/>
                <w:bCs/>
                <w:sz w:val="18"/>
                <w:szCs w:val="18"/>
                <w:u w:val="double"/>
              </w:rPr>
            </w:pPr>
          </w:p>
        </w:tc>
        <w:tc>
          <w:tcPr>
            <w:tcW w:w="1587" w:type="dxa"/>
            <w:shd w:val="clear" w:color="auto" w:fill="auto"/>
            <w:noWrap/>
            <w:vAlign w:val="center"/>
            <w:hideMark/>
          </w:tcPr>
          <w:p w14:paraId="2405C018" w14:textId="6E50C498" w:rsidR="00133184" w:rsidRPr="0009028A" w:rsidRDefault="007261D9" w:rsidP="00133184">
            <w:pPr>
              <w:spacing w:after="0" w:line="240" w:lineRule="auto"/>
              <w:jc w:val="right"/>
              <w:rPr>
                <w:rFonts w:ascii="Arial" w:hAnsi="Arial" w:cs="Arial"/>
                <w:b/>
                <w:bCs/>
                <w:sz w:val="18"/>
                <w:szCs w:val="18"/>
                <w:u w:val="double"/>
              </w:rPr>
            </w:pPr>
            <w:r w:rsidRPr="007261D9">
              <w:rPr>
                <w:rFonts w:ascii="Arial" w:hAnsi="Arial" w:cs="Arial"/>
                <w:b/>
                <w:bCs/>
                <w:sz w:val="18"/>
                <w:szCs w:val="18"/>
                <w:u w:val="double"/>
              </w:rPr>
              <w:t>448.761.465</w:t>
            </w:r>
          </w:p>
        </w:tc>
      </w:tr>
      <w:tr w:rsidR="00133184" w:rsidRPr="0009028A" w14:paraId="1087FA7F" w14:textId="77777777" w:rsidTr="00E97933">
        <w:trPr>
          <w:trHeight w:val="227"/>
        </w:trPr>
        <w:tc>
          <w:tcPr>
            <w:tcW w:w="4962" w:type="dxa"/>
            <w:shd w:val="clear" w:color="auto" w:fill="auto"/>
            <w:noWrap/>
            <w:vAlign w:val="center"/>
            <w:hideMark/>
          </w:tcPr>
          <w:p w14:paraId="24F88FE7" w14:textId="77777777" w:rsidR="00133184" w:rsidRPr="0009028A" w:rsidRDefault="00133184" w:rsidP="00133184">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 </w:t>
            </w:r>
          </w:p>
        </w:tc>
        <w:tc>
          <w:tcPr>
            <w:tcW w:w="624" w:type="dxa"/>
            <w:shd w:val="clear" w:color="auto" w:fill="auto"/>
            <w:noWrap/>
            <w:vAlign w:val="center"/>
          </w:tcPr>
          <w:p w14:paraId="6EB56283"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284" w:type="dxa"/>
            <w:vAlign w:val="center"/>
          </w:tcPr>
          <w:p w14:paraId="3F913460" w14:textId="77777777" w:rsidR="00133184" w:rsidRPr="0009028A" w:rsidRDefault="00133184" w:rsidP="00133184">
            <w:pPr>
              <w:spacing w:after="0" w:line="240" w:lineRule="auto"/>
              <w:jc w:val="center"/>
              <w:rPr>
                <w:rFonts w:ascii="Arial" w:eastAsia="Times New Roman" w:hAnsi="Arial" w:cs="Arial"/>
                <w:sz w:val="18"/>
                <w:szCs w:val="18"/>
                <w:lang w:eastAsia="es-CO"/>
              </w:rPr>
            </w:pPr>
          </w:p>
        </w:tc>
        <w:tc>
          <w:tcPr>
            <w:tcW w:w="1587" w:type="dxa"/>
            <w:shd w:val="clear" w:color="auto" w:fill="auto"/>
            <w:noWrap/>
            <w:vAlign w:val="center"/>
          </w:tcPr>
          <w:p w14:paraId="40931939" w14:textId="77777777" w:rsidR="00133184" w:rsidRPr="0009028A" w:rsidRDefault="00133184" w:rsidP="00133184">
            <w:pPr>
              <w:spacing w:after="0" w:line="240" w:lineRule="auto"/>
              <w:jc w:val="right"/>
              <w:rPr>
                <w:rFonts w:ascii="Arial" w:eastAsia="Times New Roman" w:hAnsi="Arial" w:cs="Arial"/>
                <w:sz w:val="18"/>
                <w:szCs w:val="18"/>
                <w:u w:val="double"/>
                <w:lang w:eastAsia="es-CO"/>
              </w:rPr>
            </w:pPr>
          </w:p>
        </w:tc>
        <w:tc>
          <w:tcPr>
            <w:tcW w:w="283" w:type="dxa"/>
            <w:vAlign w:val="center"/>
          </w:tcPr>
          <w:p w14:paraId="5A64A6D0" w14:textId="77777777" w:rsidR="00133184" w:rsidRPr="0009028A" w:rsidRDefault="00133184" w:rsidP="00133184">
            <w:pPr>
              <w:spacing w:after="0" w:line="240" w:lineRule="auto"/>
              <w:jc w:val="right"/>
              <w:rPr>
                <w:rFonts w:ascii="Arial" w:eastAsia="Times New Roman" w:hAnsi="Arial" w:cs="Arial"/>
                <w:sz w:val="18"/>
                <w:szCs w:val="18"/>
                <w:u w:val="double"/>
                <w:lang w:eastAsia="es-CO"/>
              </w:rPr>
            </w:pPr>
          </w:p>
        </w:tc>
        <w:tc>
          <w:tcPr>
            <w:tcW w:w="1587" w:type="dxa"/>
            <w:shd w:val="clear" w:color="auto" w:fill="auto"/>
            <w:noWrap/>
            <w:vAlign w:val="center"/>
            <w:hideMark/>
          </w:tcPr>
          <w:p w14:paraId="663B6B15" w14:textId="555674C6" w:rsidR="00133184" w:rsidRPr="0009028A" w:rsidRDefault="00133184" w:rsidP="00133184">
            <w:pPr>
              <w:spacing w:after="0" w:line="240" w:lineRule="auto"/>
              <w:jc w:val="right"/>
              <w:rPr>
                <w:rFonts w:ascii="Arial" w:eastAsia="Times New Roman" w:hAnsi="Arial" w:cs="Arial"/>
                <w:sz w:val="18"/>
                <w:szCs w:val="18"/>
                <w:u w:val="double"/>
                <w:lang w:eastAsia="es-CO"/>
              </w:rPr>
            </w:pPr>
          </w:p>
        </w:tc>
      </w:tr>
      <w:tr w:rsidR="00133184" w:rsidRPr="0009028A" w14:paraId="3281FBBB" w14:textId="77777777" w:rsidTr="00E97933">
        <w:trPr>
          <w:trHeight w:val="227"/>
        </w:trPr>
        <w:tc>
          <w:tcPr>
            <w:tcW w:w="4962" w:type="dxa"/>
            <w:shd w:val="clear" w:color="auto" w:fill="auto"/>
            <w:noWrap/>
            <w:vAlign w:val="center"/>
            <w:hideMark/>
          </w:tcPr>
          <w:p w14:paraId="4BA182E6" w14:textId="77777777" w:rsidR="00133184" w:rsidRPr="0009028A" w:rsidRDefault="00133184" w:rsidP="00133184">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Total pasivos</w:t>
            </w:r>
          </w:p>
        </w:tc>
        <w:tc>
          <w:tcPr>
            <w:tcW w:w="624" w:type="dxa"/>
            <w:shd w:val="clear" w:color="auto" w:fill="auto"/>
            <w:noWrap/>
            <w:vAlign w:val="center"/>
          </w:tcPr>
          <w:p w14:paraId="0E278434"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284" w:type="dxa"/>
            <w:vAlign w:val="center"/>
          </w:tcPr>
          <w:p w14:paraId="1D077FC8" w14:textId="77777777" w:rsidR="00133184" w:rsidRPr="0009028A" w:rsidRDefault="00133184" w:rsidP="00133184">
            <w:pPr>
              <w:spacing w:after="0" w:line="240" w:lineRule="auto"/>
              <w:jc w:val="center"/>
              <w:rPr>
                <w:rFonts w:ascii="Arial" w:hAnsi="Arial" w:cs="Arial"/>
                <w:bCs/>
                <w:sz w:val="18"/>
                <w:szCs w:val="18"/>
              </w:rPr>
            </w:pPr>
            <w:r w:rsidRPr="0009028A">
              <w:rPr>
                <w:rFonts w:ascii="Arial" w:hAnsi="Arial" w:cs="Arial"/>
                <w:bCs/>
                <w:sz w:val="18"/>
                <w:szCs w:val="18"/>
              </w:rPr>
              <w:t>$</w:t>
            </w:r>
          </w:p>
        </w:tc>
        <w:tc>
          <w:tcPr>
            <w:tcW w:w="1587" w:type="dxa"/>
            <w:shd w:val="clear" w:color="auto" w:fill="auto"/>
            <w:noWrap/>
            <w:vAlign w:val="center"/>
          </w:tcPr>
          <w:p w14:paraId="43BDDAAC" w14:textId="22E161A2" w:rsidR="00133184" w:rsidRPr="0009028A" w:rsidRDefault="007261D9" w:rsidP="00133184">
            <w:pPr>
              <w:spacing w:after="0" w:line="240" w:lineRule="auto"/>
              <w:jc w:val="right"/>
              <w:rPr>
                <w:rFonts w:ascii="Arial" w:hAnsi="Arial" w:cs="Arial"/>
                <w:b/>
                <w:bCs/>
                <w:sz w:val="18"/>
                <w:szCs w:val="18"/>
                <w:u w:val="double"/>
              </w:rPr>
            </w:pPr>
            <w:r w:rsidRPr="007261D9">
              <w:rPr>
                <w:rFonts w:ascii="Arial" w:hAnsi="Arial" w:cs="Arial"/>
                <w:b/>
                <w:bCs/>
                <w:sz w:val="18"/>
                <w:szCs w:val="18"/>
                <w:u w:val="double"/>
              </w:rPr>
              <w:t>848.121.888</w:t>
            </w:r>
          </w:p>
        </w:tc>
        <w:tc>
          <w:tcPr>
            <w:tcW w:w="283" w:type="dxa"/>
            <w:vAlign w:val="center"/>
          </w:tcPr>
          <w:p w14:paraId="25975AA4" w14:textId="77777777" w:rsidR="00133184" w:rsidRPr="0009028A" w:rsidRDefault="00133184" w:rsidP="00133184">
            <w:pPr>
              <w:spacing w:after="0" w:line="240" w:lineRule="auto"/>
              <w:jc w:val="right"/>
              <w:rPr>
                <w:rFonts w:ascii="Arial" w:hAnsi="Arial" w:cs="Arial"/>
                <w:b/>
                <w:bCs/>
                <w:sz w:val="18"/>
                <w:szCs w:val="18"/>
                <w:u w:val="double"/>
              </w:rPr>
            </w:pPr>
          </w:p>
        </w:tc>
        <w:tc>
          <w:tcPr>
            <w:tcW w:w="1587" w:type="dxa"/>
            <w:shd w:val="clear" w:color="auto" w:fill="auto"/>
            <w:noWrap/>
            <w:vAlign w:val="center"/>
            <w:hideMark/>
          </w:tcPr>
          <w:p w14:paraId="657AC91B" w14:textId="3C4CEFD2" w:rsidR="00133184" w:rsidRPr="0009028A" w:rsidRDefault="007261D9" w:rsidP="00133184">
            <w:pPr>
              <w:spacing w:after="0" w:line="240" w:lineRule="auto"/>
              <w:jc w:val="right"/>
              <w:rPr>
                <w:rFonts w:ascii="Arial" w:hAnsi="Arial" w:cs="Arial"/>
                <w:b/>
                <w:bCs/>
                <w:sz w:val="18"/>
                <w:szCs w:val="18"/>
                <w:u w:val="double"/>
              </w:rPr>
            </w:pPr>
            <w:r w:rsidRPr="007261D9">
              <w:rPr>
                <w:rFonts w:ascii="Arial" w:hAnsi="Arial" w:cs="Arial"/>
                <w:b/>
                <w:bCs/>
                <w:sz w:val="18"/>
                <w:szCs w:val="18"/>
                <w:u w:val="double"/>
              </w:rPr>
              <w:t>773.982.805</w:t>
            </w:r>
          </w:p>
        </w:tc>
      </w:tr>
      <w:tr w:rsidR="00133184" w:rsidRPr="0009028A" w14:paraId="77E5D58A" w14:textId="77777777" w:rsidTr="00E97933">
        <w:trPr>
          <w:trHeight w:val="227"/>
        </w:trPr>
        <w:tc>
          <w:tcPr>
            <w:tcW w:w="4962" w:type="dxa"/>
            <w:shd w:val="clear" w:color="auto" w:fill="auto"/>
            <w:noWrap/>
            <w:vAlign w:val="center"/>
            <w:hideMark/>
          </w:tcPr>
          <w:p w14:paraId="3FA3167E" w14:textId="77777777" w:rsidR="00133184" w:rsidRPr="0009028A" w:rsidRDefault="00133184" w:rsidP="00133184">
            <w:pPr>
              <w:spacing w:after="0" w:line="240" w:lineRule="auto"/>
              <w:rPr>
                <w:rFonts w:ascii="Arial" w:eastAsia="Times New Roman" w:hAnsi="Arial" w:cs="Arial"/>
                <w:b/>
                <w:bCs/>
                <w:sz w:val="18"/>
                <w:szCs w:val="18"/>
                <w:lang w:eastAsia="es-CO"/>
              </w:rPr>
            </w:pPr>
          </w:p>
        </w:tc>
        <w:tc>
          <w:tcPr>
            <w:tcW w:w="624" w:type="dxa"/>
            <w:shd w:val="clear" w:color="auto" w:fill="auto"/>
            <w:noWrap/>
            <w:vAlign w:val="center"/>
          </w:tcPr>
          <w:p w14:paraId="6EA2A647"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284" w:type="dxa"/>
            <w:vAlign w:val="center"/>
          </w:tcPr>
          <w:p w14:paraId="70D1EF12"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1587" w:type="dxa"/>
            <w:shd w:val="clear" w:color="auto" w:fill="auto"/>
            <w:noWrap/>
            <w:vAlign w:val="center"/>
          </w:tcPr>
          <w:p w14:paraId="40CD7A5A" w14:textId="77777777" w:rsidR="00133184" w:rsidRPr="0009028A" w:rsidRDefault="00133184" w:rsidP="00133184">
            <w:pPr>
              <w:spacing w:after="0" w:line="240" w:lineRule="auto"/>
              <w:jc w:val="right"/>
              <w:rPr>
                <w:rFonts w:ascii="Arial" w:eastAsia="Times New Roman" w:hAnsi="Arial" w:cs="Arial"/>
                <w:sz w:val="18"/>
                <w:szCs w:val="18"/>
                <w:highlight w:val="yellow"/>
                <w:lang w:eastAsia="es-CO"/>
              </w:rPr>
            </w:pPr>
          </w:p>
        </w:tc>
        <w:tc>
          <w:tcPr>
            <w:tcW w:w="283" w:type="dxa"/>
            <w:vAlign w:val="center"/>
          </w:tcPr>
          <w:p w14:paraId="6C1CE9B2" w14:textId="77777777" w:rsidR="00133184" w:rsidRPr="0009028A" w:rsidRDefault="00133184" w:rsidP="00133184">
            <w:pPr>
              <w:spacing w:after="0" w:line="240" w:lineRule="auto"/>
              <w:jc w:val="right"/>
              <w:rPr>
                <w:rFonts w:ascii="Arial" w:eastAsia="Times New Roman" w:hAnsi="Arial" w:cs="Arial"/>
                <w:sz w:val="18"/>
                <w:szCs w:val="18"/>
                <w:lang w:eastAsia="es-CO"/>
              </w:rPr>
            </w:pPr>
          </w:p>
        </w:tc>
        <w:tc>
          <w:tcPr>
            <w:tcW w:w="1587" w:type="dxa"/>
            <w:shd w:val="clear" w:color="auto" w:fill="auto"/>
            <w:noWrap/>
            <w:vAlign w:val="center"/>
            <w:hideMark/>
          </w:tcPr>
          <w:p w14:paraId="25DBAF6E" w14:textId="3A7D1860" w:rsidR="00133184" w:rsidRPr="0009028A" w:rsidRDefault="00133184" w:rsidP="00133184">
            <w:pPr>
              <w:spacing w:after="0" w:line="240" w:lineRule="auto"/>
              <w:jc w:val="right"/>
              <w:rPr>
                <w:rFonts w:ascii="Arial" w:eastAsia="Times New Roman" w:hAnsi="Arial" w:cs="Arial"/>
                <w:sz w:val="18"/>
                <w:szCs w:val="18"/>
                <w:lang w:eastAsia="es-CO"/>
              </w:rPr>
            </w:pPr>
          </w:p>
        </w:tc>
      </w:tr>
      <w:tr w:rsidR="00133184" w:rsidRPr="0009028A" w14:paraId="73BD23CF" w14:textId="77777777" w:rsidTr="00E97933">
        <w:trPr>
          <w:trHeight w:val="227"/>
        </w:trPr>
        <w:tc>
          <w:tcPr>
            <w:tcW w:w="4962" w:type="dxa"/>
            <w:shd w:val="clear" w:color="auto" w:fill="auto"/>
            <w:noWrap/>
            <w:vAlign w:val="center"/>
            <w:hideMark/>
          </w:tcPr>
          <w:p w14:paraId="473E1362" w14:textId="77777777" w:rsidR="00133184" w:rsidRPr="0009028A" w:rsidRDefault="00133184" w:rsidP="00133184">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Patrimonio</w:t>
            </w:r>
          </w:p>
        </w:tc>
        <w:tc>
          <w:tcPr>
            <w:tcW w:w="624" w:type="dxa"/>
            <w:shd w:val="clear" w:color="auto" w:fill="auto"/>
            <w:noWrap/>
            <w:vAlign w:val="center"/>
          </w:tcPr>
          <w:p w14:paraId="337A6102" w14:textId="77777777" w:rsidR="00133184" w:rsidRPr="0009028A" w:rsidRDefault="00133184" w:rsidP="00133184">
            <w:pPr>
              <w:spacing w:after="0" w:line="240" w:lineRule="auto"/>
              <w:jc w:val="center"/>
              <w:rPr>
                <w:rFonts w:ascii="Arial" w:eastAsia="Times New Roman" w:hAnsi="Arial" w:cs="Arial"/>
                <w:b/>
                <w:bCs/>
                <w:sz w:val="18"/>
                <w:szCs w:val="18"/>
                <w:highlight w:val="yellow"/>
                <w:lang w:eastAsia="es-CO"/>
              </w:rPr>
            </w:pPr>
          </w:p>
        </w:tc>
        <w:tc>
          <w:tcPr>
            <w:tcW w:w="284" w:type="dxa"/>
            <w:vAlign w:val="center"/>
          </w:tcPr>
          <w:p w14:paraId="78E84B5C"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1587" w:type="dxa"/>
            <w:shd w:val="clear" w:color="auto" w:fill="auto"/>
            <w:noWrap/>
            <w:vAlign w:val="center"/>
          </w:tcPr>
          <w:p w14:paraId="02A00D20" w14:textId="77777777" w:rsidR="00133184" w:rsidRPr="0009028A" w:rsidRDefault="00133184" w:rsidP="00133184">
            <w:pPr>
              <w:spacing w:after="0" w:line="240" w:lineRule="auto"/>
              <w:jc w:val="right"/>
              <w:rPr>
                <w:rFonts w:ascii="Arial" w:eastAsia="Times New Roman" w:hAnsi="Arial" w:cs="Arial"/>
                <w:sz w:val="18"/>
                <w:szCs w:val="18"/>
                <w:highlight w:val="yellow"/>
                <w:lang w:eastAsia="es-CO"/>
              </w:rPr>
            </w:pPr>
          </w:p>
        </w:tc>
        <w:tc>
          <w:tcPr>
            <w:tcW w:w="283" w:type="dxa"/>
            <w:vAlign w:val="center"/>
          </w:tcPr>
          <w:p w14:paraId="6E55FDB4" w14:textId="77777777" w:rsidR="00133184" w:rsidRPr="0009028A" w:rsidRDefault="00133184" w:rsidP="00133184">
            <w:pPr>
              <w:spacing w:after="0" w:line="240" w:lineRule="auto"/>
              <w:jc w:val="right"/>
              <w:rPr>
                <w:rFonts w:ascii="Arial" w:eastAsia="Times New Roman" w:hAnsi="Arial" w:cs="Arial"/>
                <w:sz w:val="18"/>
                <w:szCs w:val="18"/>
                <w:lang w:eastAsia="es-CO"/>
              </w:rPr>
            </w:pPr>
          </w:p>
        </w:tc>
        <w:tc>
          <w:tcPr>
            <w:tcW w:w="1587" w:type="dxa"/>
            <w:shd w:val="clear" w:color="auto" w:fill="auto"/>
            <w:noWrap/>
            <w:vAlign w:val="center"/>
            <w:hideMark/>
          </w:tcPr>
          <w:p w14:paraId="51242C1D" w14:textId="2C3E552A" w:rsidR="00133184" w:rsidRPr="0009028A" w:rsidRDefault="00133184" w:rsidP="00133184">
            <w:pPr>
              <w:spacing w:after="0" w:line="240" w:lineRule="auto"/>
              <w:jc w:val="right"/>
              <w:rPr>
                <w:rFonts w:ascii="Arial" w:eastAsia="Times New Roman" w:hAnsi="Arial" w:cs="Arial"/>
                <w:sz w:val="18"/>
                <w:szCs w:val="18"/>
                <w:lang w:eastAsia="es-CO"/>
              </w:rPr>
            </w:pPr>
          </w:p>
        </w:tc>
      </w:tr>
      <w:tr w:rsidR="00133184" w:rsidRPr="0009028A" w14:paraId="4F0EF61E" w14:textId="77777777" w:rsidTr="00E97933">
        <w:trPr>
          <w:trHeight w:val="227"/>
        </w:trPr>
        <w:tc>
          <w:tcPr>
            <w:tcW w:w="4962" w:type="dxa"/>
            <w:shd w:val="clear" w:color="auto" w:fill="auto"/>
            <w:noWrap/>
            <w:vAlign w:val="center"/>
            <w:hideMark/>
          </w:tcPr>
          <w:p w14:paraId="3A13B3C9" w14:textId="77777777" w:rsidR="00133184" w:rsidRPr="0009028A" w:rsidRDefault="00133184" w:rsidP="00133184">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Capital social</w:t>
            </w:r>
          </w:p>
        </w:tc>
        <w:tc>
          <w:tcPr>
            <w:tcW w:w="624" w:type="dxa"/>
            <w:shd w:val="clear" w:color="auto" w:fill="auto"/>
            <w:noWrap/>
            <w:vAlign w:val="center"/>
          </w:tcPr>
          <w:p w14:paraId="20E4FBF7" w14:textId="63FA6CA6" w:rsidR="00133184" w:rsidRPr="0009028A" w:rsidRDefault="00F75D67" w:rsidP="00133184">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1</w:t>
            </w:r>
            <w:r w:rsidR="00964E83">
              <w:rPr>
                <w:rFonts w:ascii="Arial" w:eastAsia="Times New Roman" w:hAnsi="Arial" w:cs="Arial"/>
                <w:sz w:val="18"/>
                <w:szCs w:val="18"/>
                <w:lang w:eastAsia="es-CO"/>
              </w:rPr>
              <w:t>5</w:t>
            </w:r>
          </w:p>
        </w:tc>
        <w:tc>
          <w:tcPr>
            <w:tcW w:w="284" w:type="dxa"/>
            <w:vAlign w:val="center"/>
          </w:tcPr>
          <w:p w14:paraId="0BA2F352" w14:textId="77777777" w:rsidR="00133184" w:rsidRPr="0009028A" w:rsidRDefault="00133184" w:rsidP="00133184">
            <w:pPr>
              <w:spacing w:after="0" w:line="240" w:lineRule="auto"/>
              <w:jc w:val="center"/>
              <w:rPr>
                <w:rFonts w:ascii="Arial" w:hAnsi="Arial" w:cs="Arial"/>
                <w:sz w:val="18"/>
                <w:szCs w:val="18"/>
              </w:rPr>
            </w:pPr>
            <w:r w:rsidRPr="0009028A">
              <w:rPr>
                <w:rFonts w:ascii="Arial" w:hAnsi="Arial" w:cs="Arial"/>
                <w:sz w:val="18"/>
                <w:szCs w:val="18"/>
              </w:rPr>
              <w:t>$</w:t>
            </w:r>
          </w:p>
        </w:tc>
        <w:tc>
          <w:tcPr>
            <w:tcW w:w="1587" w:type="dxa"/>
            <w:shd w:val="clear" w:color="auto" w:fill="auto"/>
            <w:noWrap/>
            <w:vAlign w:val="center"/>
          </w:tcPr>
          <w:p w14:paraId="055D5A4C"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19.604.682</w:t>
            </w:r>
          </w:p>
        </w:tc>
        <w:tc>
          <w:tcPr>
            <w:tcW w:w="283" w:type="dxa"/>
            <w:vAlign w:val="center"/>
          </w:tcPr>
          <w:p w14:paraId="44B877E6" w14:textId="77777777" w:rsidR="00133184" w:rsidRPr="0009028A" w:rsidRDefault="00133184" w:rsidP="00133184">
            <w:pPr>
              <w:spacing w:after="0" w:line="240" w:lineRule="auto"/>
              <w:jc w:val="right"/>
              <w:rPr>
                <w:rFonts w:ascii="Arial" w:hAnsi="Arial" w:cs="Arial"/>
                <w:sz w:val="18"/>
                <w:szCs w:val="18"/>
              </w:rPr>
            </w:pPr>
          </w:p>
        </w:tc>
        <w:tc>
          <w:tcPr>
            <w:tcW w:w="1587" w:type="dxa"/>
            <w:shd w:val="clear" w:color="auto" w:fill="auto"/>
            <w:noWrap/>
            <w:vAlign w:val="center"/>
          </w:tcPr>
          <w:p w14:paraId="695DD05A" w14:textId="73F2CD3C"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19.604.682</w:t>
            </w:r>
          </w:p>
        </w:tc>
      </w:tr>
      <w:tr w:rsidR="00133184" w:rsidRPr="0009028A" w14:paraId="719FFBE6" w14:textId="77777777" w:rsidTr="00E97933">
        <w:trPr>
          <w:trHeight w:val="70"/>
        </w:trPr>
        <w:tc>
          <w:tcPr>
            <w:tcW w:w="4962" w:type="dxa"/>
            <w:shd w:val="clear" w:color="auto" w:fill="auto"/>
            <w:noWrap/>
            <w:vAlign w:val="center"/>
            <w:hideMark/>
          </w:tcPr>
          <w:p w14:paraId="0C04CC8C" w14:textId="77777777" w:rsidR="00133184" w:rsidRPr="0009028A" w:rsidRDefault="00133184" w:rsidP="00133184">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Prima en colocación de acciones</w:t>
            </w:r>
          </w:p>
        </w:tc>
        <w:tc>
          <w:tcPr>
            <w:tcW w:w="624" w:type="dxa"/>
            <w:shd w:val="clear" w:color="auto" w:fill="auto"/>
            <w:noWrap/>
            <w:vAlign w:val="center"/>
          </w:tcPr>
          <w:p w14:paraId="2F27BCB3" w14:textId="10444774" w:rsidR="00133184" w:rsidRPr="0009028A" w:rsidRDefault="00133184" w:rsidP="00133184">
            <w:pPr>
              <w:spacing w:after="0" w:line="240" w:lineRule="auto"/>
              <w:jc w:val="center"/>
              <w:rPr>
                <w:rFonts w:ascii="Arial" w:eastAsia="Times New Roman" w:hAnsi="Arial" w:cs="Arial"/>
                <w:sz w:val="18"/>
                <w:szCs w:val="18"/>
                <w:lang w:eastAsia="es-CO"/>
              </w:rPr>
            </w:pPr>
          </w:p>
        </w:tc>
        <w:tc>
          <w:tcPr>
            <w:tcW w:w="284" w:type="dxa"/>
            <w:vAlign w:val="center"/>
          </w:tcPr>
          <w:p w14:paraId="227EEE74" w14:textId="77777777" w:rsidR="00133184" w:rsidRPr="0009028A" w:rsidRDefault="00133184" w:rsidP="00133184">
            <w:pPr>
              <w:spacing w:after="0" w:line="240" w:lineRule="auto"/>
              <w:jc w:val="center"/>
              <w:rPr>
                <w:rFonts w:ascii="Arial" w:hAnsi="Arial" w:cs="Arial"/>
                <w:sz w:val="18"/>
                <w:szCs w:val="18"/>
              </w:rPr>
            </w:pPr>
          </w:p>
        </w:tc>
        <w:tc>
          <w:tcPr>
            <w:tcW w:w="1587" w:type="dxa"/>
            <w:shd w:val="clear" w:color="auto" w:fill="auto"/>
            <w:noWrap/>
            <w:vAlign w:val="center"/>
          </w:tcPr>
          <w:p w14:paraId="7A8EA04B"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354.528.587</w:t>
            </w:r>
          </w:p>
        </w:tc>
        <w:tc>
          <w:tcPr>
            <w:tcW w:w="283" w:type="dxa"/>
            <w:vAlign w:val="center"/>
          </w:tcPr>
          <w:p w14:paraId="6ED4D26E" w14:textId="77777777" w:rsidR="00133184" w:rsidRPr="0009028A" w:rsidRDefault="00133184" w:rsidP="00133184">
            <w:pPr>
              <w:spacing w:after="0" w:line="240" w:lineRule="auto"/>
              <w:jc w:val="right"/>
              <w:rPr>
                <w:rFonts w:ascii="Arial" w:hAnsi="Arial" w:cs="Arial"/>
                <w:sz w:val="18"/>
                <w:szCs w:val="18"/>
              </w:rPr>
            </w:pPr>
          </w:p>
        </w:tc>
        <w:tc>
          <w:tcPr>
            <w:tcW w:w="1587" w:type="dxa"/>
            <w:shd w:val="clear" w:color="auto" w:fill="auto"/>
            <w:noWrap/>
            <w:vAlign w:val="center"/>
          </w:tcPr>
          <w:p w14:paraId="4CA85A60" w14:textId="73DC8B31"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354.528.587</w:t>
            </w:r>
          </w:p>
        </w:tc>
      </w:tr>
      <w:tr w:rsidR="00133184" w:rsidRPr="0009028A" w14:paraId="3AFED20B" w14:textId="77777777" w:rsidTr="00E97933">
        <w:trPr>
          <w:trHeight w:val="227"/>
        </w:trPr>
        <w:tc>
          <w:tcPr>
            <w:tcW w:w="4962" w:type="dxa"/>
            <w:shd w:val="clear" w:color="auto" w:fill="auto"/>
            <w:noWrap/>
            <w:vAlign w:val="center"/>
            <w:hideMark/>
          </w:tcPr>
          <w:p w14:paraId="218F9D65" w14:textId="77777777" w:rsidR="00133184" w:rsidRPr="0009028A" w:rsidRDefault="00133184" w:rsidP="00133184">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Reservas</w:t>
            </w:r>
          </w:p>
        </w:tc>
        <w:tc>
          <w:tcPr>
            <w:tcW w:w="624" w:type="dxa"/>
            <w:shd w:val="clear" w:color="auto" w:fill="auto"/>
            <w:noWrap/>
            <w:vAlign w:val="center"/>
          </w:tcPr>
          <w:p w14:paraId="1D95E277" w14:textId="1FF47C30" w:rsidR="00133184" w:rsidRPr="0009028A" w:rsidRDefault="001E447C" w:rsidP="00133184">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1</w:t>
            </w:r>
            <w:r w:rsidR="00964E83">
              <w:rPr>
                <w:rFonts w:ascii="Arial" w:eastAsia="Times New Roman" w:hAnsi="Arial" w:cs="Arial"/>
                <w:sz w:val="18"/>
                <w:szCs w:val="18"/>
                <w:lang w:eastAsia="es-CO"/>
              </w:rPr>
              <w:t>6</w:t>
            </w:r>
          </w:p>
        </w:tc>
        <w:tc>
          <w:tcPr>
            <w:tcW w:w="284" w:type="dxa"/>
            <w:vAlign w:val="center"/>
          </w:tcPr>
          <w:p w14:paraId="1A1DC09B" w14:textId="77777777" w:rsidR="00133184" w:rsidRPr="0009028A" w:rsidRDefault="00133184" w:rsidP="00133184">
            <w:pPr>
              <w:spacing w:after="0" w:line="240" w:lineRule="auto"/>
              <w:jc w:val="center"/>
              <w:rPr>
                <w:rFonts w:ascii="Arial" w:hAnsi="Arial" w:cs="Arial"/>
                <w:sz w:val="18"/>
                <w:szCs w:val="18"/>
              </w:rPr>
            </w:pPr>
          </w:p>
        </w:tc>
        <w:tc>
          <w:tcPr>
            <w:tcW w:w="1587" w:type="dxa"/>
            <w:shd w:val="clear" w:color="auto" w:fill="auto"/>
            <w:noWrap/>
            <w:vAlign w:val="center"/>
          </w:tcPr>
          <w:p w14:paraId="0272B7D4" w14:textId="1C75D93C" w:rsidR="00133184" w:rsidRPr="0009028A" w:rsidRDefault="007C2178" w:rsidP="00133184">
            <w:pPr>
              <w:spacing w:after="0" w:line="240" w:lineRule="auto"/>
              <w:jc w:val="right"/>
              <w:rPr>
                <w:rFonts w:ascii="Arial" w:hAnsi="Arial" w:cs="Arial"/>
                <w:sz w:val="18"/>
                <w:szCs w:val="18"/>
              </w:rPr>
            </w:pPr>
            <w:r w:rsidRPr="007C2178">
              <w:rPr>
                <w:rFonts w:ascii="Arial" w:hAnsi="Arial" w:cs="Arial"/>
                <w:sz w:val="18"/>
                <w:szCs w:val="18"/>
              </w:rPr>
              <w:t>1.202.556.622</w:t>
            </w:r>
          </w:p>
        </w:tc>
        <w:tc>
          <w:tcPr>
            <w:tcW w:w="283" w:type="dxa"/>
            <w:vAlign w:val="center"/>
          </w:tcPr>
          <w:p w14:paraId="25AA9E26" w14:textId="77777777" w:rsidR="00133184" w:rsidRPr="0009028A" w:rsidRDefault="00133184" w:rsidP="00133184">
            <w:pPr>
              <w:spacing w:after="0" w:line="240" w:lineRule="auto"/>
              <w:jc w:val="right"/>
              <w:rPr>
                <w:rFonts w:ascii="Arial" w:hAnsi="Arial" w:cs="Arial"/>
                <w:sz w:val="18"/>
                <w:szCs w:val="18"/>
              </w:rPr>
            </w:pPr>
          </w:p>
        </w:tc>
        <w:tc>
          <w:tcPr>
            <w:tcW w:w="1587" w:type="dxa"/>
            <w:shd w:val="clear" w:color="auto" w:fill="auto"/>
            <w:noWrap/>
            <w:vAlign w:val="center"/>
          </w:tcPr>
          <w:p w14:paraId="0602F85E" w14:textId="7599BB12"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1.117.639.704</w:t>
            </w:r>
          </w:p>
        </w:tc>
      </w:tr>
      <w:tr w:rsidR="00133184" w:rsidRPr="0009028A" w14:paraId="446613F8" w14:textId="77777777" w:rsidTr="00E97933">
        <w:trPr>
          <w:trHeight w:val="227"/>
        </w:trPr>
        <w:tc>
          <w:tcPr>
            <w:tcW w:w="4962" w:type="dxa"/>
            <w:shd w:val="clear" w:color="auto" w:fill="auto"/>
            <w:noWrap/>
            <w:vAlign w:val="center"/>
            <w:hideMark/>
          </w:tcPr>
          <w:p w14:paraId="5CCCBAB0" w14:textId="77777777" w:rsidR="00133184" w:rsidRPr="0009028A" w:rsidRDefault="00133184" w:rsidP="00133184">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Resultado del ejercicio</w:t>
            </w:r>
          </w:p>
        </w:tc>
        <w:tc>
          <w:tcPr>
            <w:tcW w:w="624" w:type="dxa"/>
            <w:shd w:val="clear" w:color="auto" w:fill="auto"/>
            <w:noWrap/>
            <w:vAlign w:val="center"/>
          </w:tcPr>
          <w:p w14:paraId="3522E687" w14:textId="77777777" w:rsidR="00133184" w:rsidRPr="0009028A" w:rsidRDefault="00133184" w:rsidP="00133184">
            <w:pPr>
              <w:spacing w:after="0" w:line="240" w:lineRule="auto"/>
              <w:jc w:val="center"/>
              <w:rPr>
                <w:rFonts w:ascii="Arial" w:eastAsia="Times New Roman" w:hAnsi="Arial" w:cs="Arial"/>
                <w:sz w:val="18"/>
                <w:szCs w:val="18"/>
                <w:lang w:eastAsia="es-CO"/>
              </w:rPr>
            </w:pPr>
          </w:p>
        </w:tc>
        <w:tc>
          <w:tcPr>
            <w:tcW w:w="284" w:type="dxa"/>
            <w:vAlign w:val="center"/>
          </w:tcPr>
          <w:p w14:paraId="16F294CC" w14:textId="77777777" w:rsidR="00133184" w:rsidRPr="0009028A" w:rsidRDefault="00133184" w:rsidP="00133184">
            <w:pPr>
              <w:spacing w:after="0" w:line="240" w:lineRule="auto"/>
              <w:jc w:val="center"/>
              <w:rPr>
                <w:rFonts w:ascii="Arial" w:hAnsi="Arial" w:cs="Arial"/>
                <w:sz w:val="18"/>
                <w:szCs w:val="18"/>
              </w:rPr>
            </w:pPr>
          </w:p>
        </w:tc>
        <w:tc>
          <w:tcPr>
            <w:tcW w:w="1587" w:type="dxa"/>
            <w:shd w:val="clear" w:color="auto" w:fill="auto"/>
            <w:noWrap/>
            <w:vAlign w:val="center"/>
          </w:tcPr>
          <w:p w14:paraId="73432215"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25.810.575</w:t>
            </w:r>
          </w:p>
        </w:tc>
        <w:tc>
          <w:tcPr>
            <w:tcW w:w="283" w:type="dxa"/>
            <w:vAlign w:val="center"/>
          </w:tcPr>
          <w:p w14:paraId="17C7D62D" w14:textId="77777777" w:rsidR="00133184" w:rsidRPr="0009028A" w:rsidRDefault="00133184" w:rsidP="00133184">
            <w:pPr>
              <w:spacing w:after="0" w:line="240" w:lineRule="auto"/>
              <w:jc w:val="right"/>
              <w:rPr>
                <w:rFonts w:ascii="Arial" w:hAnsi="Arial" w:cs="Arial"/>
                <w:sz w:val="18"/>
                <w:szCs w:val="18"/>
              </w:rPr>
            </w:pPr>
          </w:p>
        </w:tc>
        <w:tc>
          <w:tcPr>
            <w:tcW w:w="1587" w:type="dxa"/>
            <w:shd w:val="clear" w:color="auto" w:fill="auto"/>
            <w:noWrap/>
            <w:vAlign w:val="center"/>
          </w:tcPr>
          <w:p w14:paraId="717F86DF" w14:textId="1D81CDFB"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134.916.918</w:t>
            </w:r>
          </w:p>
        </w:tc>
      </w:tr>
      <w:tr w:rsidR="00133184" w:rsidRPr="0009028A" w14:paraId="5C94E6B6" w14:textId="77777777" w:rsidTr="00E97933">
        <w:trPr>
          <w:trHeight w:val="227"/>
        </w:trPr>
        <w:tc>
          <w:tcPr>
            <w:tcW w:w="4962" w:type="dxa"/>
            <w:shd w:val="clear" w:color="auto" w:fill="auto"/>
            <w:noWrap/>
            <w:vAlign w:val="center"/>
          </w:tcPr>
          <w:p w14:paraId="1B18EDC8" w14:textId="77777777" w:rsidR="00133184" w:rsidRPr="0009028A" w:rsidRDefault="00133184" w:rsidP="00133184">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Pérdidas acumuladas</w:t>
            </w:r>
          </w:p>
        </w:tc>
        <w:tc>
          <w:tcPr>
            <w:tcW w:w="624" w:type="dxa"/>
            <w:shd w:val="clear" w:color="auto" w:fill="auto"/>
            <w:noWrap/>
            <w:vAlign w:val="center"/>
          </w:tcPr>
          <w:p w14:paraId="2666DF95" w14:textId="77777777" w:rsidR="00133184" w:rsidRPr="0009028A" w:rsidRDefault="00133184" w:rsidP="00133184">
            <w:pPr>
              <w:spacing w:after="0" w:line="240" w:lineRule="auto"/>
              <w:jc w:val="center"/>
              <w:rPr>
                <w:rFonts w:ascii="Arial" w:eastAsia="Times New Roman" w:hAnsi="Arial" w:cs="Arial"/>
                <w:sz w:val="18"/>
                <w:szCs w:val="18"/>
                <w:lang w:eastAsia="es-CO"/>
              </w:rPr>
            </w:pPr>
          </w:p>
        </w:tc>
        <w:tc>
          <w:tcPr>
            <w:tcW w:w="284" w:type="dxa"/>
            <w:vAlign w:val="center"/>
          </w:tcPr>
          <w:p w14:paraId="539C2D5F" w14:textId="77777777" w:rsidR="00133184" w:rsidRPr="0009028A" w:rsidRDefault="00133184" w:rsidP="00133184">
            <w:pPr>
              <w:spacing w:after="0" w:line="240" w:lineRule="auto"/>
              <w:jc w:val="center"/>
              <w:rPr>
                <w:rFonts w:ascii="Arial" w:hAnsi="Arial" w:cs="Arial"/>
                <w:sz w:val="18"/>
                <w:szCs w:val="18"/>
              </w:rPr>
            </w:pPr>
          </w:p>
        </w:tc>
        <w:tc>
          <w:tcPr>
            <w:tcW w:w="1587" w:type="dxa"/>
            <w:shd w:val="clear" w:color="auto" w:fill="auto"/>
            <w:noWrap/>
            <w:vAlign w:val="center"/>
          </w:tcPr>
          <w:p w14:paraId="298571FA" w14:textId="2EE74D2C" w:rsidR="00133184" w:rsidRPr="0009028A" w:rsidRDefault="007C2178" w:rsidP="00133184">
            <w:pPr>
              <w:spacing w:after="0" w:line="240" w:lineRule="auto"/>
              <w:jc w:val="right"/>
              <w:rPr>
                <w:rFonts w:ascii="Arial" w:hAnsi="Arial" w:cs="Arial"/>
                <w:sz w:val="18"/>
                <w:szCs w:val="18"/>
              </w:rPr>
            </w:pPr>
            <w:r>
              <w:rPr>
                <w:rFonts w:ascii="Arial" w:hAnsi="Arial" w:cs="Arial"/>
                <w:sz w:val="18"/>
                <w:szCs w:val="18"/>
              </w:rPr>
              <w:t>(</w:t>
            </w:r>
            <w:r w:rsidRPr="007C2178">
              <w:rPr>
                <w:rFonts w:ascii="Arial" w:hAnsi="Arial" w:cs="Arial"/>
                <w:sz w:val="18"/>
                <w:szCs w:val="18"/>
              </w:rPr>
              <w:t>253.761.263</w:t>
            </w:r>
            <w:r>
              <w:rPr>
                <w:rFonts w:ascii="Arial" w:hAnsi="Arial" w:cs="Arial"/>
                <w:sz w:val="18"/>
                <w:szCs w:val="18"/>
              </w:rPr>
              <w:t>)</w:t>
            </w:r>
          </w:p>
        </w:tc>
        <w:tc>
          <w:tcPr>
            <w:tcW w:w="283" w:type="dxa"/>
            <w:vAlign w:val="center"/>
          </w:tcPr>
          <w:p w14:paraId="3399BB4F" w14:textId="77777777" w:rsidR="00133184" w:rsidRPr="0009028A" w:rsidRDefault="00133184" w:rsidP="00133184">
            <w:pPr>
              <w:spacing w:after="0" w:line="240" w:lineRule="auto"/>
              <w:jc w:val="right"/>
              <w:rPr>
                <w:rFonts w:ascii="Arial" w:hAnsi="Arial" w:cs="Arial"/>
                <w:sz w:val="18"/>
                <w:szCs w:val="18"/>
              </w:rPr>
            </w:pPr>
          </w:p>
        </w:tc>
        <w:tc>
          <w:tcPr>
            <w:tcW w:w="1587" w:type="dxa"/>
            <w:shd w:val="clear" w:color="auto" w:fill="auto"/>
            <w:noWrap/>
            <w:vAlign w:val="center"/>
          </w:tcPr>
          <w:p w14:paraId="7F723CD6" w14:textId="68703478"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(253.761.263)</w:t>
            </w:r>
          </w:p>
        </w:tc>
      </w:tr>
      <w:tr w:rsidR="00133184" w:rsidRPr="0009028A" w14:paraId="11E726F4" w14:textId="77777777" w:rsidTr="00E97933">
        <w:trPr>
          <w:trHeight w:val="227"/>
        </w:trPr>
        <w:tc>
          <w:tcPr>
            <w:tcW w:w="4962" w:type="dxa"/>
            <w:shd w:val="clear" w:color="auto" w:fill="auto"/>
            <w:noWrap/>
            <w:vAlign w:val="center"/>
          </w:tcPr>
          <w:p w14:paraId="5763AF74" w14:textId="77777777" w:rsidR="00133184" w:rsidRPr="0009028A" w:rsidRDefault="00133184" w:rsidP="00133184">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Otros resultados integrales</w:t>
            </w:r>
          </w:p>
        </w:tc>
        <w:tc>
          <w:tcPr>
            <w:tcW w:w="624" w:type="dxa"/>
            <w:shd w:val="clear" w:color="auto" w:fill="auto"/>
            <w:noWrap/>
            <w:vAlign w:val="center"/>
          </w:tcPr>
          <w:p w14:paraId="264EDF17" w14:textId="5F57B7EE" w:rsidR="00133184" w:rsidRPr="0009028A" w:rsidRDefault="001E447C" w:rsidP="00133184">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1</w:t>
            </w:r>
            <w:r w:rsidR="00964E83">
              <w:rPr>
                <w:rFonts w:ascii="Arial" w:eastAsia="Times New Roman" w:hAnsi="Arial" w:cs="Arial"/>
                <w:sz w:val="18"/>
                <w:szCs w:val="18"/>
                <w:lang w:eastAsia="es-CO"/>
              </w:rPr>
              <w:t>6</w:t>
            </w:r>
          </w:p>
        </w:tc>
        <w:tc>
          <w:tcPr>
            <w:tcW w:w="284" w:type="dxa"/>
            <w:vAlign w:val="center"/>
          </w:tcPr>
          <w:p w14:paraId="3AD1490D" w14:textId="77777777" w:rsidR="00133184" w:rsidRPr="0009028A" w:rsidRDefault="00133184" w:rsidP="00133184">
            <w:pPr>
              <w:spacing w:after="0" w:line="240" w:lineRule="auto"/>
              <w:jc w:val="center"/>
              <w:rPr>
                <w:rFonts w:ascii="Arial" w:hAnsi="Arial" w:cs="Arial"/>
                <w:sz w:val="18"/>
                <w:szCs w:val="18"/>
              </w:rPr>
            </w:pPr>
          </w:p>
        </w:tc>
        <w:tc>
          <w:tcPr>
            <w:tcW w:w="1587" w:type="dxa"/>
            <w:shd w:val="clear" w:color="auto" w:fill="auto"/>
            <w:noWrap/>
            <w:vAlign w:val="center"/>
          </w:tcPr>
          <w:p w14:paraId="09EC4D72" w14:textId="77777777"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184.116.908</w:t>
            </w:r>
          </w:p>
        </w:tc>
        <w:tc>
          <w:tcPr>
            <w:tcW w:w="283" w:type="dxa"/>
            <w:vAlign w:val="center"/>
          </w:tcPr>
          <w:p w14:paraId="211F6F4C" w14:textId="77777777" w:rsidR="00133184" w:rsidRPr="0009028A" w:rsidRDefault="00133184" w:rsidP="00133184">
            <w:pPr>
              <w:spacing w:after="0" w:line="240" w:lineRule="auto"/>
              <w:jc w:val="right"/>
              <w:rPr>
                <w:rFonts w:ascii="Arial" w:hAnsi="Arial" w:cs="Arial"/>
                <w:sz w:val="18"/>
                <w:szCs w:val="18"/>
              </w:rPr>
            </w:pPr>
          </w:p>
        </w:tc>
        <w:tc>
          <w:tcPr>
            <w:tcW w:w="1587" w:type="dxa"/>
            <w:shd w:val="clear" w:color="auto" w:fill="auto"/>
            <w:noWrap/>
            <w:vAlign w:val="center"/>
          </w:tcPr>
          <w:p w14:paraId="4963BA19" w14:textId="2BB385C4" w:rsidR="00133184" w:rsidRPr="0009028A" w:rsidRDefault="00133184" w:rsidP="00133184">
            <w:pPr>
              <w:spacing w:after="0" w:line="240" w:lineRule="auto"/>
              <w:jc w:val="right"/>
              <w:rPr>
                <w:rFonts w:ascii="Arial" w:hAnsi="Arial" w:cs="Arial"/>
                <w:sz w:val="18"/>
                <w:szCs w:val="18"/>
              </w:rPr>
            </w:pPr>
            <w:r w:rsidRPr="0009028A">
              <w:rPr>
                <w:rFonts w:ascii="Arial" w:hAnsi="Arial" w:cs="Arial"/>
                <w:sz w:val="18"/>
                <w:szCs w:val="18"/>
              </w:rPr>
              <w:t>225.037.073</w:t>
            </w:r>
          </w:p>
        </w:tc>
      </w:tr>
      <w:tr w:rsidR="00133184" w:rsidRPr="0009028A" w14:paraId="1F96311C" w14:textId="77777777" w:rsidTr="00E97933">
        <w:trPr>
          <w:trHeight w:val="227"/>
        </w:trPr>
        <w:tc>
          <w:tcPr>
            <w:tcW w:w="4962" w:type="dxa"/>
            <w:shd w:val="clear" w:color="auto" w:fill="auto"/>
            <w:noWrap/>
            <w:vAlign w:val="center"/>
          </w:tcPr>
          <w:p w14:paraId="6BCE1842" w14:textId="77777777" w:rsidR="00133184" w:rsidRPr="0009028A" w:rsidRDefault="00133184" w:rsidP="00133184">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Otros componentes del patrimonio</w:t>
            </w:r>
          </w:p>
        </w:tc>
        <w:tc>
          <w:tcPr>
            <w:tcW w:w="624" w:type="dxa"/>
            <w:shd w:val="clear" w:color="auto" w:fill="auto"/>
            <w:noWrap/>
            <w:vAlign w:val="center"/>
          </w:tcPr>
          <w:p w14:paraId="5C858FF7" w14:textId="4D6F370B" w:rsidR="00133184" w:rsidRPr="0009028A" w:rsidRDefault="001E447C" w:rsidP="00133184">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1</w:t>
            </w:r>
            <w:r w:rsidR="00964E83">
              <w:rPr>
                <w:rFonts w:ascii="Arial" w:eastAsia="Times New Roman" w:hAnsi="Arial" w:cs="Arial"/>
                <w:sz w:val="18"/>
                <w:szCs w:val="18"/>
                <w:lang w:eastAsia="es-CO"/>
              </w:rPr>
              <w:t>7</w:t>
            </w:r>
          </w:p>
        </w:tc>
        <w:tc>
          <w:tcPr>
            <w:tcW w:w="284" w:type="dxa"/>
            <w:vAlign w:val="center"/>
          </w:tcPr>
          <w:p w14:paraId="0AF0D777" w14:textId="77777777" w:rsidR="00133184" w:rsidRPr="0009028A" w:rsidRDefault="00133184" w:rsidP="00133184">
            <w:pPr>
              <w:spacing w:after="0" w:line="240" w:lineRule="auto"/>
              <w:jc w:val="center"/>
              <w:rPr>
                <w:rFonts w:ascii="Arial" w:hAnsi="Arial" w:cs="Arial"/>
                <w:sz w:val="18"/>
                <w:szCs w:val="18"/>
              </w:rPr>
            </w:pPr>
          </w:p>
        </w:tc>
        <w:tc>
          <w:tcPr>
            <w:tcW w:w="1587" w:type="dxa"/>
            <w:shd w:val="clear" w:color="auto" w:fill="auto"/>
            <w:noWrap/>
            <w:vAlign w:val="center"/>
          </w:tcPr>
          <w:p w14:paraId="5486B6D0" w14:textId="6FAC7C46" w:rsidR="00133184" w:rsidRPr="0009028A" w:rsidRDefault="0095255B" w:rsidP="00133184">
            <w:pPr>
              <w:spacing w:after="0" w:line="240" w:lineRule="auto"/>
              <w:jc w:val="right"/>
              <w:rPr>
                <w:rFonts w:ascii="Arial" w:hAnsi="Arial" w:cs="Arial"/>
                <w:sz w:val="18"/>
                <w:szCs w:val="18"/>
                <w:u w:val="single"/>
              </w:rPr>
            </w:pPr>
            <w:r>
              <w:rPr>
                <w:rFonts w:ascii="Arial" w:hAnsi="Arial" w:cs="Arial"/>
                <w:sz w:val="18"/>
                <w:szCs w:val="18"/>
                <w:u w:val="single"/>
              </w:rPr>
              <w:t xml:space="preserve">    </w:t>
            </w:r>
            <w:r w:rsidR="00133184" w:rsidRPr="0009028A">
              <w:rPr>
                <w:rFonts w:ascii="Arial" w:hAnsi="Arial" w:cs="Arial"/>
                <w:sz w:val="18"/>
                <w:szCs w:val="18"/>
                <w:u w:val="single"/>
              </w:rPr>
              <w:t>(7.144.958)</w:t>
            </w:r>
          </w:p>
        </w:tc>
        <w:tc>
          <w:tcPr>
            <w:tcW w:w="283" w:type="dxa"/>
            <w:vAlign w:val="center"/>
          </w:tcPr>
          <w:p w14:paraId="0D85638C" w14:textId="77777777" w:rsidR="00133184" w:rsidRPr="0009028A" w:rsidRDefault="00133184" w:rsidP="00133184">
            <w:pPr>
              <w:spacing w:after="0" w:line="240" w:lineRule="auto"/>
              <w:jc w:val="right"/>
              <w:rPr>
                <w:rFonts w:ascii="Arial" w:hAnsi="Arial" w:cs="Arial"/>
                <w:sz w:val="18"/>
                <w:szCs w:val="18"/>
                <w:u w:val="single"/>
              </w:rPr>
            </w:pPr>
          </w:p>
        </w:tc>
        <w:tc>
          <w:tcPr>
            <w:tcW w:w="1587" w:type="dxa"/>
            <w:shd w:val="clear" w:color="auto" w:fill="auto"/>
            <w:noWrap/>
            <w:vAlign w:val="center"/>
          </w:tcPr>
          <w:p w14:paraId="4F202772" w14:textId="6BA68E42" w:rsidR="00133184" w:rsidRPr="0009028A" w:rsidRDefault="0095255B" w:rsidP="00133184">
            <w:pPr>
              <w:spacing w:after="0" w:line="240" w:lineRule="auto"/>
              <w:jc w:val="right"/>
              <w:rPr>
                <w:rFonts w:ascii="Arial" w:hAnsi="Arial" w:cs="Arial"/>
                <w:sz w:val="18"/>
                <w:szCs w:val="18"/>
                <w:u w:val="single"/>
              </w:rPr>
            </w:pPr>
            <w:r>
              <w:rPr>
                <w:rFonts w:ascii="Arial" w:hAnsi="Arial" w:cs="Arial"/>
                <w:sz w:val="18"/>
                <w:szCs w:val="18"/>
                <w:u w:val="single"/>
              </w:rPr>
              <w:t xml:space="preserve">    </w:t>
            </w:r>
            <w:r w:rsidR="00133184" w:rsidRPr="0009028A">
              <w:rPr>
                <w:rFonts w:ascii="Arial" w:hAnsi="Arial" w:cs="Arial"/>
                <w:sz w:val="18"/>
                <w:szCs w:val="18"/>
                <w:u w:val="single"/>
              </w:rPr>
              <w:t>(7.144.958)</w:t>
            </w:r>
          </w:p>
        </w:tc>
      </w:tr>
      <w:tr w:rsidR="00133184" w:rsidRPr="0009028A" w14:paraId="4A4E57B4" w14:textId="77777777" w:rsidTr="00E97933">
        <w:trPr>
          <w:trHeight w:val="227"/>
        </w:trPr>
        <w:tc>
          <w:tcPr>
            <w:tcW w:w="4962" w:type="dxa"/>
            <w:shd w:val="clear" w:color="auto" w:fill="auto"/>
            <w:noWrap/>
            <w:vAlign w:val="center"/>
            <w:hideMark/>
          </w:tcPr>
          <w:p w14:paraId="5FE6B9D7" w14:textId="77777777" w:rsidR="00133184" w:rsidRPr="0009028A" w:rsidRDefault="00133184" w:rsidP="00133184">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Total patrimonio</w:t>
            </w:r>
          </w:p>
        </w:tc>
        <w:tc>
          <w:tcPr>
            <w:tcW w:w="624" w:type="dxa"/>
            <w:shd w:val="clear" w:color="auto" w:fill="auto"/>
            <w:noWrap/>
            <w:vAlign w:val="center"/>
          </w:tcPr>
          <w:p w14:paraId="31744F90" w14:textId="77777777" w:rsidR="00133184" w:rsidRPr="0009028A" w:rsidRDefault="00133184" w:rsidP="00133184">
            <w:pPr>
              <w:spacing w:after="0" w:line="240" w:lineRule="auto"/>
              <w:jc w:val="center"/>
              <w:rPr>
                <w:rFonts w:ascii="Arial" w:eastAsia="Times New Roman" w:hAnsi="Arial" w:cs="Arial"/>
                <w:sz w:val="18"/>
                <w:szCs w:val="18"/>
                <w:highlight w:val="yellow"/>
                <w:lang w:eastAsia="es-CO"/>
              </w:rPr>
            </w:pPr>
          </w:p>
        </w:tc>
        <w:tc>
          <w:tcPr>
            <w:tcW w:w="284" w:type="dxa"/>
            <w:vAlign w:val="center"/>
          </w:tcPr>
          <w:p w14:paraId="561D14B6" w14:textId="77777777" w:rsidR="00133184" w:rsidRPr="0009028A" w:rsidRDefault="00133184" w:rsidP="00133184">
            <w:pPr>
              <w:spacing w:after="0" w:line="240" w:lineRule="auto"/>
              <w:jc w:val="center"/>
              <w:rPr>
                <w:rFonts w:ascii="Arial" w:hAnsi="Arial" w:cs="Arial"/>
                <w:bCs/>
                <w:sz w:val="18"/>
                <w:szCs w:val="18"/>
              </w:rPr>
            </w:pPr>
            <w:r w:rsidRPr="0009028A">
              <w:rPr>
                <w:rFonts w:ascii="Arial" w:hAnsi="Arial" w:cs="Arial"/>
                <w:bCs/>
                <w:sz w:val="18"/>
                <w:szCs w:val="18"/>
              </w:rPr>
              <w:t>$</w:t>
            </w:r>
          </w:p>
        </w:tc>
        <w:tc>
          <w:tcPr>
            <w:tcW w:w="1587" w:type="dxa"/>
            <w:shd w:val="clear" w:color="auto" w:fill="auto"/>
            <w:noWrap/>
            <w:vAlign w:val="center"/>
          </w:tcPr>
          <w:p w14:paraId="34B07C4F" w14:textId="435F1757" w:rsidR="00133184" w:rsidRPr="0009028A" w:rsidRDefault="00133184" w:rsidP="00133184">
            <w:pPr>
              <w:spacing w:after="0" w:line="240" w:lineRule="auto"/>
              <w:jc w:val="right"/>
              <w:rPr>
                <w:rFonts w:ascii="Arial" w:hAnsi="Arial" w:cs="Arial"/>
                <w:sz w:val="18"/>
                <w:szCs w:val="18"/>
                <w:u w:val="double"/>
              </w:rPr>
            </w:pPr>
            <w:r w:rsidRPr="0009028A">
              <w:rPr>
                <w:rFonts w:ascii="Arial" w:hAnsi="Arial" w:cs="Arial"/>
                <w:b/>
                <w:bCs/>
                <w:sz w:val="18"/>
                <w:szCs w:val="18"/>
                <w:u w:val="double"/>
              </w:rPr>
              <w:t>1.525.711.153</w:t>
            </w:r>
          </w:p>
        </w:tc>
        <w:tc>
          <w:tcPr>
            <w:tcW w:w="283" w:type="dxa"/>
            <w:vAlign w:val="center"/>
          </w:tcPr>
          <w:p w14:paraId="6C3217F2" w14:textId="77777777" w:rsidR="00133184" w:rsidRPr="0009028A" w:rsidRDefault="00133184" w:rsidP="00133184">
            <w:pPr>
              <w:spacing w:after="0" w:line="240" w:lineRule="auto"/>
              <w:jc w:val="right"/>
              <w:rPr>
                <w:rFonts w:ascii="Arial" w:hAnsi="Arial" w:cs="Arial"/>
                <w:b/>
                <w:bCs/>
                <w:sz w:val="18"/>
                <w:szCs w:val="18"/>
                <w:u w:val="double"/>
              </w:rPr>
            </w:pPr>
          </w:p>
        </w:tc>
        <w:tc>
          <w:tcPr>
            <w:tcW w:w="1587" w:type="dxa"/>
            <w:shd w:val="clear" w:color="auto" w:fill="auto"/>
            <w:noWrap/>
            <w:vAlign w:val="center"/>
            <w:hideMark/>
          </w:tcPr>
          <w:p w14:paraId="719DB5A4" w14:textId="0539A926" w:rsidR="00133184" w:rsidRPr="0009028A" w:rsidRDefault="00133184" w:rsidP="00133184">
            <w:pPr>
              <w:spacing w:after="0" w:line="240" w:lineRule="auto"/>
              <w:jc w:val="right"/>
              <w:rPr>
                <w:rFonts w:ascii="Arial" w:hAnsi="Arial" w:cs="Arial"/>
                <w:b/>
                <w:bCs/>
                <w:sz w:val="18"/>
                <w:szCs w:val="18"/>
                <w:u w:val="double"/>
              </w:rPr>
            </w:pPr>
            <w:r w:rsidRPr="0009028A">
              <w:rPr>
                <w:rFonts w:ascii="Arial" w:hAnsi="Arial" w:cs="Arial"/>
                <w:b/>
                <w:bCs/>
                <w:sz w:val="18"/>
                <w:szCs w:val="18"/>
                <w:u w:val="double"/>
              </w:rPr>
              <w:t>1.590.820.743</w:t>
            </w:r>
          </w:p>
        </w:tc>
      </w:tr>
      <w:tr w:rsidR="00133184" w:rsidRPr="0009028A" w14:paraId="3D800581" w14:textId="77777777" w:rsidTr="00E97933">
        <w:trPr>
          <w:trHeight w:val="227"/>
        </w:trPr>
        <w:tc>
          <w:tcPr>
            <w:tcW w:w="4962" w:type="dxa"/>
            <w:shd w:val="clear" w:color="auto" w:fill="auto"/>
            <w:noWrap/>
            <w:vAlign w:val="center"/>
            <w:hideMark/>
          </w:tcPr>
          <w:p w14:paraId="3A87696F" w14:textId="77777777" w:rsidR="00133184" w:rsidRPr="0009028A" w:rsidRDefault="00133184" w:rsidP="00133184">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 </w:t>
            </w:r>
          </w:p>
        </w:tc>
        <w:tc>
          <w:tcPr>
            <w:tcW w:w="624" w:type="dxa"/>
            <w:shd w:val="clear" w:color="auto" w:fill="auto"/>
            <w:noWrap/>
            <w:vAlign w:val="center"/>
            <w:hideMark/>
          </w:tcPr>
          <w:p w14:paraId="77E4A761" w14:textId="19F2145A" w:rsidR="00133184" w:rsidRPr="0009028A" w:rsidRDefault="00133184" w:rsidP="00133184">
            <w:pPr>
              <w:spacing w:after="0" w:line="240" w:lineRule="auto"/>
              <w:jc w:val="center"/>
              <w:rPr>
                <w:rFonts w:ascii="Arial" w:eastAsia="Times New Roman" w:hAnsi="Arial" w:cs="Arial"/>
                <w:sz w:val="18"/>
                <w:szCs w:val="18"/>
                <w:lang w:eastAsia="es-CO"/>
              </w:rPr>
            </w:pPr>
          </w:p>
        </w:tc>
        <w:tc>
          <w:tcPr>
            <w:tcW w:w="284" w:type="dxa"/>
            <w:vAlign w:val="center"/>
          </w:tcPr>
          <w:p w14:paraId="19F62F33" w14:textId="77777777" w:rsidR="00133184" w:rsidRPr="0009028A" w:rsidRDefault="00133184" w:rsidP="00133184">
            <w:pPr>
              <w:spacing w:after="0" w:line="240" w:lineRule="auto"/>
              <w:jc w:val="center"/>
              <w:rPr>
                <w:rFonts w:ascii="Arial" w:eastAsia="Times New Roman" w:hAnsi="Arial" w:cs="Arial"/>
                <w:sz w:val="18"/>
                <w:szCs w:val="18"/>
                <w:lang w:eastAsia="es-CO"/>
              </w:rPr>
            </w:pPr>
          </w:p>
        </w:tc>
        <w:tc>
          <w:tcPr>
            <w:tcW w:w="1587" w:type="dxa"/>
            <w:shd w:val="clear" w:color="auto" w:fill="auto"/>
            <w:noWrap/>
            <w:vAlign w:val="center"/>
          </w:tcPr>
          <w:p w14:paraId="147D6DDA" w14:textId="77777777" w:rsidR="00133184" w:rsidRPr="0009028A" w:rsidRDefault="00133184" w:rsidP="00133184">
            <w:pPr>
              <w:spacing w:after="0" w:line="240" w:lineRule="auto"/>
              <w:jc w:val="right"/>
              <w:rPr>
                <w:rFonts w:ascii="Arial" w:eastAsia="Times New Roman" w:hAnsi="Arial" w:cs="Arial"/>
                <w:sz w:val="18"/>
                <w:szCs w:val="18"/>
                <w:u w:val="double"/>
                <w:lang w:eastAsia="es-CO"/>
              </w:rPr>
            </w:pPr>
          </w:p>
        </w:tc>
        <w:tc>
          <w:tcPr>
            <w:tcW w:w="283" w:type="dxa"/>
            <w:vAlign w:val="center"/>
          </w:tcPr>
          <w:p w14:paraId="5FD77C40" w14:textId="77777777" w:rsidR="00133184" w:rsidRPr="0009028A" w:rsidRDefault="00133184" w:rsidP="00133184">
            <w:pPr>
              <w:spacing w:after="0" w:line="240" w:lineRule="auto"/>
              <w:jc w:val="right"/>
              <w:rPr>
                <w:rFonts w:ascii="Arial" w:eastAsia="Times New Roman" w:hAnsi="Arial" w:cs="Arial"/>
                <w:sz w:val="18"/>
                <w:szCs w:val="18"/>
                <w:u w:val="double"/>
                <w:lang w:eastAsia="es-CO"/>
              </w:rPr>
            </w:pPr>
          </w:p>
        </w:tc>
        <w:tc>
          <w:tcPr>
            <w:tcW w:w="1587" w:type="dxa"/>
            <w:shd w:val="clear" w:color="auto" w:fill="auto"/>
            <w:noWrap/>
            <w:vAlign w:val="center"/>
            <w:hideMark/>
          </w:tcPr>
          <w:p w14:paraId="2AEC121F" w14:textId="101AD72C" w:rsidR="00133184" w:rsidRPr="0009028A" w:rsidRDefault="00133184" w:rsidP="00133184">
            <w:pPr>
              <w:spacing w:after="0" w:line="240" w:lineRule="auto"/>
              <w:jc w:val="right"/>
              <w:rPr>
                <w:rFonts w:ascii="Arial" w:eastAsia="Times New Roman" w:hAnsi="Arial" w:cs="Arial"/>
                <w:sz w:val="18"/>
                <w:szCs w:val="18"/>
                <w:u w:val="double"/>
                <w:lang w:eastAsia="es-CO"/>
              </w:rPr>
            </w:pPr>
          </w:p>
        </w:tc>
      </w:tr>
      <w:tr w:rsidR="00133184" w:rsidRPr="0009028A" w14:paraId="16A35494" w14:textId="77777777" w:rsidTr="00E97933">
        <w:trPr>
          <w:trHeight w:val="227"/>
        </w:trPr>
        <w:tc>
          <w:tcPr>
            <w:tcW w:w="4962" w:type="dxa"/>
            <w:shd w:val="clear" w:color="auto" w:fill="auto"/>
            <w:noWrap/>
            <w:vAlign w:val="center"/>
            <w:hideMark/>
          </w:tcPr>
          <w:p w14:paraId="73600252" w14:textId="77777777" w:rsidR="00133184" w:rsidRPr="0009028A" w:rsidRDefault="00133184" w:rsidP="00133184">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Total pasivos y patrimonio</w:t>
            </w:r>
          </w:p>
        </w:tc>
        <w:tc>
          <w:tcPr>
            <w:tcW w:w="624" w:type="dxa"/>
            <w:shd w:val="clear" w:color="auto" w:fill="auto"/>
            <w:noWrap/>
            <w:vAlign w:val="center"/>
            <w:hideMark/>
          </w:tcPr>
          <w:p w14:paraId="45460989" w14:textId="77037046" w:rsidR="00133184" w:rsidRPr="0009028A" w:rsidRDefault="00133184" w:rsidP="00133184">
            <w:pPr>
              <w:spacing w:after="0" w:line="240" w:lineRule="auto"/>
              <w:jc w:val="center"/>
              <w:rPr>
                <w:rFonts w:ascii="Arial" w:eastAsia="Times New Roman" w:hAnsi="Arial" w:cs="Arial"/>
                <w:sz w:val="18"/>
                <w:szCs w:val="18"/>
                <w:lang w:eastAsia="es-CO"/>
              </w:rPr>
            </w:pPr>
          </w:p>
        </w:tc>
        <w:tc>
          <w:tcPr>
            <w:tcW w:w="284" w:type="dxa"/>
            <w:vAlign w:val="center"/>
          </w:tcPr>
          <w:p w14:paraId="2AE8AF74" w14:textId="77777777" w:rsidR="00133184" w:rsidRPr="0009028A" w:rsidRDefault="00133184" w:rsidP="00133184">
            <w:pPr>
              <w:spacing w:after="0" w:line="240" w:lineRule="auto"/>
              <w:jc w:val="center"/>
              <w:rPr>
                <w:rFonts w:ascii="Arial" w:hAnsi="Arial" w:cs="Arial"/>
                <w:bCs/>
                <w:sz w:val="18"/>
                <w:szCs w:val="18"/>
              </w:rPr>
            </w:pPr>
            <w:r w:rsidRPr="0009028A">
              <w:rPr>
                <w:rFonts w:ascii="Arial" w:hAnsi="Arial" w:cs="Arial"/>
                <w:bCs/>
                <w:sz w:val="18"/>
                <w:szCs w:val="18"/>
              </w:rPr>
              <w:t>$</w:t>
            </w:r>
          </w:p>
        </w:tc>
        <w:tc>
          <w:tcPr>
            <w:tcW w:w="1587" w:type="dxa"/>
            <w:shd w:val="clear" w:color="auto" w:fill="auto"/>
            <w:noWrap/>
            <w:vAlign w:val="center"/>
          </w:tcPr>
          <w:p w14:paraId="3B9FB115" w14:textId="6AEEBB84" w:rsidR="00133184" w:rsidRPr="0009028A" w:rsidRDefault="007261D9" w:rsidP="00133184">
            <w:pPr>
              <w:spacing w:after="0" w:line="240" w:lineRule="auto"/>
              <w:jc w:val="right"/>
              <w:rPr>
                <w:rFonts w:ascii="Arial" w:hAnsi="Arial" w:cs="Arial"/>
                <w:b/>
                <w:bCs/>
                <w:sz w:val="18"/>
                <w:szCs w:val="18"/>
                <w:u w:val="double"/>
              </w:rPr>
            </w:pPr>
            <w:r w:rsidRPr="007261D9">
              <w:rPr>
                <w:rFonts w:ascii="Arial" w:hAnsi="Arial" w:cs="Arial"/>
                <w:b/>
                <w:bCs/>
                <w:sz w:val="18"/>
                <w:szCs w:val="18"/>
                <w:u w:val="double"/>
              </w:rPr>
              <w:t>2.373.833.041</w:t>
            </w:r>
          </w:p>
        </w:tc>
        <w:tc>
          <w:tcPr>
            <w:tcW w:w="283" w:type="dxa"/>
            <w:vAlign w:val="center"/>
          </w:tcPr>
          <w:p w14:paraId="26E6D169" w14:textId="77777777" w:rsidR="00133184" w:rsidRPr="0009028A" w:rsidRDefault="00133184" w:rsidP="00133184">
            <w:pPr>
              <w:spacing w:after="0" w:line="240" w:lineRule="auto"/>
              <w:jc w:val="right"/>
              <w:rPr>
                <w:rFonts w:ascii="Arial" w:hAnsi="Arial" w:cs="Arial"/>
                <w:b/>
                <w:bCs/>
                <w:sz w:val="18"/>
                <w:szCs w:val="18"/>
                <w:u w:val="double"/>
              </w:rPr>
            </w:pPr>
          </w:p>
        </w:tc>
        <w:tc>
          <w:tcPr>
            <w:tcW w:w="1587" w:type="dxa"/>
            <w:shd w:val="clear" w:color="auto" w:fill="auto"/>
            <w:noWrap/>
            <w:vAlign w:val="center"/>
            <w:hideMark/>
          </w:tcPr>
          <w:p w14:paraId="78595874" w14:textId="5FDC57BA" w:rsidR="00133184" w:rsidRPr="0009028A" w:rsidRDefault="007261D9" w:rsidP="00133184">
            <w:pPr>
              <w:spacing w:after="0" w:line="240" w:lineRule="auto"/>
              <w:jc w:val="right"/>
              <w:rPr>
                <w:rFonts w:ascii="Arial" w:hAnsi="Arial" w:cs="Arial"/>
                <w:b/>
                <w:bCs/>
                <w:sz w:val="18"/>
                <w:szCs w:val="18"/>
                <w:u w:val="double"/>
              </w:rPr>
            </w:pPr>
            <w:r w:rsidRPr="007261D9">
              <w:rPr>
                <w:rFonts w:ascii="Arial" w:hAnsi="Arial" w:cs="Arial"/>
                <w:b/>
                <w:bCs/>
                <w:sz w:val="18"/>
                <w:szCs w:val="18"/>
                <w:u w:val="double"/>
              </w:rPr>
              <w:t>2.364.803.548</w:t>
            </w:r>
          </w:p>
        </w:tc>
      </w:tr>
    </w:tbl>
    <w:p w14:paraId="76D5BD41" w14:textId="77777777" w:rsidR="00133184" w:rsidRPr="0009028A" w:rsidRDefault="00133184" w:rsidP="00C1339E">
      <w:pPr>
        <w:spacing w:before="83" w:after="0" w:line="275" w:lineRule="auto"/>
        <w:ind w:right="2550"/>
        <w:rPr>
          <w:rFonts w:ascii="Arial" w:hAnsi="Arial" w:cs="Arial"/>
          <w:sz w:val="18"/>
          <w:szCs w:val="18"/>
        </w:rPr>
      </w:pPr>
    </w:p>
    <w:p w14:paraId="12F05DC0" w14:textId="59F71461" w:rsidR="00DC2FFF" w:rsidRPr="0009028A" w:rsidRDefault="00C1339E" w:rsidP="00C1339E">
      <w:pPr>
        <w:spacing w:before="83" w:after="0" w:line="275" w:lineRule="auto"/>
        <w:ind w:right="2550"/>
        <w:rPr>
          <w:rFonts w:ascii="Arial" w:hAnsi="Arial" w:cs="Arial"/>
          <w:sz w:val="18"/>
          <w:szCs w:val="18"/>
        </w:rPr>
      </w:pPr>
      <w:r w:rsidRPr="0009028A">
        <w:rPr>
          <w:rFonts w:ascii="Arial" w:hAnsi="Arial" w:cs="Arial"/>
          <w:sz w:val="18"/>
          <w:szCs w:val="18"/>
        </w:rPr>
        <w:t>Las notas que se acompañan son parte integra</w:t>
      </w:r>
      <w:r w:rsidR="00DB13B1" w:rsidRPr="0009028A">
        <w:rPr>
          <w:rFonts w:ascii="Arial" w:hAnsi="Arial" w:cs="Arial"/>
          <w:sz w:val="18"/>
          <w:szCs w:val="18"/>
        </w:rPr>
        <w:t>l</w:t>
      </w:r>
      <w:r w:rsidRPr="0009028A">
        <w:rPr>
          <w:rFonts w:ascii="Arial" w:hAnsi="Arial" w:cs="Arial"/>
          <w:sz w:val="18"/>
          <w:szCs w:val="18"/>
        </w:rPr>
        <w:t xml:space="preserve"> de los </w:t>
      </w:r>
      <w:r w:rsidR="002E6C6A" w:rsidRPr="0009028A">
        <w:rPr>
          <w:rFonts w:ascii="Arial" w:hAnsi="Arial" w:cs="Arial"/>
          <w:sz w:val="18"/>
          <w:szCs w:val="18"/>
        </w:rPr>
        <w:t>estados financieros</w:t>
      </w:r>
      <w:r w:rsidR="00C82E26" w:rsidRPr="0009028A">
        <w:rPr>
          <w:rFonts w:ascii="Arial" w:hAnsi="Arial" w:cs="Arial"/>
          <w:sz w:val="18"/>
          <w:szCs w:val="18"/>
        </w:rPr>
        <w:t xml:space="preserve"> intermedios condensados separados</w:t>
      </w:r>
      <w:r w:rsidR="002E6C6A" w:rsidRPr="0009028A">
        <w:rPr>
          <w:rFonts w:ascii="Arial" w:hAnsi="Arial" w:cs="Arial"/>
          <w:sz w:val="18"/>
          <w:szCs w:val="18"/>
        </w:rPr>
        <w:t>.</w:t>
      </w:r>
    </w:p>
    <w:p w14:paraId="2A495A21" w14:textId="77777777" w:rsidR="00A93C95" w:rsidRPr="0009028A" w:rsidRDefault="00A93C95" w:rsidP="00C1339E">
      <w:pPr>
        <w:spacing w:before="83" w:after="0" w:line="275" w:lineRule="auto"/>
        <w:ind w:right="2550"/>
        <w:rPr>
          <w:rFonts w:ascii="Arial" w:hAnsi="Arial" w:cs="Arial"/>
          <w:sz w:val="18"/>
          <w:szCs w:val="18"/>
        </w:rPr>
      </w:pPr>
    </w:p>
    <w:p w14:paraId="5B13737C" w14:textId="77777777" w:rsidR="00A93C95" w:rsidRPr="0009028A" w:rsidRDefault="00A93C95" w:rsidP="00E85FA0">
      <w:pPr>
        <w:spacing w:before="83" w:after="0" w:line="275" w:lineRule="auto"/>
        <w:ind w:right="3258"/>
        <w:rPr>
          <w:rFonts w:ascii="Arial" w:hAnsi="Arial" w:cs="Arial"/>
          <w:sz w:val="18"/>
          <w:szCs w:val="18"/>
        </w:rPr>
      </w:pPr>
    </w:p>
    <w:p w14:paraId="1442518A" w14:textId="396F8D0C" w:rsidR="00A93C95" w:rsidRPr="0009028A" w:rsidRDefault="00C52937" w:rsidP="00DB13B1">
      <w:pPr>
        <w:tabs>
          <w:tab w:val="center" w:pos="4820"/>
          <w:tab w:val="center" w:pos="8364"/>
        </w:tabs>
        <w:spacing w:after="0" w:line="275" w:lineRule="auto"/>
        <w:ind w:right="-2"/>
        <w:rPr>
          <w:rFonts w:ascii="Arial" w:hAnsi="Arial" w:cs="Arial"/>
          <w:b/>
          <w:sz w:val="18"/>
          <w:szCs w:val="18"/>
        </w:rPr>
      </w:pPr>
      <w:r>
        <w:rPr>
          <w:rFonts w:ascii="Arial" w:hAnsi="Arial" w:cs="Arial"/>
          <w:b/>
          <w:sz w:val="18"/>
          <w:szCs w:val="18"/>
        </w:rPr>
        <w:t>Mauricio Ossa Echeverry</w:t>
      </w:r>
      <w:r w:rsidR="00A93C95" w:rsidRPr="0009028A">
        <w:rPr>
          <w:rFonts w:ascii="Arial" w:hAnsi="Arial" w:cs="Arial"/>
          <w:b/>
          <w:sz w:val="18"/>
          <w:szCs w:val="18"/>
        </w:rPr>
        <w:tab/>
        <w:t xml:space="preserve">Mario Alonso </w:t>
      </w:r>
      <w:r w:rsidR="000D02AC" w:rsidRPr="0009028A">
        <w:rPr>
          <w:rFonts w:ascii="Arial" w:hAnsi="Arial" w:cs="Arial"/>
          <w:b/>
          <w:sz w:val="18"/>
          <w:szCs w:val="18"/>
        </w:rPr>
        <w:t>García</w:t>
      </w:r>
      <w:r w:rsidR="00DB13B1" w:rsidRPr="0009028A">
        <w:rPr>
          <w:rFonts w:ascii="Arial" w:hAnsi="Arial" w:cs="Arial"/>
          <w:b/>
          <w:sz w:val="18"/>
          <w:szCs w:val="18"/>
        </w:rPr>
        <w:t xml:space="preserve"> Romero</w:t>
      </w:r>
      <w:r w:rsidR="00A93C95" w:rsidRPr="0009028A">
        <w:rPr>
          <w:rFonts w:ascii="Arial" w:hAnsi="Arial" w:cs="Arial"/>
          <w:b/>
          <w:sz w:val="18"/>
          <w:szCs w:val="18"/>
        </w:rPr>
        <w:tab/>
      </w:r>
      <w:r w:rsidR="000D02AC" w:rsidRPr="0009028A">
        <w:rPr>
          <w:rFonts w:ascii="Arial" w:hAnsi="Arial" w:cs="Arial"/>
          <w:b/>
          <w:sz w:val="18"/>
          <w:szCs w:val="18"/>
        </w:rPr>
        <w:t>Mario Alberto L</w:t>
      </w:r>
      <w:r w:rsidR="00DB13B1" w:rsidRPr="0009028A">
        <w:rPr>
          <w:rFonts w:ascii="Arial" w:hAnsi="Arial" w:cs="Arial"/>
          <w:b/>
          <w:sz w:val="18"/>
          <w:szCs w:val="18"/>
        </w:rPr>
        <w:t>ó</w:t>
      </w:r>
      <w:r w:rsidR="000D02AC" w:rsidRPr="0009028A">
        <w:rPr>
          <w:rFonts w:ascii="Arial" w:hAnsi="Arial" w:cs="Arial"/>
          <w:b/>
          <w:sz w:val="18"/>
          <w:szCs w:val="18"/>
        </w:rPr>
        <w:t>pez Ocampo</w:t>
      </w:r>
      <w:r w:rsidR="000D02AC" w:rsidRPr="0009028A" w:rsidDel="000D02AC">
        <w:rPr>
          <w:rFonts w:ascii="Arial" w:hAnsi="Arial" w:cs="Arial"/>
          <w:b/>
          <w:sz w:val="18"/>
          <w:szCs w:val="18"/>
        </w:rPr>
        <w:t xml:space="preserve"> </w:t>
      </w:r>
    </w:p>
    <w:p w14:paraId="4F3EC76A" w14:textId="491C4DB9" w:rsidR="00A93C95" w:rsidRPr="0009028A" w:rsidRDefault="00C52937" w:rsidP="00DB13B1">
      <w:pPr>
        <w:tabs>
          <w:tab w:val="center" w:pos="4820"/>
          <w:tab w:val="center" w:pos="8364"/>
        </w:tabs>
        <w:spacing w:after="0" w:line="275" w:lineRule="auto"/>
        <w:ind w:right="-2"/>
        <w:rPr>
          <w:rFonts w:ascii="Arial" w:hAnsi="Arial" w:cs="Arial"/>
          <w:sz w:val="18"/>
          <w:szCs w:val="18"/>
        </w:rPr>
      </w:pPr>
      <w:r>
        <w:rPr>
          <w:rFonts w:ascii="Arial" w:hAnsi="Arial" w:cs="Arial"/>
          <w:sz w:val="18"/>
          <w:szCs w:val="18"/>
        </w:rPr>
        <w:t>Presidente</w:t>
      </w:r>
      <w:r w:rsidR="00DB13B1" w:rsidRPr="0009028A">
        <w:rPr>
          <w:rFonts w:ascii="Arial" w:hAnsi="Arial" w:cs="Arial"/>
          <w:sz w:val="18"/>
          <w:szCs w:val="18"/>
        </w:rPr>
        <w:t xml:space="preserve"> (*)</w:t>
      </w:r>
      <w:r w:rsidR="00A93C95" w:rsidRPr="0009028A">
        <w:rPr>
          <w:rFonts w:ascii="Arial" w:hAnsi="Arial" w:cs="Arial"/>
          <w:sz w:val="18"/>
          <w:szCs w:val="18"/>
        </w:rPr>
        <w:tab/>
        <w:t>Contador</w:t>
      </w:r>
      <w:r w:rsidR="00DB13B1" w:rsidRPr="0009028A">
        <w:rPr>
          <w:rFonts w:ascii="Arial" w:hAnsi="Arial" w:cs="Arial"/>
          <w:sz w:val="18"/>
          <w:szCs w:val="18"/>
        </w:rPr>
        <w:t xml:space="preserve"> (*)</w:t>
      </w:r>
      <w:r w:rsidR="00A93C95" w:rsidRPr="0009028A">
        <w:rPr>
          <w:rFonts w:ascii="Arial" w:hAnsi="Arial" w:cs="Arial"/>
          <w:sz w:val="18"/>
          <w:szCs w:val="18"/>
        </w:rPr>
        <w:tab/>
      </w:r>
      <w:r w:rsidR="00B36322" w:rsidRPr="0009028A">
        <w:rPr>
          <w:rFonts w:ascii="Arial" w:hAnsi="Arial" w:cs="Arial"/>
          <w:sz w:val="18"/>
          <w:szCs w:val="18"/>
        </w:rPr>
        <w:t>Revisor F</w:t>
      </w:r>
      <w:r w:rsidR="00A93C95" w:rsidRPr="0009028A">
        <w:rPr>
          <w:rFonts w:ascii="Arial" w:hAnsi="Arial" w:cs="Arial"/>
          <w:sz w:val="18"/>
          <w:szCs w:val="18"/>
        </w:rPr>
        <w:t>iscal</w:t>
      </w:r>
      <w:r w:rsidR="00DB13B1" w:rsidRPr="0009028A">
        <w:rPr>
          <w:rFonts w:ascii="Arial" w:hAnsi="Arial" w:cs="Arial"/>
          <w:sz w:val="18"/>
          <w:szCs w:val="18"/>
        </w:rPr>
        <w:t xml:space="preserve"> </w:t>
      </w:r>
    </w:p>
    <w:p w14:paraId="367514C3" w14:textId="77777777" w:rsidR="00A93C95" w:rsidRPr="0009028A" w:rsidRDefault="00A93C95" w:rsidP="00DB13B1">
      <w:pPr>
        <w:tabs>
          <w:tab w:val="center" w:pos="4820"/>
          <w:tab w:val="center" w:pos="8364"/>
        </w:tabs>
        <w:spacing w:after="0" w:line="275" w:lineRule="auto"/>
        <w:ind w:right="-2"/>
        <w:rPr>
          <w:rFonts w:ascii="Arial" w:hAnsi="Arial" w:cs="Arial"/>
          <w:sz w:val="18"/>
          <w:szCs w:val="18"/>
        </w:rPr>
      </w:pPr>
      <w:r w:rsidRPr="0009028A">
        <w:rPr>
          <w:rFonts w:ascii="Arial" w:hAnsi="Arial" w:cs="Arial"/>
          <w:sz w:val="18"/>
          <w:szCs w:val="18"/>
        </w:rPr>
        <w:tab/>
        <w:t>T.P. 69852-T</w:t>
      </w:r>
      <w:r w:rsidRPr="0009028A">
        <w:rPr>
          <w:rFonts w:ascii="Arial" w:hAnsi="Arial" w:cs="Arial"/>
          <w:sz w:val="18"/>
          <w:szCs w:val="18"/>
        </w:rPr>
        <w:tab/>
      </w:r>
      <w:r w:rsidR="00DB13B1" w:rsidRPr="0009028A">
        <w:rPr>
          <w:rFonts w:ascii="Arial" w:hAnsi="Arial" w:cs="Arial"/>
          <w:sz w:val="18"/>
          <w:szCs w:val="18"/>
        </w:rPr>
        <w:t>T.P. 110657-T</w:t>
      </w:r>
    </w:p>
    <w:p w14:paraId="44AA3BDB" w14:textId="77777777" w:rsidR="00A93C95" w:rsidRPr="0009028A" w:rsidRDefault="00A93C95" w:rsidP="00DB13B1">
      <w:pPr>
        <w:tabs>
          <w:tab w:val="center" w:pos="4820"/>
          <w:tab w:val="center" w:pos="8364"/>
        </w:tabs>
        <w:spacing w:after="0" w:line="275" w:lineRule="auto"/>
        <w:ind w:right="-2"/>
        <w:rPr>
          <w:rFonts w:ascii="Arial" w:hAnsi="Arial" w:cs="Arial"/>
          <w:sz w:val="18"/>
          <w:szCs w:val="18"/>
        </w:rPr>
      </w:pPr>
      <w:r w:rsidRPr="0009028A">
        <w:rPr>
          <w:rFonts w:ascii="Arial" w:hAnsi="Arial" w:cs="Arial"/>
          <w:sz w:val="18"/>
          <w:szCs w:val="18"/>
        </w:rPr>
        <w:tab/>
      </w:r>
      <w:r w:rsidRPr="0009028A">
        <w:rPr>
          <w:rFonts w:ascii="Arial" w:hAnsi="Arial" w:cs="Arial"/>
          <w:sz w:val="18"/>
          <w:szCs w:val="18"/>
        </w:rPr>
        <w:tab/>
      </w:r>
      <w:r w:rsidR="00DB13B1" w:rsidRPr="0009028A">
        <w:rPr>
          <w:rFonts w:ascii="Arial" w:hAnsi="Arial" w:cs="Arial"/>
          <w:sz w:val="18"/>
          <w:szCs w:val="18"/>
        </w:rPr>
        <w:t>Miembro de KPMG S.A.S.</w:t>
      </w:r>
    </w:p>
    <w:p w14:paraId="51C7112E" w14:textId="5DA39B67" w:rsidR="00DB13B1" w:rsidRPr="0009028A" w:rsidRDefault="00DB13B1" w:rsidP="00DB13B1">
      <w:pPr>
        <w:tabs>
          <w:tab w:val="center" w:pos="4820"/>
          <w:tab w:val="center" w:pos="8364"/>
        </w:tabs>
        <w:spacing w:after="0" w:line="275" w:lineRule="auto"/>
        <w:ind w:right="-2"/>
        <w:rPr>
          <w:rFonts w:ascii="Arial" w:hAnsi="Arial" w:cs="Arial"/>
          <w:sz w:val="18"/>
          <w:szCs w:val="18"/>
        </w:rPr>
      </w:pPr>
      <w:r w:rsidRPr="0009028A">
        <w:rPr>
          <w:rFonts w:ascii="Arial" w:hAnsi="Arial" w:cs="Arial"/>
          <w:sz w:val="18"/>
          <w:szCs w:val="18"/>
        </w:rPr>
        <w:tab/>
      </w:r>
      <w:r w:rsidRPr="0009028A">
        <w:rPr>
          <w:rFonts w:ascii="Arial" w:hAnsi="Arial" w:cs="Arial"/>
          <w:sz w:val="18"/>
          <w:szCs w:val="18"/>
        </w:rPr>
        <w:tab/>
        <w:t xml:space="preserve">(Véase mi informe del </w:t>
      </w:r>
      <w:r w:rsidR="0063525B">
        <w:rPr>
          <w:rFonts w:ascii="Arial" w:hAnsi="Arial" w:cs="Arial"/>
          <w:sz w:val="18"/>
          <w:szCs w:val="18"/>
        </w:rPr>
        <w:t>14</w:t>
      </w:r>
      <w:r w:rsidRPr="0009028A">
        <w:rPr>
          <w:rFonts w:ascii="Arial" w:hAnsi="Arial" w:cs="Arial"/>
          <w:sz w:val="18"/>
          <w:szCs w:val="18"/>
        </w:rPr>
        <w:t xml:space="preserve"> de mayo de 2019)</w:t>
      </w:r>
    </w:p>
    <w:p w14:paraId="5CEAFCA2" w14:textId="77777777" w:rsidR="00DB13B1" w:rsidRPr="0009028A" w:rsidRDefault="00DB13B1" w:rsidP="00DB13B1">
      <w:pPr>
        <w:spacing w:after="0" w:line="240" w:lineRule="auto"/>
        <w:rPr>
          <w:rFonts w:ascii="Arial" w:hAnsi="Arial" w:cs="Arial"/>
          <w:sz w:val="18"/>
          <w:szCs w:val="18"/>
        </w:rPr>
      </w:pPr>
    </w:p>
    <w:p w14:paraId="3DEAB469" w14:textId="77777777" w:rsidR="00A93C95" w:rsidRPr="0009028A" w:rsidRDefault="00DB13B1" w:rsidP="00C82E26">
      <w:pPr>
        <w:spacing w:after="0" w:line="240" w:lineRule="auto"/>
        <w:rPr>
          <w:rFonts w:ascii="Arial" w:hAnsi="Arial" w:cs="Arial"/>
          <w:color w:val="0C2D66"/>
          <w:sz w:val="36"/>
          <w:szCs w:val="36"/>
        </w:rPr>
      </w:pPr>
      <w:r w:rsidRPr="0009028A">
        <w:rPr>
          <w:rFonts w:ascii="Arial" w:hAnsi="Arial" w:cs="Arial"/>
          <w:sz w:val="18"/>
          <w:szCs w:val="18"/>
        </w:rPr>
        <w:t>(*) Los suscritos Representante Legal y Contador Público certificamos que hemos verificado previamente las afirmaciones contenidas en estos estados financieros y que los mismos han sido tomados fielmente de los libros de contabilidad de la Compañía.</w:t>
      </w:r>
      <w:r w:rsidR="00A93C95" w:rsidRPr="0009028A">
        <w:rPr>
          <w:rFonts w:ascii="Arial" w:hAnsi="Arial" w:cs="Arial"/>
          <w:color w:val="0C2D66"/>
          <w:sz w:val="36"/>
          <w:szCs w:val="36"/>
        </w:rPr>
        <w:br w:type="page"/>
      </w:r>
    </w:p>
    <w:p w14:paraId="7017E6A6" w14:textId="67B70012" w:rsidR="00D8789C" w:rsidRPr="0009028A" w:rsidRDefault="005837F6" w:rsidP="00124315">
      <w:pPr>
        <w:spacing w:after="0"/>
        <w:rPr>
          <w:rFonts w:ascii="Arial" w:hAnsi="Arial" w:cs="Arial"/>
          <w:color w:val="0C2D66"/>
          <w:sz w:val="36"/>
          <w:szCs w:val="36"/>
        </w:rPr>
      </w:pPr>
      <w:r w:rsidRPr="0009028A">
        <w:rPr>
          <w:rFonts w:ascii="Arial" w:hAnsi="Arial" w:cs="Arial"/>
          <w:color w:val="0C2D66"/>
          <w:sz w:val="36"/>
          <w:szCs w:val="36"/>
        </w:rPr>
        <w:lastRenderedPageBreak/>
        <w:t>Odinsa</w:t>
      </w:r>
      <w:r w:rsidR="00945832" w:rsidRPr="0009028A">
        <w:rPr>
          <w:rFonts w:ascii="Arial" w:hAnsi="Arial" w:cs="Arial"/>
          <w:color w:val="0C2D66"/>
          <w:sz w:val="36"/>
          <w:szCs w:val="36"/>
        </w:rPr>
        <w:t xml:space="preserve"> S.</w:t>
      </w:r>
      <w:r w:rsidR="00D8789C" w:rsidRPr="0009028A">
        <w:rPr>
          <w:rFonts w:ascii="Arial" w:hAnsi="Arial" w:cs="Arial"/>
          <w:color w:val="0C2D66"/>
          <w:sz w:val="36"/>
          <w:szCs w:val="36"/>
        </w:rPr>
        <w:t>A.</w:t>
      </w:r>
    </w:p>
    <w:p w14:paraId="5FF86B95" w14:textId="56467302" w:rsidR="00D8789C" w:rsidRPr="0009028A" w:rsidRDefault="00D8789C" w:rsidP="00BD2F10">
      <w:pPr>
        <w:pStyle w:val="Ttulo1"/>
        <w:spacing w:after="0"/>
      </w:pPr>
      <w:bookmarkStart w:id="7" w:name="_Toc506991877"/>
      <w:bookmarkStart w:id="8" w:name="_Toc8735026"/>
      <w:r w:rsidRPr="0009028A">
        <w:t>Estado</w:t>
      </w:r>
      <w:r w:rsidR="00CD0EC8" w:rsidRPr="0009028A">
        <w:t>s</w:t>
      </w:r>
      <w:r w:rsidRPr="0009028A">
        <w:t xml:space="preserve"> </w:t>
      </w:r>
      <w:r w:rsidR="00C82E26" w:rsidRPr="0009028A">
        <w:t xml:space="preserve">intermedios </w:t>
      </w:r>
      <w:r w:rsidR="00224611" w:rsidRPr="0009028A">
        <w:t xml:space="preserve">condensados </w:t>
      </w:r>
      <w:r w:rsidR="00CD0EC8" w:rsidRPr="0009028A">
        <w:t xml:space="preserve">separados </w:t>
      </w:r>
      <w:r w:rsidRPr="0009028A">
        <w:t xml:space="preserve">de </w:t>
      </w:r>
      <w:r w:rsidR="002854F0" w:rsidRPr="0009028A">
        <w:t>resultados</w:t>
      </w:r>
      <w:bookmarkEnd w:id="7"/>
      <w:bookmarkEnd w:id="8"/>
    </w:p>
    <w:p w14:paraId="584427F1" w14:textId="5C0667F8" w:rsidR="005D5928" w:rsidRPr="0009028A" w:rsidRDefault="00BE1867" w:rsidP="00BD2F10">
      <w:pPr>
        <w:spacing w:after="0" w:line="240" w:lineRule="auto"/>
        <w:rPr>
          <w:rFonts w:ascii="Arial" w:hAnsi="Arial" w:cs="Arial"/>
          <w:sz w:val="20"/>
          <w:szCs w:val="20"/>
        </w:rPr>
      </w:pPr>
      <w:r w:rsidRPr="0009028A">
        <w:rPr>
          <w:rFonts w:ascii="Arial" w:hAnsi="Arial" w:cs="Arial"/>
          <w:sz w:val="20"/>
          <w:szCs w:val="20"/>
        </w:rPr>
        <w:t>P</w:t>
      </w:r>
      <w:r w:rsidR="00CD0EC8" w:rsidRPr="0009028A">
        <w:rPr>
          <w:rFonts w:ascii="Arial" w:hAnsi="Arial" w:cs="Arial"/>
          <w:sz w:val="20"/>
          <w:szCs w:val="20"/>
        </w:rPr>
        <w:t>or el p</w:t>
      </w:r>
      <w:r w:rsidRPr="0009028A">
        <w:rPr>
          <w:rFonts w:ascii="Arial" w:hAnsi="Arial" w:cs="Arial"/>
          <w:sz w:val="20"/>
          <w:szCs w:val="20"/>
        </w:rPr>
        <w:t>erí</w:t>
      </w:r>
      <w:r w:rsidR="00F22078" w:rsidRPr="0009028A">
        <w:rPr>
          <w:rFonts w:ascii="Arial" w:hAnsi="Arial" w:cs="Arial"/>
          <w:sz w:val="20"/>
          <w:szCs w:val="20"/>
        </w:rPr>
        <w:t xml:space="preserve">odo </w:t>
      </w:r>
      <w:r w:rsidR="00CD0EC8" w:rsidRPr="0009028A">
        <w:rPr>
          <w:rFonts w:ascii="Arial" w:hAnsi="Arial" w:cs="Arial"/>
          <w:sz w:val="20"/>
          <w:szCs w:val="20"/>
        </w:rPr>
        <w:t xml:space="preserve">de tres meses </w:t>
      </w:r>
      <w:r w:rsidR="00753FB4">
        <w:rPr>
          <w:rFonts w:ascii="Arial" w:hAnsi="Arial" w:cs="Arial"/>
          <w:sz w:val="20"/>
          <w:szCs w:val="20"/>
        </w:rPr>
        <w:t>que terminó</w:t>
      </w:r>
      <w:r w:rsidR="00F22078" w:rsidRPr="0009028A">
        <w:rPr>
          <w:rFonts w:ascii="Arial" w:hAnsi="Arial" w:cs="Arial"/>
          <w:sz w:val="20"/>
          <w:szCs w:val="20"/>
        </w:rPr>
        <w:t xml:space="preserve"> el</w:t>
      </w:r>
      <w:r w:rsidR="00460023" w:rsidRPr="0009028A">
        <w:rPr>
          <w:rFonts w:ascii="Arial" w:hAnsi="Arial" w:cs="Arial"/>
          <w:sz w:val="20"/>
          <w:szCs w:val="20"/>
        </w:rPr>
        <w:t xml:space="preserve"> 3</w:t>
      </w:r>
      <w:r w:rsidR="005837F6" w:rsidRPr="0009028A">
        <w:rPr>
          <w:rFonts w:ascii="Arial" w:hAnsi="Arial" w:cs="Arial"/>
          <w:sz w:val="20"/>
          <w:szCs w:val="20"/>
        </w:rPr>
        <w:t>1</w:t>
      </w:r>
      <w:r w:rsidR="00E4708E" w:rsidRPr="0009028A">
        <w:rPr>
          <w:rFonts w:ascii="Arial" w:hAnsi="Arial" w:cs="Arial"/>
          <w:sz w:val="20"/>
          <w:szCs w:val="20"/>
        </w:rPr>
        <w:t xml:space="preserve"> de </w:t>
      </w:r>
      <w:r w:rsidR="005837F6" w:rsidRPr="0009028A">
        <w:rPr>
          <w:rFonts w:ascii="Arial" w:hAnsi="Arial" w:cs="Arial"/>
          <w:sz w:val="20"/>
          <w:szCs w:val="20"/>
        </w:rPr>
        <w:t>marzo</w:t>
      </w:r>
      <w:r w:rsidR="00460023" w:rsidRPr="0009028A">
        <w:rPr>
          <w:rFonts w:ascii="Arial" w:hAnsi="Arial" w:cs="Arial"/>
          <w:sz w:val="20"/>
          <w:szCs w:val="20"/>
        </w:rPr>
        <w:t xml:space="preserve"> </w:t>
      </w:r>
      <w:r w:rsidR="00753FB4">
        <w:rPr>
          <w:rFonts w:ascii="Arial" w:hAnsi="Arial" w:cs="Arial"/>
          <w:sz w:val="20"/>
          <w:szCs w:val="20"/>
        </w:rPr>
        <w:t>de 2019</w:t>
      </w:r>
    </w:p>
    <w:p w14:paraId="49BD2935" w14:textId="77777777" w:rsidR="00D8789C" w:rsidRPr="0009028A" w:rsidRDefault="005D5928" w:rsidP="00BD2F10">
      <w:pPr>
        <w:spacing w:after="0" w:line="240" w:lineRule="auto"/>
        <w:rPr>
          <w:rFonts w:ascii="Arial" w:hAnsi="Arial" w:cs="Arial"/>
          <w:sz w:val="20"/>
          <w:szCs w:val="20"/>
        </w:rPr>
      </w:pPr>
      <w:r w:rsidRPr="0009028A">
        <w:rPr>
          <w:rFonts w:ascii="Arial" w:hAnsi="Arial" w:cs="Arial"/>
          <w:sz w:val="20"/>
          <w:szCs w:val="20"/>
        </w:rPr>
        <w:t>(</w:t>
      </w:r>
      <w:r w:rsidR="00460023" w:rsidRPr="0009028A">
        <w:rPr>
          <w:rFonts w:ascii="Arial" w:hAnsi="Arial" w:cs="Arial"/>
          <w:sz w:val="20"/>
          <w:szCs w:val="20"/>
        </w:rPr>
        <w:t>E</w:t>
      </w:r>
      <w:r w:rsidRPr="0009028A">
        <w:rPr>
          <w:rFonts w:ascii="Arial" w:hAnsi="Arial" w:cs="Arial"/>
          <w:sz w:val="20"/>
          <w:szCs w:val="20"/>
        </w:rPr>
        <w:t>xpresados e</w:t>
      </w:r>
      <w:r w:rsidR="00460023" w:rsidRPr="0009028A">
        <w:rPr>
          <w:rFonts w:ascii="Arial" w:hAnsi="Arial" w:cs="Arial"/>
          <w:sz w:val="20"/>
          <w:szCs w:val="20"/>
        </w:rPr>
        <w:t xml:space="preserve">n miles </w:t>
      </w:r>
      <w:r w:rsidRPr="0009028A">
        <w:rPr>
          <w:rFonts w:ascii="Arial" w:hAnsi="Arial" w:cs="Arial"/>
          <w:sz w:val="20"/>
          <w:szCs w:val="20"/>
        </w:rPr>
        <w:t>de pesos</w:t>
      </w:r>
      <w:r w:rsidR="00C82E26" w:rsidRPr="0009028A">
        <w:rPr>
          <w:rFonts w:ascii="Arial" w:hAnsi="Arial" w:cs="Arial"/>
          <w:sz w:val="20"/>
          <w:szCs w:val="20"/>
        </w:rPr>
        <w:t xml:space="preserve"> Colombianos</w:t>
      </w:r>
      <w:r w:rsidRPr="0009028A">
        <w:rPr>
          <w:rFonts w:ascii="Arial" w:hAnsi="Arial" w:cs="Arial"/>
          <w:sz w:val="20"/>
          <w:szCs w:val="20"/>
        </w:rPr>
        <w:t>)</w:t>
      </w:r>
    </w:p>
    <w:p w14:paraId="78E2BC3A" w14:textId="77777777" w:rsidR="006B7E68" w:rsidRPr="0009028A" w:rsidRDefault="006B7E68" w:rsidP="00284063">
      <w:pPr>
        <w:spacing w:after="0"/>
        <w:rPr>
          <w:rFonts w:ascii="Arial" w:hAnsi="Arial" w:cs="Arial"/>
          <w:sz w:val="20"/>
          <w:szCs w:val="20"/>
        </w:rPr>
      </w:pPr>
    </w:p>
    <w:p w14:paraId="2D5C0571" w14:textId="77777777" w:rsidR="006B7E68" w:rsidRPr="0009028A" w:rsidRDefault="006B7E68" w:rsidP="00284063">
      <w:pPr>
        <w:spacing w:after="0"/>
        <w:rPr>
          <w:rFonts w:ascii="Arial" w:hAnsi="Arial" w:cs="Arial"/>
          <w:sz w:val="20"/>
          <w:szCs w:val="20"/>
        </w:rPr>
      </w:pPr>
    </w:p>
    <w:tbl>
      <w:tblPr>
        <w:tblW w:w="4382" w:type="pct"/>
        <w:tblLayout w:type="fixed"/>
        <w:tblCellMar>
          <w:left w:w="70" w:type="dxa"/>
          <w:right w:w="70" w:type="dxa"/>
        </w:tblCellMar>
        <w:tblLook w:val="04A0" w:firstRow="1" w:lastRow="0" w:firstColumn="1" w:lastColumn="0" w:noHBand="0" w:noVBand="1"/>
      </w:tblPr>
      <w:tblGrid>
        <w:gridCol w:w="4964"/>
        <w:gridCol w:w="707"/>
        <w:gridCol w:w="283"/>
        <w:gridCol w:w="1417"/>
        <w:gridCol w:w="285"/>
        <w:gridCol w:w="1413"/>
      </w:tblGrid>
      <w:tr w:rsidR="00525587" w:rsidRPr="0009028A" w14:paraId="2AC3FFEC" w14:textId="77777777" w:rsidTr="00E97933">
        <w:trPr>
          <w:trHeight w:val="227"/>
        </w:trPr>
        <w:tc>
          <w:tcPr>
            <w:tcW w:w="2737" w:type="pct"/>
            <w:shd w:val="clear" w:color="auto" w:fill="auto"/>
            <w:noWrap/>
            <w:hideMark/>
          </w:tcPr>
          <w:p w14:paraId="1CCB74EB" w14:textId="77777777" w:rsidR="00525587" w:rsidRPr="0009028A" w:rsidRDefault="00525587" w:rsidP="00CA5E2B">
            <w:pPr>
              <w:spacing w:after="0" w:line="240" w:lineRule="auto"/>
              <w:rPr>
                <w:rFonts w:ascii="Arial" w:eastAsia="Times New Roman" w:hAnsi="Arial" w:cs="Arial"/>
                <w:sz w:val="18"/>
                <w:szCs w:val="18"/>
                <w:lang w:eastAsia="es-CO"/>
              </w:rPr>
            </w:pPr>
          </w:p>
        </w:tc>
        <w:tc>
          <w:tcPr>
            <w:tcW w:w="390" w:type="pct"/>
            <w:shd w:val="clear" w:color="auto" w:fill="auto"/>
            <w:vAlign w:val="center"/>
            <w:hideMark/>
          </w:tcPr>
          <w:p w14:paraId="44512EC4" w14:textId="77777777" w:rsidR="00525587" w:rsidRPr="0009028A" w:rsidRDefault="00525587" w:rsidP="00BA5F4D">
            <w:pPr>
              <w:spacing w:after="0" w:line="240" w:lineRule="auto"/>
              <w:jc w:val="center"/>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Notas</w:t>
            </w:r>
          </w:p>
        </w:tc>
        <w:tc>
          <w:tcPr>
            <w:tcW w:w="156" w:type="pct"/>
            <w:vAlign w:val="center"/>
          </w:tcPr>
          <w:p w14:paraId="797BF568" w14:textId="77777777" w:rsidR="00525587" w:rsidRPr="0009028A" w:rsidRDefault="00525587" w:rsidP="00BA5F4D">
            <w:pPr>
              <w:spacing w:after="0" w:line="240" w:lineRule="auto"/>
              <w:jc w:val="center"/>
              <w:rPr>
                <w:rFonts w:ascii="Arial" w:eastAsia="Times New Roman" w:hAnsi="Arial" w:cs="Arial"/>
                <w:b/>
                <w:bCs/>
                <w:sz w:val="18"/>
                <w:szCs w:val="18"/>
                <w:lang w:eastAsia="es-CO"/>
              </w:rPr>
            </w:pPr>
          </w:p>
        </w:tc>
        <w:tc>
          <w:tcPr>
            <w:tcW w:w="781" w:type="pct"/>
            <w:shd w:val="clear" w:color="auto" w:fill="auto"/>
            <w:noWrap/>
            <w:hideMark/>
          </w:tcPr>
          <w:p w14:paraId="23829FAD" w14:textId="77777777" w:rsidR="00525587" w:rsidRPr="0009028A" w:rsidRDefault="00525587" w:rsidP="00CA5E2B">
            <w:pPr>
              <w:spacing w:after="0" w:line="240" w:lineRule="auto"/>
              <w:jc w:val="center"/>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2019</w:t>
            </w:r>
          </w:p>
        </w:tc>
        <w:tc>
          <w:tcPr>
            <w:tcW w:w="157" w:type="pct"/>
          </w:tcPr>
          <w:p w14:paraId="6D3C361C" w14:textId="77777777" w:rsidR="00525587" w:rsidRPr="0009028A" w:rsidRDefault="00525587" w:rsidP="00CA5E2B">
            <w:pPr>
              <w:spacing w:after="0" w:line="240" w:lineRule="auto"/>
              <w:jc w:val="center"/>
              <w:rPr>
                <w:rFonts w:ascii="Arial" w:eastAsia="Times New Roman" w:hAnsi="Arial" w:cs="Arial"/>
                <w:b/>
                <w:bCs/>
                <w:sz w:val="18"/>
                <w:szCs w:val="18"/>
                <w:lang w:eastAsia="es-CO"/>
              </w:rPr>
            </w:pPr>
          </w:p>
        </w:tc>
        <w:tc>
          <w:tcPr>
            <w:tcW w:w="779" w:type="pct"/>
            <w:shd w:val="clear" w:color="auto" w:fill="auto"/>
          </w:tcPr>
          <w:p w14:paraId="6534844A" w14:textId="0B1CDC4D" w:rsidR="00525587" w:rsidRPr="0009028A" w:rsidRDefault="00525587" w:rsidP="00CA5E2B">
            <w:pPr>
              <w:spacing w:after="0" w:line="240" w:lineRule="auto"/>
              <w:jc w:val="center"/>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2018</w:t>
            </w:r>
          </w:p>
        </w:tc>
      </w:tr>
      <w:tr w:rsidR="00525587" w:rsidRPr="0009028A" w14:paraId="49542661" w14:textId="77777777" w:rsidTr="00E97933">
        <w:trPr>
          <w:trHeight w:val="227"/>
        </w:trPr>
        <w:tc>
          <w:tcPr>
            <w:tcW w:w="2737" w:type="pct"/>
            <w:shd w:val="clear" w:color="auto" w:fill="auto"/>
            <w:noWrap/>
            <w:vAlign w:val="bottom"/>
            <w:hideMark/>
          </w:tcPr>
          <w:p w14:paraId="3C3DCFEF" w14:textId="77777777" w:rsidR="00525587" w:rsidRPr="0009028A" w:rsidRDefault="00525587" w:rsidP="00CA5E2B">
            <w:pPr>
              <w:spacing w:after="0" w:line="240" w:lineRule="auto"/>
              <w:jc w:val="center"/>
              <w:rPr>
                <w:rFonts w:ascii="Arial" w:eastAsia="Times New Roman" w:hAnsi="Arial" w:cs="Arial"/>
                <w:b/>
                <w:bCs/>
                <w:sz w:val="18"/>
                <w:szCs w:val="18"/>
                <w:lang w:eastAsia="es-CO"/>
              </w:rPr>
            </w:pPr>
          </w:p>
        </w:tc>
        <w:tc>
          <w:tcPr>
            <w:tcW w:w="390" w:type="pct"/>
            <w:shd w:val="clear" w:color="auto" w:fill="auto"/>
            <w:noWrap/>
            <w:vAlign w:val="center"/>
            <w:hideMark/>
          </w:tcPr>
          <w:p w14:paraId="2A5EDD71" w14:textId="77777777" w:rsidR="00525587" w:rsidRPr="0009028A" w:rsidRDefault="00525587" w:rsidP="00BA5F4D">
            <w:pPr>
              <w:spacing w:after="0" w:line="240" w:lineRule="auto"/>
              <w:jc w:val="center"/>
              <w:rPr>
                <w:rFonts w:ascii="Arial" w:eastAsia="Times New Roman" w:hAnsi="Arial" w:cs="Arial"/>
                <w:sz w:val="18"/>
                <w:szCs w:val="18"/>
                <w:lang w:eastAsia="es-CO"/>
              </w:rPr>
            </w:pPr>
          </w:p>
        </w:tc>
        <w:tc>
          <w:tcPr>
            <w:tcW w:w="156" w:type="pct"/>
            <w:vAlign w:val="center"/>
          </w:tcPr>
          <w:p w14:paraId="1461F4D2" w14:textId="77777777" w:rsidR="00525587" w:rsidRPr="0009028A" w:rsidRDefault="00525587" w:rsidP="00BA5F4D">
            <w:pPr>
              <w:spacing w:after="0" w:line="240" w:lineRule="auto"/>
              <w:jc w:val="center"/>
              <w:rPr>
                <w:rFonts w:ascii="Arial" w:eastAsia="Times New Roman" w:hAnsi="Arial" w:cs="Arial"/>
                <w:sz w:val="18"/>
                <w:szCs w:val="18"/>
                <w:lang w:eastAsia="es-CO"/>
              </w:rPr>
            </w:pPr>
          </w:p>
        </w:tc>
        <w:tc>
          <w:tcPr>
            <w:tcW w:w="781" w:type="pct"/>
            <w:shd w:val="clear" w:color="auto" w:fill="auto"/>
            <w:noWrap/>
            <w:vAlign w:val="bottom"/>
            <w:hideMark/>
          </w:tcPr>
          <w:p w14:paraId="0CF9DBAF" w14:textId="77777777" w:rsidR="00525587" w:rsidRPr="0009028A" w:rsidRDefault="00525587" w:rsidP="00CA5E2B">
            <w:pPr>
              <w:spacing w:after="0" w:line="240" w:lineRule="auto"/>
              <w:rPr>
                <w:rFonts w:ascii="Arial" w:eastAsia="Times New Roman" w:hAnsi="Arial" w:cs="Arial"/>
                <w:sz w:val="18"/>
                <w:szCs w:val="18"/>
                <w:lang w:eastAsia="es-CO"/>
              </w:rPr>
            </w:pPr>
          </w:p>
        </w:tc>
        <w:tc>
          <w:tcPr>
            <w:tcW w:w="157" w:type="pct"/>
          </w:tcPr>
          <w:p w14:paraId="7CF3E6C3" w14:textId="77777777" w:rsidR="00525587" w:rsidRPr="0009028A" w:rsidRDefault="00525587" w:rsidP="00CA5E2B">
            <w:pPr>
              <w:spacing w:after="0" w:line="240" w:lineRule="auto"/>
              <w:rPr>
                <w:rFonts w:ascii="Arial" w:eastAsia="Times New Roman" w:hAnsi="Arial" w:cs="Arial"/>
                <w:sz w:val="18"/>
                <w:szCs w:val="18"/>
                <w:lang w:eastAsia="es-CO"/>
              </w:rPr>
            </w:pPr>
          </w:p>
        </w:tc>
        <w:tc>
          <w:tcPr>
            <w:tcW w:w="779" w:type="pct"/>
            <w:shd w:val="clear" w:color="auto" w:fill="auto"/>
          </w:tcPr>
          <w:p w14:paraId="686D6F4F" w14:textId="39F4BC98" w:rsidR="00525587" w:rsidRPr="0009028A" w:rsidRDefault="00525587" w:rsidP="00CA5E2B">
            <w:pPr>
              <w:spacing w:after="0" w:line="240" w:lineRule="auto"/>
              <w:rPr>
                <w:rFonts w:ascii="Arial" w:eastAsia="Times New Roman" w:hAnsi="Arial" w:cs="Arial"/>
                <w:sz w:val="18"/>
                <w:szCs w:val="18"/>
                <w:lang w:eastAsia="es-CO"/>
              </w:rPr>
            </w:pPr>
          </w:p>
        </w:tc>
      </w:tr>
      <w:tr w:rsidR="00525587" w:rsidRPr="0009028A" w14:paraId="774A889E" w14:textId="77777777" w:rsidTr="00E97933">
        <w:trPr>
          <w:trHeight w:val="227"/>
        </w:trPr>
        <w:tc>
          <w:tcPr>
            <w:tcW w:w="2737" w:type="pct"/>
            <w:shd w:val="clear" w:color="auto" w:fill="auto"/>
            <w:noWrap/>
            <w:vAlign w:val="center"/>
            <w:hideMark/>
          </w:tcPr>
          <w:p w14:paraId="3C513AAB" w14:textId="77777777" w:rsidR="00525587" w:rsidRPr="0009028A" w:rsidRDefault="00525587" w:rsidP="00BA5F4D">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Ingresos de actividades ordinarias</w:t>
            </w:r>
          </w:p>
        </w:tc>
        <w:tc>
          <w:tcPr>
            <w:tcW w:w="390" w:type="pct"/>
            <w:shd w:val="clear" w:color="auto" w:fill="auto"/>
            <w:noWrap/>
            <w:vAlign w:val="center"/>
          </w:tcPr>
          <w:p w14:paraId="13448D63" w14:textId="7D812AE2" w:rsidR="00525587" w:rsidRPr="0009028A" w:rsidRDefault="00525587" w:rsidP="00BA5F4D">
            <w:pPr>
              <w:spacing w:after="0" w:line="240" w:lineRule="auto"/>
              <w:jc w:val="center"/>
              <w:rPr>
                <w:rFonts w:ascii="Arial" w:eastAsia="Times New Roman" w:hAnsi="Arial" w:cs="Arial"/>
                <w:sz w:val="18"/>
                <w:szCs w:val="18"/>
                <w:lang w:eastAsia="es-CO"/>
              </w:rPr>
            </w:pPr>
            <w:r w:rsidRPr="0009028A">
              <w:rPr>
                <w:rFonts w:ascii="Arial" w:eastAsia="Times New Roman" w:hAnsi="Arial" w:cs="Arial"/>
                <w:sz w:val="18"/>
                <w:szCs w:val="18"/>
                <w:lang w:eastAsia="es-CO"/>
              </w:rPr>
              <w:t>1</w:t>
            </w:r>
            <w:r w:rsidR="00964E83">
              <w:rPr>
                <w:rFonts w:ascii="Arial" w:eastAsia="Times New Roman" w:hAnsi="Arial" w:cs="Arial"/>
                <w:sz w:val="18"/>
                <w:szCs w:val="18"/>
                <w:lang w:eastAsia="es-CO"/>
              </w:rPr>
              <w:t>9</w:t>
            </w:r>
          </w:p>
        </w:tc>
        <w:tc>
          <w:tcPr>
            <w:tcW w:w="156" w:type="pct"/>
            <w:vAlign w:val="center"/>
          </w:tcPr>
          <w:p w14:paraId="47F0CB95" w14:textId="77777777" w:rsidR="00525587" w:rsidRPr="0009028A" w:rsidRDefault="00525587" w:rsidP="00BA5F4D">
            <w:pPr>
              <w:spacing w:after="0" w:line="240" w:lineRule="auto"/>
              <w:jc w:val="center"/>
              <w:rPr>
                <w:rFonts w:ascii="Arial" w:hAnsi="Arial" w:cs="Arial"/>
                <w:sz w:val="18"/>
                <w:szCs w:val="18"/>
              </w:rPr>
            </w:pPr>
            <w:r w:rsidRPr="0009028A">
              <w:rPr>
                <w:rFonts w:ascii="Arial" w:hAnsi="Arial" w:cs="Arial"/>
                <w:sz w:val="18"/>
                <w:szCs w:val="18"/>
              </w:rPr>
              <w:t>$</w:t>
            </w:r>
          </w:p>
        </w:tc>
        <w:tc>
          <w:tcPr>
            <w:tcW w:w="781" w:type="pct"/>
            <w:shd w:val="clear" w:color="auto" w:fill="auto"/>
            <w:noWrap/>
            <w:vAlign w:val="center"/>
          </w:tcPr>
          <w:p w14:paraId="7BBEEAF1" w14:textId="77777777" w:rsidR="00525587" w:rsidRPr="00E97933" w:rsidRDefault="00525587" w:rsidP="00E97933">
            <w:pPr>
              <w:spacing w:after="0" w:line="240" w:lineRule="auto"/>
              <w:jc w:val="right"/>
              <w:rPr>
                <w:rFonts w:ascii="Arial" w:hAnsi="Arial" w:cs="Arial"/>
                <w:b/>
                <w:sz w:val="18"/>
                <w:szCs w:val="18"/>
              </w:rPr>
            </w:pPr>
            <w:r w:rsidRPr="00E97933">
              <w:rPr>
                <w:rFonts w:ascii="Arial" w:hAnsi="Arial" w:cs="Arial"/>
                <w:b/>
                <w:sz w:val="18"/>
                <w:szCs w:val="18"/>
              </w:rPr>
              <w:t>70.648.341</w:t>
            </w:r>
          </w:p>
        </w:tc>
        <w:tc>
          <w:tcPr>
            <w:tcW w:w="157" w:type="pct"/>
            <w:vAlign w:val="center"/>
          </w:tcPr>
          <w:p w14:paraId="017401FD" w14:textId="77777777" w:rsidR="00525587" w:rsidRPr="00E97933" w:rsidRDefault="00525587" w:rsidP="00E97933">
            <w:pPr>
              <w:spacing w:after="0" w:line="240" w:lineRule="auto"/>
              <w:jc w:val="right"/>
              <w:rPr>
                <w:rFonts w:ascii="Arial" w:hAnsi="Arial" w:cs="Arial"/>
                <w:b/>
                <w:sz w:val="18"/>
                <w:szCs w:val="18"/>
              </w:rPr>
            </w:pPr>
          </w:p>
        </w:tc>
        <w:tc>
          <w:tcPr>
            <w:tcW w:w="779" w:type="pct"/>
            <w:shd w:val="clear" w:color="auto" w:fill="auto"/>
            <w:vAlign w:val="center"/>
          </w:tcPr>
          <w:p w14:paraId="66481B41" w14:textId="33E8B4FC" w:rsidR="00525587" w:rsidRPr="00E97933" w:rsidRDefault="00525587" w:rsidP="00E97933">
            <w:pPr>
              <w:spacing w:after="0" w:line="240" w:lineRule="auto"/>
              <w:jc w:val="right"/>
              <w:rPr>
                <w:rFonts w:ascii="Arial" w:hAnsi="Arial" w:cs="Arial"/>
                <w:b/>
                <w:sz w:val="18"/>
                <w:szCs w:val="18"/>
              </w:rPr>
            </w:pPr>
            <w:r w:rsidRPr="00E97933">
              <w:rPr>
                <w:rFonts w:ascii="Arial" w:hAnsi="Arial" w:cs="Arial"/>
                <w:b/>
                <w:sz w:val="18"/>
                <w:szCs w:val="18"/>
              </w:rPr>
              <w:t>67.985.167</w:t>
            </w:r>
          </w:p>
        </w:tc>
      </w:tr>
      <w:tr w:rsidR="00525587" w:rsidRPr="0009028A" w14:paraId="5909BCF6" w14:textId="77777777" w:rsidTr="00E97933">
        <w:trPr>
          <w:trHeight w:val="227"/>
        </w:trPr>
        <w:tc>
          <w:tcPr>
            <w:tcW w:w="2737" w:type="pct"/>
            <w:shd w:val="clear" w:color="auto" w:fill="auto"/>
            <w:noWrap/>
            <w:vAlign w:val="center"/>
            <w:hideMark/>
          </w:tcPr>
          <w:p w14:paraId="016806D8" w14:textId="77777777" w:rsidR="00525587" w:rsidRPr="0009028A" w:rsidRDefault="00525587" w:rsidP="00BA5F4D">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Costo de actividades ordinarias</w:t>
            </w:r>
          </w:p>
        </w:tc>
        <w:tc>
          <w:tcPr>
            <w:tcW w:w="390" w:type="pct"/>
            <w:shd w:val="clear" w:color="auto" w:fill="auto"/>
            <w:noWrap/>
            <w:vAlign w:val="center"/>
          </w:tcPr>
          <w:p w14:paraId="0EDB403F" w14:textId="54DA942F" w:rsidR="00525587" w:rsidRPr="0009028A" w:rsidRDefault="00964E83" w:rsidP="00BA5F4D">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20</w:t>
            </w:r>
          </w:p>
        </w:tc>
        <w:tc>
          <w:tcPr>
            <w:tcW w:w="156" w:type="pct"/>
            <w:vAlign w:val="center"/>
          </w:tcPr>
          <w:p w14:paraId="0C3C7813" w14:textId="77777777" w:rsidR="00525587" w:rsidRPr="0009028A" w:rsidRDefault="00525587" w:rsidP="00BA5F4D">
            <w:pPr>
              <w:spacing w:after="0" w:line="240" w:lineRule="auto"/>
              <w:jc w:val="center"/>
              <w:rPr>
                <w:rFonts w:ascii="Arial" w:hAnsi="Arial" w:cs="Arial"/>
                <w:sz w:val="18"/>
                <w:szCs w:val="18"/>
              </w:rPr>
            </w:pPr>
          </w:p>
        </w:tc>
        <w:tc>
          <w:tcPr>
            <w:tcW w:w="781" w:type="pct"/>
            <w:tcBorders>
              <w:bottom w:val="single" w:sz="4" w:space="0" w:color="auto"/>
            </w:tcBorders>
            <w:shd w:val="clear" w:color="auto" w:fill="auto"/>
            <w:noWrap/>
            <w:vAlign w:val="center"/>
          </w:tcPr>
          <w:p w14:paraId="06D71EF3" w14:textId="4DF4D06D" w:rsidR="00525587" w:rsidRPr="00E97933" w:rsidRDefault="00525587" w:rsidP="00E97933">
            <w:pPr>
              <w:spacing w:after="0" w:line="240" w:lineRule="auto"/>
              <w:jc w:val="right"/>
              <w:rPr>
                <w:rFonts w:ascii="Arial" w:hAnsi="Arial" w:cs="Arial"/>
                <w:sz w:val="18"/>
                <w:szCs w:val="18"/>
              </w:rPr>
            </w:pPr>
            <w:r w:rsidRPr="00E97933">
              <w:rPr>
                <w:rFonts w:ascii="Arial" w:hAnsi="Arial" w:cs="Arial"/>
                <w:sz w:val="18"/>
                <w:szCs w:val="18"/>
              </w:rPr>
              <w:t>(66.523)</w:t>
            </w:r>
          </w:p>
        </w:tc>
        <w:tc>
          <w:tcPr>
            <w:tcW w:w="157" w:type="pct"/>
            <w:vAlign w:val="center"/>
          </w:tcPr>
          <w:p w14:paraId="090009BC" w14:textId="77777777" w:rsidR="00525587" w:rsidRPr="00E97933" w:rsidRDefault="00525587" w:rsidP="00E97933">
            <w:pPr>
              <w:spacing w:after="0" w:line="240" w:lineRule="auto"/>
              <w:jc w:val="right"/>
              <w:rPr>
                <w:rFonts w:ascii="Arial" w:hAnsi="Arial" w:cs="Arial"/>
                <w:sz w:val="18"/>
                <w:szCs w:val="18"/>
              </w:rPr>
            </w:pPr>
          </w:p>
        </w:tc>
        <w:tc>
          <w:tcPr>
            <w:tcW w:w="779" w:type="pct"/>
            <w:tcBorders>
              <w:bottom w:val="single" w:sz="4" w:space="0" w:color="auto"/>
            </w:tcBorders>
            <w:shd w:val="clear" w:color="auto" w:fill="auto"/>
            <w:vAlign w:val="center"/>
          </w:tcPr>
          <w:p w14:paraId="05CB084A" w14:textId="3DF6B03A" w:rsidR="00525587" w:rsidRPr="00E97933" w:rsidRDefault="00525587" w:rsidP="00E97933">
            <w:pPr>
              <w:spacing w:after="0" w:line="240" w:lineRule="auto"/>
              <w:jc w:val="right"/>
              <w:rPr>
                <w:rFonts w:ascii="Arial" w:hAnsi="Arial" w:cs="Arial"/>
                <w:sz w:val="18"/>
                <w:szCs w:val="18"/>
              </w:rPr>
            </w:pPr>
            <w:r w:rsidRPr="00E97933">
              <w:rPr>
                <w:rFonts w:ascii="Arial" w:hAnsi="Arial" w:cs="Arial"/>
                <w:sz w:val="18"/>
                <w:szCs w:val="18"/>
              </w:rPr>
              <w:t>(363.697)</w:t>
            </w:r>
          </w:p>
        </w:tc>
      </w:tr>
      <w:tr w:rsidR="00525587" w:rsidRPr="0009028A" w14:paraId="3D23FD67" w14:textId="77777777" w:rsidTr="00E97933">
        <w:trPr>
          <w:trHeight w:val="227"/>
        </w:trPr>
        <w:tc>
          <w:tcPr>
            <w:tcW w:w="2737" w:type="pct"/>
            <w:shd w:val="clear" w:color="auto" w:fill="auto"/>
            <w:noWrap/>
            <w:vAlign w:val="center"/>
            <w:hideMark/>
          </w:tcPr>
          <w:p w14:paraId="65A302CB" w14:textId="77777777" w:rsidR="00525587" w:rsidRPr="0009028A" w:rsidRDefault="00525587" w:rsidP="00BA5F4D">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Utilidad bruta</w:t>
            </w:r>
          </w:p>
        </w:tc>
        <w:tc>
          <w:tcPr>
            <w:tcW w:w="390" w:type="pct"/>
            <w:shd w:val="clear" w:color="auto" w:fill="auto"/>
            <w:noWrap/>
            <w:vAlign w:val="center"/>
          </w:tcPr>
          <w:p w14:paraId="39AF0A9A" w14:textId="77777777" w:rsidR="00525587" w:rsidRPr="0009028A" w:rsidRDefault="00525587" w:rsidP="00BA5F4D">
            <w:pPr>
              <w:spacing w:after="0" w:line="240" w:lineRule="auto"/>
              <w:jc w:val="center"/>
              <w:rPr>
                <w:rFonts w:ascii="Arial" w:eastAsia="Times New Roman" w:hAnsi="Arial" w:cs="Arial"/>
                <w:sz w:val="18"/>
                <w:szCs w:val="18"/>
                <w:lang w:eastAsia="es-CO"/>
              </w:rPr>
            </w:pPr>
          </w:p>
        </w:tc>
        <w:tc>
          <w:tcPr>
            <w:tcW w:w="156" w:type="pct"/>
            <w:vAlign w:val="center"/>
          </w:tcPr>
          <w:p w14:paraId="0B367C28" w14:textId="77777777" w:rsidR="00525587" w:rsidRPr="0009028A" w:rsidRDefault="00525587" w:rsidP="00BA5F4D">
            <w:pPr>
              <w:spacing w:after="0" w:line="240" w:lineRule="auto"/>
              <w:jc w:val="center"/>
              <w:rPr>
                <w:rFonts w:ascii="Arial" w:hAnsi="Arial" w:cs="Arial"/>
                <w:sz w:val="18"/>
                <w:szCs w:val="18"/>
              </w:rPr>
            </w:pPr>
          </w:p>
        </w:tc>
        <w:tc>
          <w:tcPr>
            <w:tcW w:w="781" w:type="pct"/>
            <w:tcBorders>
              <w:top w:val="single" w:sz="4" w:space="0" w:color="auto"/>
            </w:tcBorders>
            <w:shd w:val="clear" w:color="auto" w:fill="auto"/>
            <w:noWrap/>
            <w:vAlign w:val="center"/>
          </w:tcPr>
          <w:p w14:paraId="4445C593" w14:textId="4F1475BC" w:rsidR="00525587" w:rsidRPr="00E97933" w:rsidRDefault="00525587" w:rsidP="00E97933">
            <w:pPr>
              <w:spacing w:after="0" w:line="240" w:lineRule="auto"/>
              <w:jc w:val="right"/>
              <w:rPr>
                <w:rFonts w:ascii="Arial" w:hAnsi="Arial" w:cs="Arial"/>
                <w:b/>
                <w:sz w:val="18"/>
                <w:szCs w:val="18"/>
              </w:rPr>
            </w:pPr>
            <w:r w:rsidRPr="00E97933">
              <w:rPr>
                <w:rFonts w:ascii="Arial" w:hAnsi="Arial" w:cs="Arial"/>
                <w:b/>
                <w:sz w:val="18"/>
                <w:szCs w:val="18"/>
              </w:rPr>
              <w:t>70.581.818</w:t>
            </w:r>
          </w:p>
        </w:tc>
        <w:tc>
          <w:tcPr>
            <w:tcW w:w="157" w:type="pct"/>
            <w:vAlign w:val="center"/>
          </w:tcPr>
          <w:p w14:paraId="5936CCB0" w14:textId="77777777" w:rsidR="00525587" w:rsidRPr="00E97933" w:rsidRDefault="00525587" w:rsidP="00E97933">
            <w:pPr>
              <w:spacing w:after="0" w:line="240" w:lineRule="auto"/>
              <w:jc w:val="right"/>
              <w:rPr>
                <w:rFonts w:ascii="Arial" w:hAnsi="Arial" w:cs="Arial"/>
                <w:b/>
                <w:sz w:val="18"/>
                <w:szCs w:val="18"/>
              </w:rPr>
            </w:pPr>
          </w:p>
        </w:tc>
        <w:tc>
          <w:tcPr>
            <w:tcW w:w="779" w:type="pct"/>
            <w:tcBorders>
              <w:top w:val="single" w:sz="4" w:space="0" w:color="auto"/>
            </w:tcBorders>
            <w:shd w:val="clear" w:color="auto" w:fill="auto"/>
            <w:vAlign w:val="center"/>
          </w:tcPr>
          <w:p w14:paraId="43B97756" w14:textId="07CC17ED" w:rsidR="00525587" w:rsidRPr="00E97933" w:rsidRDefault="00525587" w:rsidP="00E97933">
            <w:pPr>
              <w:spacing w:after="0" w:line="240" w:lineRule="auto"/>
              <w:jc w:val="right"/>
              <w:rPr>
                <w:rFonts w:ascii="Arial" w:hAnsi="Arial" w:cs="Arial"/>
                <w:b/>
                <w:sz w:val="18"/>
                <w:szCs w:val="18"/>
              </w:rPr>
            </w:pPr>
            <w:r w:rsidRPr="00E97933">
              <w:rPr>
                <w:rFonts w:ascii="Arial" w:hAnsi="Arial" w:cs="Arial"/>
                <w:b/>
                <w:sz w:val="18"/>
                <w:szCs w:val="18"/>
              </w:rPr>
              <w:t>67.621.470</w:t>
            </w:r>
          </w:p>
        </w:tc>
      </w:tr>
      <w:tr w:rsidR="00525587" w:rsidRPr="0009028A" w14:paraId="0DD8129F" w14:textId="77777777" w:rsidTr="00E97933">
        <w:trPr>
          <w:trHeight w:val="227"/>
        </w:trPr>
        <w:tc>
          <w:tcPr>
            <w:tcW w:w="2737" w:type="pct"/>
            <w:shd w:val="clear" w:color="auto" w:fill="auto"/>
            <w:noWrap/>
            <w:vAlign w:val="center"/>
            <w:hideMark/>
          </w:tcPr>
          <w:p w14:paraId="28BD261F" w14:textId="77777777" w:rsidR="00525587" w:rsidRPr="0009028A" w:rsidRDefault="00525587" w:rsidP="00BA5F4D">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 xml:space="preserve">Gastos de administración </w:t>
            </w:r>
          </w:p>
        </w:tc>
        <w:tc>
          <w:tcPr>
            <w:tcW w:w="390" w:type="pct"/>
            <w:shd w:val="clear" w:color="auto" w:fill="auto"/>
            <w:noWrap/>
            <w:vAlign w:val="center"/>
          </w:tcPr>
          <w:p w14:paraId="7B6C3499" w14:textId="02905E4B" w:rsidR="00525587" w:rsidRPr="0009028A" w:rsidRDefault="00964E83" w:rsidP="00BA5F4D">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21</w:t>
            </w:r>
          </w:p>
        </w:tc>
        <w:tc>
          <w:tcPr>
            <w:tcW w:w="156" w:type="pct"/>
            <w:vAlign w:val="center"/>
          </w:tcPr>
          <w:p w14:paraId="012ABA69" w14:textId="77777777" w:rsidR="00525587" w:rsidRPr="0009028A" w:rsidRDefault="00525587" w:rsidP="00BA5F4D">
            <w:pPr>
              <w:spacing w:after="0" w:line="240" w:lineRule="auto"/>
              <w:jc w:val="center"/>
              <w:rPr>
                <w:rFonts w:ascii="Arial" w:hAnsi="Arial" w:cs="Arial"/>
                <w:sz w:val="18"/>
                <w:szCs w:val="18"/>
              </w:rPr>
            </w:pPr>
          </w:p>
        </w:tc>
        <w:tc>
          <w:tcPr>
            <w:tcW w:w="781" w:type="pct"/>
            <w:shd w:val="clear" w:color="auto" w:fill="auto"/>
            <w:noWrap/>
            <w:vAlign w:val="center"/>
          </w:tcPr>
          <w:p w14:paraId="5F3E061D" w14:textId="48097531" w:rsidR="00525587" w:rsidRPr="00E97933" w:rsidRDefault="00525587" w:rsidP="00E97933">
            <w:pPr>
              <w:spacing w:after="0" w:line="240" w:lineRule="auto"/>
              <w:jc w:val="right"/>
              <w:rPr>
                <w:rFonts w:ascii="Arial" w:hAnsi="Arial" w:cs="Arial"/>
                <w:sz w:val="18"/>
                <w:szCs w:val="18"/>
              </w:rPr>
            </w:pPr>
            <w:r w:rsidRPr="00E97933">
              <w:rPr>
                <w:rFonts w:ascii="Arial" w:hAnsi="Arial" w:cs="Arial"/>
                <w:sz w:val="18"/>
                <w:szCs w:val="18"/>
              </w:rPr>
              <w:t>(16.593.251)</w:t>
            </w:r>
          </w:p>
        </w:tc>
        <w:tc>
          <w:tcPr>
            <w:tcW w:w="157" w:type="pct"/>
            <w:vAlign w:val="center"/>
          </w:tcPr>
          <w:p w14:paraId="7EF88B2B" w14:textId="77777777" w:rsidR="00525587" w:rsidRPr="00E97933" w:rsidRDefault="00525587" w:rsidP="00E97933">
            <w:pPr>
              <w:spacing w:after="0" w:line="240" w:lineRule="auto"/>
              <w:jc w:val="right"/>
              <w:rPr>
                <w:rFonts w:ascii="Arial" w:hAnsi="Arial" w:cs="Arial"/>
                <w:sz w:val="18"/>
                <w:szCs w:val="18"/>
              </w:rPr>
            </w:pPr>
          </w:p>
        </w:tc>
        <w:tc>
          <w:tcPr>
            <w:tcW w:w="779" w:type="pct"/>
            <w:shd w:val="clear" w:color="auto" w:fill="auto"/>
            <w:vAlign w:val="center"/>
          </w:tcPr>
          <w:p w14:paraId="697D7AAC" w14:textId="2657522F" w:rsidR="00525587" w:rsidRPr="00E97933" w:rsidRDefault="00525587" w:rsidP="00E97933">
            <w:pPr>
              <w:spacing w:after="0" w:line="240" w:lineRule="auto"/>
              <w:jc w:val="right"/>
              <w:rPr>
                <w:rFonts w:ascii="Arial" w:hAnsi="Arial" w:cs="Arial"/>
                <w:sz w:val="18"/>
                <w:szCs w:val="18"/>
              </w:rPr>
            </w:pPr>
            <w:r w:rsidRPr="00E97933">
              <w:rPr>
                <w:rFonts w:ascii="Arial" w:hAnsi="Arial" w:cs="Arial"/>
                <w:sz w:val="18"/>
                <w:szCs w:val="18"/>
              </w:rPr>
              <w:t>(18.772.654)</w:t>
            </w:r>
          </w:p>
        </w:tc>
      </w:tr>
      <w:tr w:rsidR="00525587" w:rsidRPr="0009028A" w14:paraId="5B5579E2" w14:textId="77777777" w:rsidTr="00E97933">
        <w:trPr>
          <w:trHeight w:val="227"/>
        </w:trPr>
        <w:tc>
          <w:tcPr>
            <w:tcW w:w="2737" w:type="pct"/>
            <w:shd w:val="clear" w:color="auto" w:fill="auto"/>
            <w:noWrap/>
            <w:vAlign w:val="center"/>
            <w:hideMark/>
          </w:tcPr>
          <w:p w14:paraId="50DFA101" w14:textId="77777777" w:rsidR="00525587" w:rsidRPr="0009028A" w:rsidRDefault="00525587" w:rsidP="00BA5F4D">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Otros ingresos (egresos), neto</w:t>
            </w:r>
          </w:p>
        </w:tc>
        <w:tc>
          <w:tcPr>
            <w:tcW w:w="390" w:type="pct"/>
            <w:shd w:val="clear" w:color="auto" w:fill="auto"/>
            <w:noWrap/>
            <w:vAlign w:val="center"/>
          </w:tcPr>
          <w:p w14:paraId="2E3075A3" w14:textId="58A428A0" w:rsidR="00525587" w:rsidRPr="0009028A" w:rsidRDefault="00964E83" w:rsidP="00BA5F4D">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22</w:t>
            </w:r>
          </w:p>
        </w:tc>
        <w:tc>
          <w:tcPr>
            <w:tcW w:w="156" w:type="pct"/>
            <w:vAlign w:val="center"/>
          </w:tcPr>
          <w:p w14:paraId="141DB2A1" w14:textId="77777777" w:rsidR="00525587" w:rsidRPr="0009028A" w:rsidRDefault="00525587" w:rsidP="00BA5F4D">
            <w:pPr>
              <w:spacing w:after="0" w:line="240" w:lineRule="auto"/>
              <w:jc w:val="center"/>
              <w:rPr>
                <w:rFonts w:ascii="Arial" w:hAnsi="Arial" w:cs="Arial"/>
                <w:sz w:val="18"/>
                <w:szCs w:val="18"/>
              </w:rPr>
            </w:pPr>
          </w:p>
        </w:tc>
        <w:tc>
          <w:tcPr>
            <w:tcW w:w="781" w:type="pct"/>
            <w:tcBorders>
              <w:bottom w:val="single" w:sz="4" w:space="0" w:color="auto"/>
            </w:tcBorders>
            <w:shd w:val="clear" w:color="auto" w:fill="auto"/>
            <w:noWrap/>
            <w:vAlign w:val="center"/>
          </w:tcPr>
          <w:p w14:paraId="525A77BF" w14:textId="7F7BBF0C" w:rsidR="00525587" w:rsidRPr="00E97933" w:rsidRDefault="00525587" w:rsidP="00E97933">
            <w:pPr>
              <w:spacing w:after="0" w:line="240" w:lineRule="auto"/>
              <w:jc w:val="right"/>
              <w:rPr>
                <w:rFonts w:ascii="Arial" w:hAnsi="Arial" w:cs="Arial"/>
                <w:sz w:val="18"/>
                <w:szCs w:val="18"/>
              </w:rPr>
            </w:pPr>
            <w:r w:rsidRPr="00E97933">
              <w:rPr>
                <w:rFonts w:ascii="Arial" w:hAnsi="Arial" w:cs="Arial"/>
                <w:sz w:val="18"/>
                <w:szCs w:val="18"/>
              </w:rPr>
              <w:t>2.276.170</w:t>
            </w:r>
          </w:p>
        </w:tc>
        <w:tc>
          <w:tcPr>
            <w:tcW w:w="157" w:type="pct"/>
            <w:vAlign w:val="center"/>
          </w:tcPr>
          <w:p w14:paraId="2E90609E" w14:textId="77777777" w:rsidR="00525587" w:rsidRPr="00E97933" w:rsidRDefault="00525587" w:rsidP="00E97933">
            <w:pPr>
              <w:spacing w:after="0" w:line="240" w:lineRule="auto"/>
              <w:jc w:val="right"/>
              <w:rPr>
                <w:rFonts w:ascii="Arial" w:hAnsi="Arial" w:cs="Arial"/>
                <w:sz w:val="18"/>
                <w:szCs w:val="18"/>
              </w:rPr>
            </w:pPr>
          </w:p>
        </w:tc>
        <w:tc>
          <w:tcPr>
            <w:tcW w:w="779" w:type="pct"/>
            <w:tcBorders>
              <w:bottom w:val="single" w:sz="4" w:space="0" w:color="auto"/>
            </w:tcBorders>
            <w:shd w:val="clear" w:color="auto" w:fill="auto"/>
            <w:vAlign w:val="center"/>
          </w:tcPr>
          <w:p w14:paraId="73B0A922" w14:textId="45548785" w:rsidR="00525587" w:rsidRPr="00E97933" w:rsidRDefault="00525587" w:rsidP="00E97933">
            <w:pPr>
              <w:spacing w:after="0" w:line="240" w:lineRule="auto"/>
              <w:jc w:val="right"/>
              <w:rPr>
                <w:rFonts w:ascii="Arial" w:hAnsi="Arial" w:cs="Arial"/>
                <w:sz w:val="18"/>
                <w:szCs w:val="18"/>
              </w:rPr>
            </w:pPr>
            <w:r w:rsidRPr="00E97933">
              <w:rPr>
                <w:rFonts w:ascii="Arial" w:hAnsi="Arial" w:cs="Arial"/>
                <w:sz w:val="18"/>
                <w:szCs w:val="18"/>
              </w:rPr>
              <w:t>(4.213.293)</w:t>
            </w:r>
          </w:p>
        </w:tc>
      </w:tr>
      <w:tr w:rsidR="00525587" w:rsidRPr="0009028A" w14:paraId="7A19D5F9" w14:textId="77777777" w:rsidTr="00E97933">
        <w:trPr>
          <w:trHeight w:val="227"/>
        </w:trPr>
        <w:tc>
          <w:tcPr>
            <w:tcW w:w="2737" w:type="pct"/>
            <w:shd w:val="clear" w:color="auto" w:fill="auto"/>
            <w:noWrap/>
            <w:vAlign w:val="center"/>
          </w:tcPr>
          <w:p w14:paraId="7931A8BE" w14:textId="77777777" w:rsidR="00525587" w:rsidRPr="0009028A" w:rsidRDefault="00525587" w:rsidP="00BA5F4D">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Utilidad de actividades operacionales</w:t>
            </w:r>
          </w:p>
        </w:tc>
        <w:tc>
          <w:tcPr>
            <w:tcW w:w="390" w:type="pct"/>
            <w:shd w:val="clear" w:color="auto" w:fill="auto"/>
            <w:noWrap/>
            <w:vAlign w:val="center"/>
          </w:tcPr>
          <w:p w14:paraId="01237278" w14:textId="77777777" w:rsidR="00525587" w:rsidRPr="0009028A" w:rsidRDefault="00525587" w:rsidP="00BA5F4D">
            <w:pPr>
              <w:spacing w:after="0" w:line="240" w:lineRule="auto"/>
              <w:jc w:val="center"/>
              <w:rPr>
                <w:rFonts w:ascii="Arial" w:eastAsia="Times New Roman" w:hAnsi="Arial" w:cs="Arial"/>
                <w:b/>
                <w:bCs/>
                <w:sz w:val="18"/>
                <w:szCs w:val="18"/>
                <w:lang w:eastAsia="es-CO"/>
              </w:rPr>
            </w:pPr>
          </w:p>
        </w:tc>
        <w:tc>
          <w:tcPr>
            <w:tcW w:w="156" w:type="pct"/>
            <w:vAlign w:val="center"/>
          </w:tcPr>
          <w:p w14:paraId="47EB195E" w14:textId="77777777" w:rsidR="00525587" w:rsidRPr="0009028A" w:rsidRDefault="00525587" w:rsidP="00BA5F4D">
            <w:pPr>
              <w:spacing w:after="0" w:line="240" w:lineRule="auto"/>
              <w:jc w:val="center"/>
              <w:rPr>
                <w:rFonts w:ascii="Arial" w:hAnsi="Arial" w:cs="Arial"/>
                <w:sz w:val="18"/>
                <w:szCs w:val="18"/>
              </w:rPr>
            </w:pPr>
            <w:r w:rsidRPr="0009028A">
              <w:rPr>
                <w:rFonts w:ascii="Arial" w:hAnsi="Arial" w:cs="Arial"/>
                <w:sz w:val="18"/>
                <w:szCs w:val="18"/>
              </w:rPr>
              <w:t>$</w:t>
            </w:r>
          </w:p>
        </w:tc>
        <w:tc>
          <w:tcPr>
            <w:tcW w:w="781" w:type="pct"/>
            <w:tcBorders>
              <w:top w:val="single" w:sz="4" w:space="0" w:color="auto"/>
            </w:tcBorders>
            <w:shd w:val="clear" w:color="auto" w:fill="auto"/>
            <w:noWrap/>
            <w:vAlign w:val="center"/>
          </w:tcPr>
          <w:p w14:paraId="213918B2" w14:textId="7BC1971F" w:rsidR="00525587" w:rsidRPr="00E97933" w:rsidRDefault="00525587" w:rsidP="00E97933">
            <w:pPr>
              <w:spacing w:after="0" w:line="240" w:lineRule="auto"/>
              <w:jc w:val="right"/>
              <w:rPr>
                <w:rFonts w:ascii="Arial" w:hAnsi="Arial" w:cs="Arial"/>
                <w:b/>
                <w:sz w:val="18"/>
                <w:szCs w:val="18"/>
              </w:rPr>
            </w:pPr>
            <w:r w:rsidRPr="00E97933">
              <w:rPr>
                <w:rFonts w:ascii="Arial" w:hAnsi="Arial" w:cs="Arial"/>
                <w:b/>
                <w:sz w:val="18"/>
                <w:szCs w:val="18"/>
              </w:rPr>
              <w:t>56.264.737</w:t>
            </w:r>
          </w:p>
        </w:tc>
        <w:tc>
          <w:tcPr>
            <w:tcW w:w="157" w:type="pct"/>
            <w:vAlign w:val="center"/>
          </w:tcPr>
          <w:p w14:paraId="28C30ACB" w14:textId="77777777" w:rsidR="00525587" w:rsidRPr="00E97933" w:rsidRDefault="00525587" w:rsidP="00E97933">
            <w:pPr>
              <w:spacing w:after="0" w:line="240" w:lineRule="auto"/>
              <w:jc w:val="right"/>
              <w:rPr>
                <w:rFonts w:ascii="Arial" w:hAnsi="Arial" w:cs="Arial"/>
                <w:b/>
                <w:bCs/>
                <w:sz w:val="18"/>
                <w:szCs w:val="18"/>
              </w:rPr>
            </w:pPr>
          </w:p>
        </w:tc>
        <w:tc>
          <w:tcPr>
            <w:tcW w:w="779" w:type="pct"/>
            <w:tcBorders>
              <w:top w:val="single" w:sz="4" w:space="0" w:color="auto"/>
            </w:tcBorders>
            <w:shd w:val="clear" w:color="auto" w:fill="auto"/>
            <w:vAlign w:val="center"/>
          </w:tcPr>
          <w:p w14:paraId="26753909" w14:textId="16077F3A" w:rsidR="00525587" w:rsidRPr="00E97933" w:rsidRDefault="00525587" w:rsidP="00E97933">
            <w:pPr>
              <w:spacing w:after="0" w:line="240" w:lineRule="auto"/>
              <w:jc w:val="right"/>
              <w:rPr>
                <w:rFonts w:ascii="Arial" w:hAnsi="Arial" w:cs="Arial"/>
                <w:b/>
                <w:bCs/>
                <w:sz w:val="18"/>
                <w:szCs w:val="18"/>
              </w:rPr>
            </w:pPr>
            <w:r w:rsidRPr="00E97933">
              <w:rPr>
                <w:rFonts w:ascii="Arial" w:hAnsi="Arial" w:cs="Arial"/>
                <w:b/>
                <w:bCs/>
                <w:sz w:val="18"/>
                <w:szCs w:val="18"/>
              </w:rPr>
              <w:t>44.635.523</w:t>
            </w:r>
          </w:p>
        </w:tc>
      </w:tr>
      <w:tr w:rsidR="00525587" w:rsidRPr="0009028A" w14:paraId="31E2AD79" w14:textId="77777777" w:rsidTr="00E97933">
        <w:trPr>
          <w:trHeight w:val="227"/>
        </w:trPr>
        <w:tc>
          <w:tcPr>
            <w:tcW w:w="2737" w:type="pct"/>
            <w:shd w:val="clear" w:color="auto" w:fill="auto"/>
            <w:noWrap/>
            <w:vAlign w:val="center"/>
            <w:hideMark/>
          </w:tcPr>
          <w:p w14:paraId="4C32AB24" w14:textId="77777777" w:rsidR="00525587" w:rsidRPr="0009028A" w:rsidRDefault="00525587" w:rsidP="00BA5F4D">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Ingresos (egresos) financieros, neto</w:t>
            </w:r>
          </w:p>
        </w:tc>
        <w:tc>
          <w:tcPr>
            <w:tcW w:w="390" w:type="pct"/>
            <w:shd w:val="clear" w:color="auto" w:fill="auto"/>
            <w:noWrap/>
            <w:vAlign w:val="center"/>
          </w:tcPr>
          <w:p w14:paraId="4EDC5D51" w14:textId="3FBFFEB4" w:rsidR="00525587" w:rsidRPr="0009028A" w:rsidRDefault="00964E83" w:rsidP="00BA5F4D">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23</w:t>
            </w:r>
          </w:p>
        </w:tc>
        <w:tc>
          <w:tcPr>
            <w:tcW w:w="156" w:type="pct"/>
            <w:vAlign w:val="center"/>
          </w:tcPr>
          <w:p w14:paraId="76F4D313" w14:textId="77777777" w:rsidR="00525587" w:rsidRPr="0009028A" w:rsidRDefault="00525587" w:rsidP="00BA5F4D">
            <w:pPr>
              <w:spacing w:after="0" w:line="240" w:lineRule="auto"/>
              <w:jc w:val="center"/>
              <w:rPr>
                <w:rFonts w:ascii="Arial" w:hAnsi="Arial" w:cs="Arial"/>
                <w:sz w:val="18"/>
                <w:szCs w:val="18"/>
              </w:rPr>
            </w:pPr>
          </w:p>
        </w:tc>
        <w:tc>
          <w:tcPr>
            <w:tcW w:w="781" w:type="pct"/>
            <w:tcBorders>
              <w:bottom w:val="single" w:sz="4" w:space="0" w:color="auto"/>
            </w:tcBorders>
            <w:shd w:val="clear" w:color="auto" w:fill="auto"/>
            <w:noWrap/>
            <w:vAlign w:val="center"/>
          </w:tcPr>
          <w:p w14:paraId="29527A43" w14:textId="7E7DA365" w:rsidR="00525587" w:rsidRPr="00E97933" w:rsidRDefault="00525587" w:rsidP="00E97933">
            <w:pPr>
              <w:spacing w:after="0" w:line="240" w:lineRule="auto"/>
              <w:jc w:val="right"/>
              <w:rPr>
                <w:rFonts w:ascii="Arial" w:hAnsi="Arial" w:cs="Arial"/>
                <w:sz w:val="18"/>
                <w:szCs w:val="18"/>
              </w:rPr>
            </w:pPr>
            <w:r w:rsidRPr="00E97933">
              <w:rPr>
                <w:rFonts w:ascii="Arial" w:hAnsi="Arial" w:cs="Arial"/>
                <w:sz w:val="18"/>
                <w:szCs w:val="18"/>
              </w:rPr>
              <w:t>(18.140.569)</w:t>
            </w:r>
          </w:p>
        </w:tc>
        <w:tc>
          <w:tcPr>
            <w:tcW w:w="157" w:type="pct"/>
            <w:vAlign w:val="center"/>
          </w:tcPr>
          <w:p w14:paraId="575FA80C" w14:textId="77777777" w:rsidR="00525587" w:rsidRPr="00E97933" w:rsidRDefault="00525587" w:rsidP="00E97933">
            <w:pPr>
              <w:spacing w:after="0" w:line="240" w:lineRule="auto"/>
              <w:jc w:val="right"/>
              <w:rPr>
                <w:rFonts w:ascii="Arial" w:hAnsi="Arial" w:cs="Arial"/>
                <w:sz w:val="18"/>
                <w:szCs w:val="18"/>
              </w:rPr>
            </w:pPr>
          </w:p>
        </w:tc>
        <w:tc>
          <w:tcPr>
            <w:tcW w:w="779" w:type="pct"/>
            <w:tcBorders>
              <w:bottom w:val="single" w:sz="4" w:space="0" w:color="auto"/>
            </w:tcBorders>
            <w:shd w:val="clear" w:color="auto" w:fill="auto"/>
            <w:vAlign w:val="center"/>
          </w:tcPr>
          <w:p w14:paraId="5C2927A4" w14:textId="5D81CB43" w:rsidR="00525587" w:rsidRPr="00E97933" w:rsidRDefault="00525587" w:rsidP="00E97933">
            <w:pPr>
              <w:spacing w:after="0" w:line="240" w:lineRule="auto"/>
              <w:jc w:val="right"/>
              <w:rPr>
                <w:rFonts w:ascii="Arial" w:hAnsi="Arial" w:cs="Arial"/>
                <w:sz w:val="18"/>
                <w:szCs w:val="18"/>
              </w:rPr>
            </w:pPr>
            <w:r w:rsidRPr="00E97933">
              <w:rPr>
                <w:rFonts w:ascii="Arial" w:hAnsi="Arial" w:cs="Arial"/>
                <w:sz w:val="18"/>
                <w:szCs w:val="18"/>
              </w:rPr>
              <w:t>(10.089.353)</w:t>
            </w:r>
          </w:p>
        </w:tc>
      </w:tr>
      <w:tr w:rsidR="00525587" w:rsidRPr="0009028A" w14:paraId="3428C619" w14:textId="77777777" w:rsidTr="00E97933">
        <w:trPr>
          <w:trHeight w:val="227"/>
        </w:trPr>
        <w:tc>
          <w:tcPr>
            <w:tcW w:w="2737" w:type="pct"/>
            <w:shd w:val="clear" w:color="auto" w:fill="auto"/>
            <w:noWrap/>
            <w:vAlign w:val="center"/>
            <w:hideMark/>
          </w:tcPr>
          <w:p w14:paraId="6025CE33" w14:textId="77777777" w:rsidR="00525587" w:rsidRPr="0009028A" w:rsidRDefault="00525587" w:rsidP="00BA5F4D">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Utilidad antes de impuestos</w:t>
            </w:r>
          </w:p>
        </w:tc>
        <w:tc>
          <w:tcPr>
            <w:tcW w:w="390" w:type="pct"/>
            <w:shd w:val="clear" w:color="auto" w:fill="auto"/>
            <w:noWrap/>
            <w:vAlign w:val="center"/>
          </w:tcPr>
          <w:p w14:paraId="2564732A" w14:textId="77777777" w:rsidR="00525587" w:rsidRPr="0009028A" w:rsidRDefault="00525587" w:rsidP="00BA5F4D">
            <w:pPr>
              <w:spacing w:after="0" w:line="240" w:lineRule="auto"/>
              <w:jc w:val="center"/>
              <w:rPr>
                <w:rFonts w:ascii="Arial" w:eastAsia="Times New Roman" w:hAnsi="Arial" w:cs="Arial"/>
                <w:b/>
                <w:bCs/>
                <w:sz w:val="18"/>
                <w:szCs w:val="18"/>
                <w:lang w:eastAsia="es-CO"/>
              </w:rPr>
            </w:pPr>
          </w:p>
        </w:tc>
        <w:tc>
          <w:tcPr>
            <w:tcW w:w="156" w:type="pct"/>
            <w:vAlign w:val="center"/>
          </w:tcPr>
          <w:p w14:paraId="19A2D6AC" w14:textId="77777777" w:rsidR="00525587" w:rsidRPr="0009028A" w:rsidRDefault="00525587" w:rsidP="00BA5F4D">
            <w:pPr>
              <w:spacing w:after="0" w:line="240" w:lineRule="auto"/>
              <w:jc w:val="center"/>
              <w:rPr>
                <w:rFonts w:ascii="Arial" w:hAnsi="Arial" w:cs="Arial"/>
                <w:bCs/>
                <w:sz w:val="18"/>
                <w:szCs w:val="18"/>
              </w:rPr>
            </w:pPr>
            <w:r w:rsidRPr="0009028A">
              <w:rPr>
                <w:rFonts w:ascii="Arial" w:hAnsi="Arial" w:cs="Arial"/>
                <w:bCs/>
                <w:sz w:val="18"/>
                <w:szCs w:val="18"/>
              </w:rPr>
              <w:t>$</w:t>
            </w:r>
          </w:p>
        </w:tc>
        <w:tc>
          <w:tcPr>
            <w:tcW w:w="781" w:type="pct"/>
            <w:tcBorders>
              <w:top w:val="single" w:sz="4" w:space="0" w:color="auto"/>
            </w:tcBorders>
            <w:shd w:val="clear" w:color="auto" w:fill="auto"/>
            <w:noWrap/>
            <w:vAlign w:val="center"/>
          </w:tcPr>
          <w:p w14:paraId="171231BE" w14:textId="56EC1BA3" w:rsidR="00525587" w:rsidRPr="00E97933" w:rsidRDefault="00525587" w:rsidP="00E97933">
            <w:pPr>
              <w:spacing w:after="0" w:line="240" w:lineRule="auto"/>
              <w:jc w:val="right"/>
              <w:rPr>
                <w:rFonts w:ascii="Arial" w:hAnsi="Arial" w:cs="Arial"/>
                <w:b/>
                <w:bCs/>
                <w:sz w:val="18"/>
                <w:szCs w:val="18"/>
              </w:rPr>
            </w:pPr>
            <w:r w:rsidRPr="00E97933">
              <w:rPr>
                <w:rFonts w:ascii="Arial" w:hAnsi="Arial" w:cs="Arial"/>
                <w:b/>
                <w:bCs/>
                <w:sz w:val="18"/>
                <w:szCs w:val="18"/>
              </w:rPr>
              <w:t>38.124.168</w:t>
            </w:r>
          </w:p>
        </w:tc>
        <w:tc>
          <w:tcPr>
            <w:tcW w:w="157" w:type="pct"/>
            <w:vAlign w:val="center"/>
          </w:tcPr>
          <w:p w14:paraId="309784E3" w14:textId="77777777" w:rsidR="00525587" w:rsidRPr="00E97933" w:rsidRDefault="00525587" w:rsidP="00E97933">
            <w:pPr>
              <w:spacing w:after="0" w:line="240" w:lineRule="auto"/>
              <w:jc w:val="right"/>
              <w:rPr>
                <w:rFonts w:ascii="Arial" w:hAnsi="Arial" w:cs="Arial"/>
                <w:b/>
                <w:sz w:val="18"/>
                <w:szCs w:val="18"/>
              </w:rPr>
            </w:pPr>
          </w:p>
        </w:tc>
        <w:tc>
          <w:tcPr>
            <w:tcW w:w="779" w:type="pct"/>
            <w:tcBorders>
              <w:top w:val="single" w:sz="4" w:space="0" w:color="auto"/>
            </w:tcBorders>
            <w:shd w:val="clear" w:color="auto" w:fill="auto"/>
            <w:vAlign w:val="center"/>
          </w:tcPr>
          <w:p w14:paraId="300B14C6" w14:textId="4E20BC09" w:rsidR="00525587" w:rsidRPr="00E97933" w:rsidRDefault="00525587" w:rsidP="00E97933">
            <w:pPr>
              <w:spacing w:after="0" w:line="240" w:lineRule="auto"/>
              <w:jc w:val="right"/>
              <w:rPr>
                <w:rFonts w:ascii="Arial" w:hAnsi="Arial" w:cs="Arial"/>
                <w:b/>
                <w:sz w:val="18"/>
                <w:szCs w:val="18"/>
              </w:rPr>
            </w:pPr>
            <w:r w:rsidRPr="00E97933">
              <w:rPr>
                <w:rFonts w:ascii="Arial" w:hAnsi="Arial" w:cs="Arial"/>
                <w:b/>
                <w:sz w:val="18"/>
                <w:szCs w:val="18"/>
              </w:rPr>
              <w:t>34.546.170</w:t>
            </w:r>
          </w:p>
        </w:tc>
      </w:tr>
      <w:tr w:rsidR="00525587" w:rsidRPr="0009028A" w14:paraId="281F04FE" w14:textId="77777777" w:rsidTr="00E97933">
        <w:trPr>
          <w:trHeight w:val="227"/>
        </w:trPr>
        <w:tc>
          <w:tcPr>
            <w:tcW w:w="2737" w:type="pct"/>
            <w:shd w:val="clear" w:color="auto" w:fill="auto"/>
            <w:noWrap/>
            <w:vAlign w:val="center"/>
            <w:hideMark/>
          </w:tcPr>
          <w:p w14:paraId="1B448294" w14:textId="77777777" w:rsidR="00525587" w:rsidRPr="0009028A" w:rsidRDefault="00525587" w:rsidP="00BA5F4D">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Impuesto sobre las ganancias</w:t>
            </w:r>
          </w:p>
        </w:tc>
        <w:tc>
          <w:tcPr>
            <w:tcW w:w="390" w:type="pct"/>
            <w:shd w:val="clear" w:color="auto" w:fill="auto"/>
            <w:noWrap/>
            <w:vAlign w:val="center"/>
          </w:tcPr>
          <w:p w14:paraId="2E5224E9" w14:textId="77777777" w:rsidR="00525587" w:rsidRPr="0009028A" w:rsidRDefault="00525587" w:rsidP="00BA5F4D">
            <w:pPr>
              <w:spacing w:after="0" w:line="240" w:lineRule="auto"/>
              <w:jc w:val="center"/>
              <w:rPr>
                <w:rFonts w:ascii="Arial" w:eastAsia="Times New Roman" w:hAnsi="Arial" w:cs="Arial"/>
                <w:sz w:val="18"/>
                <w:szCs w:val="18"/>
                <w:lang w:eastAsia="es-CO"/>
              </w:rPr>
            </w:pPr>
          </w:p>
        </w:tc>
        <w:tc>
          <w:tcPr>
            <w:tcW w:w="156" w:type="pct"/>
            <w:vAlign w:val="center"/>
          </w:tcPr>
          <w:p w14:paraId="205EBA84" w14:textId="77777777" w:rsidR="00525587" w:rsidRPr="0009028A" w:rsidRDefault="00525587" w:rsidP="00BA5F4D">
            <w:pPr>
              <w:spacing w:after="0" w:line="240" w:lineRule="auto"/>
              <w:jc w:val="center"/>
              <w:rPr>
                <w:rFonts w:ascii="Arial" w:hAnsi="Arial" w:cs="Arial"/>
                <w:sz w:val="18"/>
                <w:szCs w:val="18"/>
              </w:rPr>
            </w:pPr>
          </w:p>
        </w:tc>
        <w:tc>
          <w:tcPr>
            <w:tcW w:w="781" w:type="pct"/>
            <w:tcBorders>
              <w:bottom w:val="single" w:sz="4" w:space="0" w:color="auto"/>
            </w:tcBorders>
            <w:shd w:val="clear" w:color="auto" w:fill="auto"/>
            <w:noWrap/>
            <w:vAlign w:val="center"/>
          </w:tcPr>
          <w:p w14:paraId="6D261272" w14:textId="3127DC7D" w:rsidR="00525587" w:rsidRPr="00E97933" w:rsidRDefault="00525587" w:rsidP="00E97933">
            <w:pPr>
              <w:spacing w:after="0" w:line="240" w:lineRule="auto"/>
              <w:jc w:val="right"/>
              <w:rPr>
                <w:rFonts w:ascii="Arial" w:hAnsi="Arial" w:cs="Arial"/>
                <w:sz w:val="18"/>
                <w:szCs w:val="18"/>
              </w:rPr>
            </w:pPr>
            <w:r w:rsidRPr="00E97933">
              <w:rPr>
                <w:rFonts w:ascii="Arial" w:hAnsi="Arial" w:cs="Arial"/>
                <w:sz w:val="18"/>
                <w:szCs w:val="18"/>
              </w:rPr>
              <w:t>(12.313.593)</w:t>
            </w:r>
          </w:p>
        </w:tc>
        <w:tc>
          <w:tcPr>
            <w:tcW w:w="157" w:type="pct"/>
            <w:vAlign w:val="center"/>
          </w:tcPr>
          <w:p w14:paraId="6BA6B83C" w14:textId="77777777" w:rsidR="00525587" w:rsidRPr="00E97933" w:rsidRDefault="00525587" w:rsidP="00E97933">
            <w:pPr>
              <w:spacing w:after="0" w:line="240" w:lineRule="auto"/>
              <w:jc w:val="right"/>
              <w:rPr>
                <w:rFonts w:ascii="Arial" w:hAnsi="Arial" w:cs="Arial"/>
                <w:sz w:val="18"/>
                <w:szCs w:val="18"/>
              </w:rPr>
            </w:pPr>
          </w:p>
        </w:tc>
        <w:tc>
          <w:tcPr>
            <w:tcW w:w="779" w:type="pct"/>
            <w:tcBorders>
              <w:bottom w:val="single" w:sz="4" w:space="0" w:color="auto"/>
            </w:tcBorders>
            <w:shd w:val="clear" w:color="auto" w:fill="auto"/>
            <w:vAlign w:val="center"/>
          </w:tcPr>
          <w:p w14:paraId="689E9DF7" w14:textId="3FD1B8AE" w:rsidR="00525587" w:rsidRPr="00E97933" w:rsidRDefault="00525587" w:rsidP="00E97933">
            <w:pPr>
              <w:spacing w:after="0" w:line="240" w:lineRule="auto"/>
              <w:jc w:val="right"/>
              <w:rPr>
                <w:rFonts w:ascii="Arial" w:hAnsi="Arial" w:cs="Arial"/>
                <w:sz w:val="18"/>
                <w:szCs w:val="18"/>
              </w:rPr>
            </w:pPr>
            <w:r w:rsidRPr="00E97933">
              <w:rPr>
                <w:rFonts w:ascii="Arial" w:hAnsi="Arial" w:cs="Arial"/>
                <w:sz w:val="18"/>
                <w:szCs w:val="18"/>
              </w:rPr>
              <w:t>(14.401.614)</w:t>
            </w:r>
          </w:p>
        </w:tc>
      </w:tr>
      <w:tr w:rsidR="00525587" w:rsidRPr="0009028A" w14:paraId="637DBEFE" w14:textId="77777777" w:rsidTr="00E97933">
        <w:trPr>
          <w:trHeight w:val="227"/>
        </w:trPr>
        <w:tc>
          <w:tcPr>
            <w:tcW w:w="2737" w:type="pct"/>
            <w:shd w:val="clear" w:color="auto" w:fill="auto"/>
            <w:noWrap/>
            <w:vAlign w:val="center"/>
            <w:hideMark/>
          </w:tcPr>
          <w:p w14:paraId="490F4C34" w14:textId="77777777" w:rsidR="00525587" w:rsidRPr="0009028A" w:rsidRDefault="00525587" w:rsidP="00BA5F4D">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Utilidad neta</w:t>
            </w:r>
          </w:p>
        </w:tc>
        <w:tc>
          <w:tcPr>
            <w:tcW w:w="390" w:type="pct"/>
            <w:shd w:val="clear" w:color="auto" w:fill="auto"/>
            <w:noWrap/>
            <w:vAlign w:val="center"/>
          </w:tcPr>
          <w:p w14:paraId="6AEB4F1D" w14:textId="77777777" w:rsidR="00525587" w:rsidRPr="0009028A" w:rsidRDefault="00525587" w:rsidP="00BA5F4D">
            <w:pPr>
              <w:spacing w:after="0" w:line="240" w:lineRule="auto"/>
              <w:jc w:val="center"/>
              <w:rPr>
                <w:rFonts w:ascii="Arial" w:eastAsia="Times New Roman" w:hAnsi="Arial" w:cs="Arial"/>
                <w:sz w:val="18"/>
                <w:szCs w:val="18"/>
                <w:lang w:eastAsia="es-CO"/>
              </w:rPr>
            </w:pPr>
          </w:p>
        </w:tc>
        <w:tc>
          <w:tcPr>
            <w:tcW w:w="156" w:type="pct"/>
            <w:vAlign w:val="center"/>
          </w:tcPr>
          <w:p w14:paraId="6046FEC6" w14:textId="77777777" w:rsidR="00525587" w:rsidRPr="0009028A" w:rsidRDefault="00525587" w:rsidP="00BA5F4D">
            <w:pPr>
              <w:spacing w:after="0" w:line="240" w:lineRule="auto"/>
              <w:jc w:val="center"/>
              <w:rPr>
                <w:rFonts w:ascii="Arial" w:hAnsi="Arial" w:cs="Arial"/>
                <w:bCs/>
                <w:sz w:val="18"/>
                <w:szCs w:val="18"/>
              </w:rPr>
            </w:pPr>
            <w:r w:rsidRPr="0009028A">
              <w:rPr>
                <w:rFonts w:ascii="Arial" w:hAnsi="Arial" w:cs="Arial"/>
                <w:bCs/>
                <w:sz w:val="18"/>
                <w:szCs w:val="18"/>
              </w:rPr>
              <w:t>$</w:t>
            </w:r>
          </w:p>
        </w:tc>
        <w:tc>
          <w:tcPr>
            <w:tcW w:w="781" w:type="pct"/>
            <w:tcBorders>
              <w:top w:val="single" w:sz="4" w:space="0" w:color="auto"/>
              <w:bottom w:val="double" w:sz="4" w:space="0" w:color="auto"/>
            </w:tcBorders>
            <w:shd w:val="clear" w:color="auto" w:fill="auto"/>
            <w:noWrap/>
            <w:vAlign w:val="center"/>
          </w:tcPr>
          <w:p w14:paraId="1EA8D9DC" w14:textId="456959AB" w:rsidR="00525587" w:rsidRPr="00E97933" w:rsidRDefault="00525587" w:rsidP="00E97933">
            <w:pPr>
              <w:spacing w:after="0" w:line="240" w:lineRule="auto"/>
              <w:jc w:val="right"/>
              <w:rPr>
                <w:rFonts w:ascii="Arial" w:hAnsi="Arial" w:cs="Arial"/>
                <w:b/>
                <w:bCs/>
                <w:sz w:val="18"/>
                <w:szCs w:val="18"/>
              </w:rPr>
            </w:pPr>
            <w:r w:rsidRPr="00E97933">
              <w:rPr>
                <w:rFonts w:ascii="Arial" w:hAnsi="Arial" w:cs="Arial"/>
                <w:b/>
                <w:bCs/>
                <w:sz w:val="18"/>
                <w:szCs w:val="18"/>
              </w:rPr>
              <w:t>25.810.575</w:t>
            </w:r>
          </w:p>
        </w:tc>
        <w:tc>
          <w:tcPr>
            <w:tcW w:w="157" w:type="pct"/>
            <w:vAlign w:val="center"/>
          </w:tcPr>
          <w:p w14:paraId="17EA21DB" w14:textId="77777777" w:rsidR="00525587" w:rsidRPr="00E97933" w:rsidRDefault="00525587" w:rsidP="00E97933">
            <w:pPr>
              <w:spacing w:after="0" w:line="240" w:lineRule="auto"/>
              <w:jc w:val="right"/>
              <w:rPr>
                <w:rFonts w:ascii="Arial" w:hAnsi="Arial" w:cs="Arial"/>
                <w:b/>
                <w:sz w:val="18"/>
                <w:szCs w:val="18"/>
              </w:rPr>
            </w:pPr>
          </w:p>
        </w:tc>
        <w:tc>
          <w:tcPr>
            <w:tcW w:w="779" w:type="pct"/>
            <w:tcBorders>
              <w:top w:val="single" w:sz="4" w:space="0" w:color="auto"/>
              <w:bottom w:val="double" w:sz="4" w:space="0" w:color="auto"/>
            </w:tcBorders>
            <w:shd w:val="clear" w:color="auto" w:fill="auto"/>
            <w:vAlign w:val="center"/>
          </w:tcPr>
          <w:p w14:paraId="4EBA7DED" w14:textId="597F7CB4" w:rsidR="00525587" w:rsidRPr="00E97933" w:rsidRDefault="00525587" w:rsidP="00E97933">
            <w:pPr>
              <w:spacing w:after="0" w:line="240" w:lineRule="auto"/>
              <w:jc w:val="right"/>
              <w:rPr>
                <w:rFonts w:ascii="Arial" w:hAnsi="Arial" w:cs="Arial"/>
                <w:b/>
                <w:sz w:val="18"/>
                <w:szCs w:val="18"/>
              </w:rPr>
            </w:pPr>
            <w:r w:rsidRPr="00E97933">
              <w:rPr>
                <w:rFonts w:ascii="Arial" w:hAnsi="Arial" w:cs="Arial"/>
                <w:b/>
                <w:sz w:val="18"/>
                <w:szCs w:val="18"/>
              </w:rPr>
              <w:t>20.144.556</w:t>
            </w:r>
          </w:p>
        </w:tc>
      </w:tr>
      <w:tr w:rsidR="00525587" w:rsidRPr="0009028A" w14:paraId="2727F53F" w14:textId="77777777" w:rsidTr="00E97933">
        <w:trPr>
          <w:trHeight w:val="227"/>
        </w:trPr>
        <w:tc>
          <w:tcPr>
            <w:tcW w:w="2737" w:type="pct"/>
            <w:shd w:val="clear" w:color="auto" w:fill="auto"/>
            <w:noWrap/>
            <w:vAlign w:val="center"/>
            <w:hideMark/>
          </w:tcPr>
          <w:p w14:paraId="6A150491" w14:textId="77777777" w:rsidR="00525587" w:rsidRPr="0009028A" w:rsidRDefault="00525587" w:rsidP="00BA5F4D">
            <w:pPr>
              <w:spacing w:after="0" w:line="240" w:lineRule="auto"/>
              <w:rPr>
                <w:rFonts w:ascii="Arial" w:eastAsia="Times New Roman" w:hAnsi="Arial" w:cs="Arial"/>
                <w:b/>
                <w:bCs/>
                <w:sz w:val="18"/>
                <w:szCs w:val="18"/>
                <w:lang w:eastAsia="es-CO"/>
              </w:rPr>
            </w:pPr>
          </w:p>
          <w:p w14:paraId="435D16E7" w14:textId="77777777" w:rsidR="00525587" w:rsidRPr="0009028A" w:rsidRDefault="00525587" w:rsidP="00BA5F4D">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Ganancia por acción de operaciones continuas (*)</w:t>
            </w:r>
          </w:p>
        </w:tc>
        <w:tc>
          <w:tcPr>
            <w:tcW w:w="390" w:type="pct"/>
            <w:shd w:val="clear" w:color="auto" w:fill="auto"/>
            <w:noWrap/>
            <w:vAlign w:val="center"/>
          </w:tcPr>
          <w:p w14:paraId="654468CB" w14:textId="77777777" w:rsidR="00525587" w:rsidRPr="0009028A" w:rsidRDefault="00525587" w:rsidP="00BA5F4D">
            <w:pPr>
              <w:spacing w:after="0" w:line="240" w:lineRule="auto"/>
              <w:jc w:val="center"/>
              <w:rPr>
                <w:rFonts w:ascii="Arial" w:eastAsia="Times New Roman" w:hAnsi="Arial" w:cs="Arial"/>
                <w:b/>
                <w:bCs/>
                <w:sz w:val="18"/>
                <w:szCs w:val="18"/>
                <w:lang w:eastAsia="es-CO"/>
              </w:rPr>
            </w:pPr>
          </w:p>
        </w:tc>
        <w:tc>
          <w:tcPr>
            <w:tcW w:w="156" w:type="pct"/>
            <w:vAlign w:val="center"/>
          </w:tcPr>
          <w:p w14:paraId="0C751B86" w14:textId="77777777" w:rsidR="00525587" w:rsidRPr="0009028A" w:rsidRDefault="00525587" w:rsidP="00BA5F4D">
            <w:pPr>
              <w:spacing w:after="0" w:line="240" w:lineRule="auto"/>
              <w:jc w:val="center"/>
              <w:rPr>
                <w:rFonts w:ascii="Arial" w:hAnsi="Arial" w:cs="Arial"/>
                <w:b/>
                <w:bCs/>
                <w:sz w:val="18"/>
                <w:szCs w:val="18"/>
                <w:highlight w:val="yellow"/>
              </w:rPr>
            </w:pPr>
          </w:p>
        </w:tc>
        <w:tc>
          <w:tcPr>
            <w:tcW w:w="781" w:type="pct"/>
            <w:tcBorders>
              <w:top w:val="double" w:sz="4" w:space="0" w:color="auto"/>
            </w:tcBorders>
            <w:shd w:val="clear" w:color="auto" w:fill="auto"/>
            <w:noWrap/>
            <w:vAlign w:val="center"/>
            <w:hideMark/>
          </w:tcPr>
          <w:p w14:paraId="03ADAD1D" w14:textId="77777777" w:rsidR="00525587" w:rsidRPr="0009028A" w:rsidRDefault="00525587" w:rsidP="00BA5F4D">
            <w:pPr>
              <w:spacing w:after="0" w:line="240" w:lineRule="auto"/>
              <w:jc w:val="right"/>
              <w:rPr>
                <w:rFonts w:ascii="Arial" w:hAnsi="Arial" w:cs="Arial"/>
                <w:b/>
                <w:bCs/>
                <w:sz w:val="18"/>
                <w:szCs w:val="18"/>
                <w:highlight w:val="yellow"/>
              </w:rPr>
            </w:pPr>
          </w:p>
        </w:tc>
        <w:tc>
          <w:tcPr>
            <w:tcW w:w="157" w:type="pct"/>
          </w:tcPr>
          <w:p w14:paraId="7DBCD6F9" w14:textId="77777777" w:rsidR="00525587" w:rsidRPr="0009028A" w:rsidRDefault="00525587" w:rsidP="00BA5F4D">
            <w:pPr>
              <w:spacing w:after="0" w:line="240" w:lineRule="auto"/>
              <w:jc w:val="right"/>
              <w:rPr>
                <w:rFonts w:ascii="Arial" w:eastAsia="Times New Roman" w:hAnsi="Arial" w:cs="Arial"/>
                <w:b/>
                <w:bCs/>
                <w:sz w:val="18"/>
                <w:szCs w:val="18"/>
                <w:lang w:eastAsia="es-CO"/>
              </w:rPr>
            </w:pPr>
          </w:p>
        </w:tc>
        <w:tc>
          <w:tcPr>
            <w:tcW w:w="779" w:type="pct"/>
            <w:tcBorders>
              <w:top w:val="double" w:sz="4" w:space="0" w:color="auto"/>
            </w:tcBorders>
            <w:shd w:val="clear" w:color="auto" w:fill="auto"/>
            <w:vAlign w:val="center"/>
          </w:tcPr>
          <w:p w14:paraId="38D6E550" w14:textId="0C218A21" w:rsidR="00525587" w:rsidRPr="0009028A" w:rsidRDefault="00525587" w:rsidP="00BA5F4D">
            <w:pPr>
              <w:spacing w:after="0" w:line="240" w:lineRule="auto"/>
              <w:jc w:val="right"/>
              <w:rPr>
                <w:rFonts w:ascii="Arial" w:eastAsia="Times New Roman" w:hAnsi="Arial" w:cs="Arial"/>
                <w:b/>
                <w:bCs/>
                <w:sz w:val="18"/>
                <w:szCs w:val="18"/>
                <w:lang w:eastAsia="es-CO"/>
              </w:rPr>
            </w:pPr>
          </w:p>
        </w:tc>
      </w:tr>
      <w:tr w:rsidR="00525587" w:rsidRPr="0009028A" w14:paraId="7CFBAE58" w14:textId="77777777" w:rsidTr="00E97933">
        <w:trPr>
          <w:trHeight w:val="227"/>
        </w:trPr>
        <w:tc>
          <w:tcPr>
            <w:tcW w:w="2737" w:type="pct"/>
            <w:shd w:val="clear" w:color="auto" w:fill="auto"/>
            <w:vAlign w:val="center"/>
          </w:tcPr>
          <w:p w14:paraId="42F83ACB" w14:textId="77777777" w:rsidR="00525587" w:rsidRPr="0009028A" w:rsidRDefault="00525587" w:rsidP="00BA5F4D">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Atribuible a los accionistas ordinarios</w:t>
            </w:r>
          </w:p>
        </w:tc>
        <w:tc>
          <w:tcPr>
            <w:tcW w:w="390" w:type="pct"/>
            <w:shd w:val="clear" w:color="auto" w:fill="auto"/>
            <w:noWrap/>
            <w:vAlign w:val="center"/>
          </w:tcPr>
          <w:p w14:paraId="47F44D78" w14:textId="77777777" w:rsidR="00525587" w:rsidRPr="0009028A" w:rsidRDefault="00525587" w:rsidP="00BA5F4D">
            <w:pPr>
              <w:spacing w:after="0" w:line="240" w:lineRule="auto"/>
              <w:jc w:val="center"/>
              <w:rPr>
                <w:rFonts w:ascii="Arial" w:eastAsia="Times New Roman" w:hAnsi="Arial" w:cs="Arial"/>
                <w:sz w:val="18"/>
                <w:szCs w:val="18"/>
                <w:lang w:eastAsia="es-CO"/>
              </w:rPr>
            </w:pPr>
          </w:p>
        </w:tc>
        <w:tc>
          <w:tcPr>
            <w:tcW w:w="156" w:type="pct"/>
            <w:vAlign w:val="center"/>
          </w:tcPr>
          <w:p w14:paraId="024CD8A1" w14:textId="77777777" w:rsidR="00525587" w:rsidRPr="0009028A" w:rsidRDefault="00525587" w:rsidP="00BA5F4D">
            <w:pPr>
              <w:spacing w:after="0" w:line="240" w:lineRule="auto"/>
              <w:jc w:val="center"/>
              <w:rPr>
                <w:rFonts w:ascii="Arial" w:eastAsia="Times New Roman" w:hAnsi="Arial" w:cs="Arial"/>
                <w:b/>
                <w:bCs/>
                <w:sz w:val="18"/>
                <w:szCs w:val="18"/>
                <w:lang w:eastAsia="es-CO"/>
              </w:rPr>
            </w:pPr>
          </w:p>
        </w:tc>
        <w:tc>
          <w:tcPr>
            <w:tcW w:w="781" w:type="pct"/>
            <w:shd w:val="clear" w:color="auto" w:fill="auto"/>
            <w:noWrap/>
            <w:vAlign w:val="center"/>
          </w:tcPr>
          <w:p w14:paraId="591F3868" w14:textId="49D5E7C4" w:rsidR="00525587" w:rsidRPr="0009028A" w:rsidRDefault="00525587" w:rsidP="00BA5F4D">
            <w:pPr>
              <w:spacing w:after="0" w:line="240" w:lineRule="auto"/>
              <w:jc w:val="right"/>
              <w:rPr>
                <w:rFonts w:ascii="Arial" w:eastAsia="Times New Roman" w:hAnsi="Arial" w:cs="Arial"/>
                <w:b/>
                <w:bCs/>
                <w:sz w:val="18"/>
                <w:szCs w:val="18"/>
                <w:lang w:eastAsia="es-CO"/>
              </w:rPr>
            </w:pPr>
          </w:p>
        </w:tc>
        <w:tc>
          <w:tcPr>
            <w:tcW w:w="157" w:type="pct"/>
          </w:tcPr>
          <w:p w14:paraId="3E08A3C0" w14:textId="77777777" w:rsidR="00525587" w:rsidRPr="0009028A" w:rsidRDefault="00525587" w:rsidP="00BA5F4D">
            <w:pPr>
              <w:spacing w:after="0" w:line="240" w:lineRule="auto"/>
              <w:jc w:val="right"/>
              <w:rPr>
                <w:rFonts w:ascii="Arial" w:eastAsia="Times New Roman" w:hAnsi="Arial" w:cs="Arial"/>
                <w:b/>
                <w:bCs/>
                <w:sz w:val="18"/>
                <w:szCs w:val="18"/>
                <w:lang w:eastAsia="es-CO"/>
              </w:rPr>
            </w:pPr>
          </w:p>
        </w:tc>
        <w:tc>
          <w:tcPr>
            <w:tcW w:w="779" w:type="pct"/>
            <w:shd w:val="clear" w:color="auto" w:fill="auto"/>
            <w:vAlign w:val="center"/>
          </w:tcPr>
          <w:p w14:paraId="1DC3D629" w14:textId="508FF722" w:rsidR="00525587" w:rsidRPr="0009028A" w:rsidRDefault="00525587" w:rsidP="00BA5F4D">
            <w:pPr>
              <w:spacing w:after="0" w:line="240" w:lineRule="auto"/>
              <w:jc w:val="right"/>
              <w:rPr>
                <w:rFonts w:ascii="Arial" w:eastAsia="Times New Roman" w:hAnsi="Arial" w:cs="Arial"/>
                <w:b/>
                <w:bCs/>
                <w:sz w:val="18"/>
                <w:szCs w:val="18"/>
                <w:lang w:eastAsia="es-CO"/>
              </w:rPr>
            </w:pPr>
          </w:p>
        </w:tc>
      </w:tr>
      <w:tr w:rsidR="00525587" w:rsidRPr="0009028A" w14:paraId="051EC7B1" w14:textId="77777777" w:rsidTr="00E97933">
        <w:trPr>
          <w:trHeight w:val="227"/>
        </w:trPr>
        <w:tc>
          <w:tcPr>
            <w:tcW w:w="2737" w:type="pct"/>
            <w:shd w:val="clear" w:color="auto" w:fill="auto"/>
            <w:vAlign w:val="center"/>
            <w:hideMark/>
          </w:tcPr>
          <w:p w14:paraId="5E5C62CC" w14:textId="77777777" w:rsidR="00525587" w:rsidRPr="0009028A" w:rsidRDefault="00525587" w:rsidP="00BA5F4D">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Básica*</w:t>
            </w:r>
          </w:p>
        </w:tc>
        <w:tc>
          <w:tcPr>
            <w:tcW w:w="390" w:type="pct"/>
            <w:shd w:val="clear" w:color="auto" w:fill="auto"/>
            <w:noWrap/>
            <w:vAlign w:val="center"/>
          </w:tcPr>
          <w:p w14:paraId="19471DA1" w14:textId="4F2933EF" w:rsidR="00525587" w:rsidRPr="0009028A" w:rsidRDefault="00525587" w:rsidP="00BA5F4D">
            <w:pPr>
              <w:spacing w:after="0" w:line="240" w:lineRule="auto"/>
              <w:jc w:val="center"/>
              <w:rPr>
                <w:rFonts w:ascii="Arial" w:eastAsia="Times New Roman" w:hAnsi="Arial" w:cs="Arial"/>
                <w:sz w:val="18"/>
                <w:szCs w:val="18"/>
                <w:lang w:eastAsia="es-CO"/>
              </w:rPr>
            </w:pPr>
            <w:r w:rsidRPr="0009028A">
              <w:rPr>
                <w:rFonts w:ascii="Arial" w:eastAsia="Times New Roman" w:hAnsi="Arial" w:cs="Arial"/>
                <w:sz w:val="18"/>
                <w:szCs w:val="18"/>
                <w:lang w:eastAsia="es-CO"/>
              </w:rPr>
              <w:t>2</w:t>
            </w:r>
            <w:r w:rsidR="00964E83">
              <w:rPr>
                <w:rFonts w:ascii="Arial" w:eastAsia="Times New Roman" w:hAnsi="Arial" w:cs="Arial"/>
                <w:sz w:val="18"/>
                <w:szCs w:val="18"/>
                <w:lang w:eastAsia="es-CO"/>
              </w:rPr>
              <w:t>4</w:t>
            </w:r>
          </w:p>
        </w:tc>
        <w:tc>
          <w:tcPr>
            <w:tcW w:w="156" w:type="pct"/>
            <w:vAlign w:val="center"/>
          </w:tcPr>
          <w:p w14:paraId="58486415" w14:textId="77777777" w:rsidR="00525587" w:rsidRPr="0009028A" w:rsidRDefault="00525587" w:rsidP="00BA5F4D">
            <w:pPr>
              <w:spacing w:after="0" w:line="240" w:lineRule="auto"/>
              <w:jc w:val="center"/>
              <w:rPr>
                <w:rFonts w:ascii="Arial" w:hAnsi="Arial" w:cs="Arial"/>
                <w:sz w:val="18"/>
                <w:szCs w:val="18"/>
              </w:rPr>
            </w:pPr>
          </w:p>
        </w:tc>
        <w:tc>
          <w:tcPr>
            <w:tcW w:w="781" w:type="pct"/>
            <w:shd w:val="clear" w:color="auto" w:fill="auto"/>
            <w:noWrap/>
            <w:vAlign w:val="center"/>
          </w:tcPr>
          <w:p w14:paraId="6C34551D" w14:textId="77777777" w:rsidR="00525587" w:rsidRPr="0009028A" w:rsidRDefault="00525587" w:rsidP="00BA5F4D">
            <w:pPr>
              <w:spacing w:after="0" w:line="240" w:lineRule="auto"/>
              <w:jc w:val="right"/>
              <w:rPr>
                <w:rFonts w:ascii="Arial" w:hAnsi="Arial" w:cs="Arial"/>
                <w:sz w:val="18"/>
                <w:szCs w:val="18"/>
              </w:rPr>
            </w:pPr>
            <w:r w:rsidRPr="0009028A">
              <w:rPr>
                <w:rFonts w:ascii="Arial" w:hAnsi="Arial" w:cs="Arial"/>
                <w:sz w:val="18"/>
                <w:szCs w:val="18"/>
              </w:rPr>
              <w:t>132</w:t>
            </w:r>
          </w:p>
        </w:tc>
        <w:tc>
          <w:tcPr>
            <w:tcW w:w="157" w:type="pct"/>
          </w:tcPr>
          <w:p w14:paraId="5868971F" w14:textId="77777777" w:rsidR="00525587" w:rsidRPr="0009028A" w:rsidRDefault="00525587" w:rsidP="00BA5F4D">
            <w:pPr>
              <w:spacing w:after="0" w:line="240" w:lineRule="auto"/>
              <w:jc w:val="right"/>
              <w:rPr>
                <w:rFonts w:ascii="Arial" w:hAnsi="Arial" w:cs="Arial"/>
                <w:sz w:val="18"/>
                <w:szCs w:val="18"/>
              </w:rPr>
            </w:pPr>
          </w:p>
        </w:tc>
        <w:tc>
          <w:tcPr>
            <w:tcW w:w="779" w:type="pct"/>
            <w:shd w:val="clear" w:color="auto" w:fill="auto"/>
            <w:vAlign w:val="center"/>
          </w:tcPr>
          <w:p w14:paraId="2EB2316C" w14:textId="6C7ED2C4" w:rsidR="00525587" w:rsidRPr="0009028A" w:rsidRDefault="00525587" w:rsidP="00BA5F4D">
            <w:pPr>
              <w:spacing w:after="0" w:line="240" w:lineRule="auto"/>
              <w:jc w:val="right"/>
              <w:rPr>
                <w:rFonts w:ascii="Arial" w:hAnsi="Arial" w:cs="Arial"/>
                <w:sz w:val="18"/>
                <w:szCs w:val="18"/>
              </w:rPr>
            </w:pPr>
            <w:r w:rsidRPr="0009028A">
              <w:rPr>
                <w:rFonts w:ascii="Arial" w:hAnsi="Arial" w:cs="Arial"/>
                <w:sz w:val="18"/>
                <w:szCs w:val="18"/>
              </w:rPr>
              <w:t>103</w:t>
            </w:r>
          </w:p>
        </w:tc>
      </w:tr>
      <w:tr w:rsidR="00525587" w:rsidRPr="0009028A" w14:paraId="47CC0EA9" w14:textId="77777777" w:rsidTr="00E97933">
        <w:trPr>
          <w:trHeight w:val="227"/>
        </w:trPr>
        <w:tc>
          <w:tcPr>
            <w:tcW w:w="2737" w:type="pct"/>
            <w:shd w:val="clear" w:color="auto" w:fill="auto"/>
            <w:vAlign w:val="center"/>
            <w:hideMark/>
          </w:tcPr>
          <w:p w14:paraId="08DF8169" w14:textId="77777777" w:rsidR="00525587" w:rsidRPr="0009028A" w:rsidRDefault="00525587" w:rsidP="00BA5F4D">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Diluida *</w:t>
            </w:r>
          </w:p>
        </w:tc>
        <w:tc>
          <w:tcPr>
            <w:tcW w:w="390" w:type="pct"/>
            <w:shd w:val="clear" w:color="auto" w:fill="auto"/>
            <w:noWrap/>
            <w:vAlign w:val="center"/>
          </w:tcPr>
          <w:p w14:paraId="01743DCA" w14:textId="53695FEE" w:rsidR="00525587" w:rsidRPr="0009028A" w:rsidRDefault="00525587" w:rsidP="00BA5F4D">
            <w:pPr>
              <w:spacing w:after="0" w:line="240" w:lineRule="auto"/>
              <w:jc w:val="center"/>
              <w:rPr>
                <w:rFonts w:ascii="Arial" w:eastAsia="Times New Roman" w:hAnsi="Arial" w:cs="Arial"/>
                <w:sz w:val="18"/>
                <w:szCs w:val="18"/>
                <w:lang w:eastAsia="es-CO"/>
              </w:rPr>
            </w:pPr>
            <w:r w:rsidRPr="0009028A">
              <w:rPr>
                <w:rFonts w:ascii="Arial" w:eastAsia="Times New Roman" w:hAnsi="Arial" w:cs="Arial"/>
                <w:sz w:val="18"/>
                <w:szCs w:val="18"/>
                <w:lang w:eastAsia="es-CO"/>
              </w:rPr>
              <w:t>2</w:t>
            </w:r>
            <w:r w:rsidR="00964E83">
              <w:rPr>
                <w:rFonts w:ascii="Arial" w:eastAsia="Times New Roman" w:hAnsi="Arial" w:cs="Arial"/>
                <w:sz w:val="18"/>
                <w:szCs w:val="18"/>
                <w:lang w:eastAsia="es-CO"/>
              </w:rPr>
              <w:t>4</w:t>
            </w:r>
          </w:p>
        </w:tc>
        <w:tc>
          <w:tcPr>
            <w:tcW w:w="156" w:type="pct"/>
            <w:vAlign w:val="center"/>
          </w:tcPr>
          <w:p w14:paraId="63731B0A" w14:textId="77777777" w:rsidR="00525587" w:rsidRPr="0009028A" w:rsidRDefault="00525587" w:rsidP="00BA5F4D">
            <w:pPr>
              <w:spacing w:after="0" w:line="240" w:lineRule="auto"/>
              <w:jc w:val="center"/>
              <w:rPr>
                <w:rFonts w:ascii="Arial" w:hAnsi="Arial" w:cs="Arial"/>
                <w:sz w:val="18"/>
                <w:szCs w:val="18"/>
              </w:rPr>
            </w:pPr>
          </w:p>
        </w:tc>
        <w:tc>
          <w:tcPr>
            <w:tcW w:w="781" w:type="pct"/>
            <w:shd w:val="clear" w:color="auto" w:fill="auto"/>
            <w:noWrap/>
            <w:vAlign w:val="center"/>
          </w:tcPr>
          <w:p w14:paraId="51E1325D" w14:textId="77777777" w:rsidR="00525587" w:rsidRPr="0009028A" w:rsidRDefault="00525587" w:rsidP="00BA5F4D">
            <w:pPr>
              <w:spacing w:after="0" w:line="240" w:lineRule="auto"/>
              <w:jc w:val="right"/>
              <w:rPr>
                <w:rFonts w:ascii="Arial" w:hAnsi="Arial" w:cs="Arial"/>
                <w:sz w:val="18"/>
                <w:szCs w:val="18"/>
              </w:rPr>
            </w:pPr>
            <w:r w:rsidRPr="0009028A">
              <w:rPr>
                <w:rFonts w:ascii="Arial" w:hAnsi="Arial" w:cs="Arial"/>
                <w:sz w:val="18"/>
                <w:szCs w:val="18"/>
              </w:rPr>
              <w:t>132</w:t>
            </w:r>
          </w:p>
        </w:tc>
        <w:tc>
          <w:tcPr>
            <w:tcW w:w="157" w:type="pct"/>
          </w:tcPr>
          <w:p w14:paraId="56914A14" w14:textId="77777777" w:rsidR="00525587" w:rsidRPr="0009028A" w:rsidRDefault="00525587" w:rsidP="00BA5F4D">
            <w:pPr>
              <w:spacing w:after="0" w:line="240" w:lineRule="auto"/>
              <w:jc w:val="right"/>
              <w:rPr>
                <w:rFonts w:ascii="Arial" w:hAnsi="Arial" w:cs="Arial"/>
                <w:sz w:val="18"/>
                <w:szCs w:val="18"/>
              </w:rPr>
            </w:pPr>
          </w:p>
        </w:tc>
        <w:tc>
          <w:tcPr>
            <w:tcW w:w="779" w:type="pct"/>
            <w:shd w:val="clear" w:color="auto" w:fill="auto"/>
            <w:vAlign w:val="center"/>
          </w:tcPr>
          <w:p w14:paraId="4755F606" w14:textId="3F7A6C15" w:rsidR="00525587" w:rsidRPr="0009028A" w:rsidRDefault="00525587" w:rsidP="00BA5F4D">
            <w:pPr>
              <w:spacing w:after="0" w:line="240" w:lineRule="auto"/>
              <w:jc w:val="right"/>
              <w:rPr>
                <w:rFonts w:ascii="Arial" w:hAnsi="Arial" w:cs="Arial"/>
                <w:sz w:val="18"/>
                <w:szCs w:val="18"/>
              </w:rPr>
            </w:pPr>
            <w:r w:rsidRPr="0009028A">
              <w:rPr>
                <w:rFonts w:ascii="Arial" w:hAnsi="Arial" w:cs="Arial"/>
                <w:sz w:val="18"/>
                <w:szCs w:val="18"/>
              </w:rPr>
              <w:t>103</w:t>
            </w:r>
          </w:p>
        </w:tc>
      </w:tr>
    </w:tbl>
    <w:p w14:paraId="7A5B31FF" w14:textId="77777777" w:rsidR="00C21888" w:rsidRPr="0009028A" w:rsidRDefault="00C21888" w:rsidP="00C21888">
      <w:pPr>
        <w:spacing w:after="0" w:line="275" w:lineRule="auto"/>
        <w:ind w:right="4096"/>
        <w:rPr>
          <w:rFonts w:ascii="Arial" w:eastAsia="Arial" w:hAnsi="Arial" w:cs="Arial"/>
          <w:b/>
          <w:spacing w:val="-1"/>
          <w:sz w:val="20"/>
          <w:szCs w:val="20"/>
        </w:rPr>
      </w:pPr>
    </w:p>
    <w:p w14:paraId="179A0437" w14:textId="77777777" w:rsidR="007778D9" w:rsidRPr="0009028A" w:rsidRDefault="00085F45" w:rsidP="000A72F8">
      <w:pPr>
        <w:spacing w:after="0" w:line="275" w:lineRule="auto"/>
        <w:ind w:right="4096"/>
        <w:rPr>
          <w:rFonts w:ascii="Arial" w:eastAsia="Arial" w:hAnsi="Arial" w:cs="Arial"/>
          <w:spacing w:val="-1"/>
          <w:sz w:val="18"/>
          <w:szCs w:val="18"/>
        </w:rPr>
      </w:pPr>
      <w:r w:rsidRPr="0009028A">
        <w:rPr>
          <w:rFonts w:ascii="Arial" w:eastAsia="Arial" w:hAnsi="Arial" w:cs="Arial"/>
          <w:spacing w:val="-1"/>
          <w:sz w:val="18"/>
          <w:szCs w:val="18"/>
        </w:rPr>
        <w:t xml:space="preserve">(*) Cifras </w:t>
      </w:r>
      <w:r w:rsidR="0046305C" w:rsidRPr="0009028A">
        <w:rPr>
          <w:rFonts w:ascii="Arial" w:eastAsia="Arial" w:hAnsi="Arial" w:cs="Arial"/>
          <w:spacing w:val="-1"/>
          <w:sz w:val="18"/>
          <w:szCs w:val="18"/>
        </w:rPr>
        <w:t>expresadas en pesos colombianos.</w:t>
      </w:r>
    </w:p>
    <w:p w14:paraId="0AA08022" w14:textId="77777777" w:rsidR="00085F45" w:rsidRPr="0009028A" w:rsidRDefault="00085F45" w:rsidP="00085F45">
      <w:pPr>
        <w:spacing w:before="83" w:after="0" w:line="275" w:lineRule="auto"/>
        <w:ind w:right="4096"/>
        <w:rPr>
          <w:rFonts w:ascii="Arial" w:eastAsia="Arial" w:hAnsi="Arial" w:cs="Arial"/>
          <w:b/>
          <w:spacing w:val="-1"/>
          <w:sz w:val="20"/>
          <w:szCs w:val="20"/>
        </w:rPr>
      </w:pPr>
    </w:p>
    <w:p w14:paraId="4A605D23" w14:textId="77777777" w:rsidR="00CD0EC8" w:rsidRPr="0009028A" w:rsidRDefault="00C82E26" w:rsidP="00DB13B1">
      <w:pPr>
        <w:tabs>
          <w:tab w:val="center" w:pos="4820"/>
          <w:tab w:val="center" w:pos="8364"/>
        </w:tabs>
        <w:spacing w:after="0" w:line="275" w:lineRule="auto"/>
        <w:ind w:right="-2"/>
        <w:rPr>
          <w:rFonts w:ascii="Arial" w:hAnsi="Arial" w:cs="Arial"/>
          <w:b/>
          <w:sz w:val="18"/>
          <w:szCs w:val="18"/>
        </w:rPr>
      </w:pPr>
      <w:r w:rsidRPr="0009028A">
        <w:rPr>
          <w:rFonts w:ascii="Arial" w:hAnsi="Arial" w:cs="Arial"/>
          <w:sz w:val="18"/>
          <w:szCs w:val="18"/>
        </w:rPr>
        <w:t>Las notas que se acompañan son parte integral de los estados financieros intermedios condensados separados.</w:t>
      </w:r>
    </w:p>
    <w:p w14:paraId="6DE1D7D0" w14:textId="77777777" w:rsidR="00CD0EC8" w:rsidRPr="0009028A" w:rsidRDefault="00CD0EC8" w:rsidP="00DB13B1">
      <w:pPr>
        <w:tabs>
          <w:tab w:val="center" w:pos="4820"/>
          <w:tab w:val="center" w:pos="8364"/>
        </w:tabs>
        <w:spacing w:after="0" w:line="275" w:lineRule="auto"/>
        <w:ind w:right="-2"/>
        <w:rPr>
          <w:rFonts w:ascii="Arial" w:hAnsi="Arial" w:cs="Arial"/>
          <w:b/>
          <w:sz w:val="18"/>
          <w:szCs w:val="18"/>
        </w:rPr>
      </w:pPr>
    </w:p>
    <w:p w14:paraId="0C212713" w14:textId="77777777" w:rsidR="00CD0EC8" w:rsidRPr="0009028A" w:rsidRDefault="00CD0EC8" w:rsidP="00DB13B1">
      <w:pPr>
        <w:tabs>
          <w:tab w:val="center" w:pos="4820"/>
          <w:tab w:val="center" w:pos="8364"/>
        </w:tabs>
        <w:spacing w:after="0" w:line="275" w:lineRule="auto"/>
        <w:ind w:right="-2"/>
        <w:rPr>
          <w:rFonts w:ascii="Arial" w:hAnsi="Arial" w:cs="Arial"/>
          <w:b/>
          <w:sz w:val="18"/>
          <w:szCs w:val="18"/>
        </w:rPr>
      </w:pPr>
    </w:p>
    <w:p w14:paraId="6EE4B594" w14:textId="77777777" w:rsidR="00CD0EC8" w:rsidRPr="0009028A" w:rsidRDefault="00CD0EC8" w:rsidP="00DB13B1">
      <w:pPr>
        <w:tabs>
          <w:tab w:val="center" w:pos="4820"/>
          <w:tab w:val="center" w:pos="8364"/>
        </w:tabs>
        <w:spacing w:after="0" w:line="275" w:lineRule="auto"/>
        <w:ind w:right="-2"/>
        <w:rPr>
          <w:rFonts w:ascii="Arial" w:hAnsi="Arial" w:cs="Arial"/>
          <w:b/>
          <w:sz w:val="18"/>
          <w:szCs w:val="18"/>
        </w:rPr>
      </w:pPr>
    </w:p>
    <w:p w14:paraId="5716D903" w14:textId="433EC364" w:rsidR="00C82E26" w:rsidRPr="0009028A" w:rsidRDefault="00C52937" w:rsidP="00C82E26">
      <w:pPr>
        <w:tabs>
          <w:tab w:val="center" w:pos="4820"/>
          <w:tab w:val="center" w:pos="8364"/>
        </w:tabs>
        <w:spacing w:after="0" w:line="275" w:lineRule="auto"/>
        <w:ind w:right="-2"/>
        <w:rPr>
          <w:rFonts w:ascii="Arial" w:hAnsi="Arial" w:cs="Arial"/>
          <w:b/>
          <w:sz w:val="18"/>
          <w:szCs w:val="18"/>
        </w:rPr>
      </w:pPr>
      <w:r>
        <w:rPr>
          <w:rFonts w:ascii="Arial" w:hAnsi="Arial" w:cs="Arial"/>
          <w:b/>
          <w:sz w:val="18"/>
          <w:szCs w:val="18"/>
        </w:rPr>
        <w:t>Mauricio Ossa Echeverry</w:t>
      </w:r>
      <w:r w:rsidR="00C82E26" w:rsidRPr="0009028A">
        <w:rPr>
          <w:rFonts w:ascii="Arial" w:hAnsi="Arial" w:cs="Arial"/>
          <w:b/>
          <w:sz w:val="18"/>
          <w:szCs w:val="18"/>
        </w:rPr>
        <w:tab/>
        <w:t>Mario Alonso García Romero</w:t>
      </w:r>
      <w:r w:rsidR="00C82E26" w:rsidRPr="0009028A">
        <w:rPr>
          <w:rFonts w:ascii="Arial" w:hAnsi="Arial" w:cs="Arial"/>
          <w:b/>
          <w:sz w:val="18"/>
          <w:szCs w:val="18"/>
        </w:rPr>
        <w:tab/>
        <w:t>Mario Alberto López Ocampo</w:t>
      </w:r>
      <w:r w:rsidR="00C82E26" w:rsidRPr="0009028A" w:rsidDel="000D02AC">
        <w:rPr>
          <w:rFonts w:ascii="Arial" w:hAnsi="Arial" w:cs="Arial"/>
          <w:b/>
          <w:sz w:val="18"/>
          <w:szCs w:val="18"/>
        </w:rPr>
        <w:t xml:space="preserve"> </w:t>
      </w:r>
    </w:p>
    <w:p w14:paraId="229037CF" w14:textId="6A1BD53B" w:rsidR="00C82E26" w:rsidRPr="0009028A" w:rsidRDefault="00C52937" w:rsidP="00C82E26">
      <w:pPr>
        <w:tabs>
          <w:tab w:val="center" w:pos="4820"/>
          <w:tab w:val="center" w:pos="8364"/>
        </w:tabs>
        <w:spacing w:after="0" w:line="275" w:lineRule="auto"/>
        <w:ind w:right="-2"/>
        <w:rPr>
          <w:rFonts w:ascii="Arial" w:hAnsi="Arial" w:cs="Arial"/>
          <w:sz w:val="18"/>
          <w:szCs w:val="18"/>
        </w:rPr>
      </w:pPr>
      <w:r>
        <w:rPr>
          <w:rFonts w:ascii="Arial" w:hAnsi="Arial" w:cs="Arial"/>
          <w:sz w:val="18"/>
          <w:szCs w:val="18"/>
        </w:rPr>
        <w:t>Presidente</w:t>
      </w:r>
      <w:r w:rsidR="00C82E26" w:rsidRPr="0009028A">
        <w:rPr>
          <w:rFonts w:ascii="Arial" w:hAnsi="Arial" w:cs="Arial"/>
          <w:sz w:val="18"/>
          <w:szCs w:val="18"/>
        </w:rPr>
        <w:t xml:space="preserve"> (*)</w:t>
      </w:r>
      <w:r w:rsidR="00C82E26" w:rsidRPr="0009028A">
        <w:rPr>
          <w:rFonts w:ascii="Arial" w:hAnsi="Arial" w:cs="Arial"/>
          <w:sz w:val="18"/>
          <w:szCs w:val="18"/>
        </w:rPr>
        <w:tab/>
        <w:t>Contador (*)</w:t>
      </w:r>
      <w:r w:rsidR="00C82E26" w:rsidRPr="0009028A">
        <w:rPr>
          <w:rFonts w:ascii="Arial" w:hAnsi="Arial" w:cs="Arial"/>
          <w:sz w:val="18"/>
          <w:szCs w:val="18"/>
        </w:rPr>
        <w:tab/>
        <w:t xml:space="preserve">Revisor Fiscal </w:t>
      </w:r>
    </w:p>
    <w:p w14:paraId="11B9D35F" w14:textId="77777777" w:rsidR="00C82E26" w:rsidRPr="0009028A" w:rsidRDefault="00C82E26" w:rsidP="00C82E26">
      <w:pPr>
        <w:tabs>
          <w:tab w:val="center" w:pos="4820"/>
          <w:tab w:val="center" w:pos="8364"/>
        </w:tabs>
        <w:spacing w:after="0" w:line="275" w:lineRule="auto"/>
        <w:ind w:right="-2"/>
        <w:rPr>
          <w:rFonts w:ascii="Arial" w:hAnsi="Arial" w:cs="Arial"/>
          <w:sz w:val="18"/>
          <w:szCs w:val="18"/>
        </w:rPr>
      </w:pPr>
      <w:r w:rsidRPr="0009028A">
        <w:rPr>
          <w:rFonts w:ascii="Arial" w:hAnsi="Arial" w:cs="Arial"/>
          <w:sz w:val="18"/>
          <w:szCs w:val="18"/>
        </w:rPr>
        <w:tab/>
        <w:t>T.P. 69852-T</w:t>
      </w:r>
      <w:r w:rsidRPr="0009028A">
        <w:rPr>
          <w:rFonts w:ascii="Arial" w:hAnsi="Arial" w:cs="Arial"/>
          <w:sz w:val="18"/>
          <w:szCs w:val="18"/>
        </w:rPr>
        <w:tab/>
        <w:t>T.P. 110657-T</w:t>
      </w:r>
    </w:p>
    <w:p w14:paraId="20EEAED1" w14:textId="77777777" w:rsidR="00C82E26" w:rsidRPr="0009028A" w:rsidRDefault="00C82E26" w:rsidP="00C82E26">
      <w:pPr>
        <w:tabs>
          <w:tab w:val="center" w:pos="4820"/>
          <w:tab w:val="center" w:pos="8364"/>
        </w:tabs>
        <w:spacing w:after="0" w:line="275" w:lineRule="auto"/>
        <w:ind w:right="-2"/>
        <w:rPr>
          <w:rFonts w:ascii="Arial" w:hAnsi="Arial" w:cs="Arial"/>
          <w:sz w:val="18"/>
          <w:szCs w:val="18"/>
        </w:rPr>
      </w:pPr>
      <w:r w:rsidRPr="0009028A">
        <w:rPr>
          <w:rFonts w:ascii="Arial" w:hAnsi="Arial" w:cs="Arial"/>
          <w:sz w:val="18"/>
          <w:szCs w:val="18"/>
        </w:rPr>
        <w:tab/>
      </w:r>
      <w:r w:rsidRPr="0009028A">
        <w:rPr>
          <w:rFonts w:ascii="Arial" w:hAnsi="Arial" w:cs="Arial"/>
          <w:sz w:val="18"/>
          <w:szCs w:val="18"/>
        </w:rPr>
        <w:tab/>
        <w:t>Miembro de KPMG S.A.S.</w:t>
      </w:r>
    </w:p>
    <w:p w14:paraId="7FB55074" w14:textId="6FE6BF2F" w:rsidR="00C82E26" w:rsidRPr="0009028A" w:rsidRDefault="0063525B" w:rsidP="00C82E26">
      <w:pPr>
        <w:tabs>
          <w:tab w:val="center" w:pos="4820"/>
          <w:tab w:val="center" w:pos="8364"/>
        </w:tabs>
        <w:spacing w:after="0" w:line="275" w:lineRule="auto"/>
        <w:ind w:right="-2"/>
        <w:rPr>
          <w:rFonts w:ascii="Arial" w:hAnsi="Arial" w:cs="Arial"/>
          <w:sz w:val="18"/>
          <w:szCs w:val="18"/>
        </w:rPr>
      </w:pPr>
      <w:r>
        <w:rPr>
          <w:rFonts w:ascii="Arial" w:hAnsi="Arial" w:cs="Arial"/>
          <w:sz w:val="18"/>
          <w:szCs w:val="18"/>
        </w:rPr>
        <w:tab/>
      </w:r>
      <w:r>
        <w:rPr>
          <w:rFonts w:ascii="Arial" w:hAnsi="Arial" w:cs="Arial"/>
          <w:sz w:val="18"/>
          <w:szCs w:val="18"/>
        </w:rPr>
        <w:tab/>
        <w:t>(Véase mi informe del 14</w:t>
      </w:r>
      <w:r w:rsidR="00C82E26" w:rsidRPr="0009028A">
        <w:rPr>
          <w:rFonts w:ascii="Arial" w:hAnsi="Arial" w:cs="Arial"/>
          <w:sz w:val="18"/>
          <w:szCs w:val="18"/>
        </w:rPr>
        <w:t xml:space="preserve"> de mayo de 2019)</w:t>
      </w:r>
    </w:p>
    <w:p w14:paraId="69DC6BBF" w14:textId="77777777" w:rsidR="00DB13B1" w:rsidRPr="0009028A" w:rsidRDefault="00DB13B1" w:rsidP="00DB13B1">
      <w:pPr>
        <w:spacing w:after="0" w:line="240" w:lineRule="auto"/>
        <w:rPr>
          <w:rFonts w:ascii="Arial" w:hAnsi="Arial" w:cs="Arial"/>
          <w:sz w:val="18"/>
          <w:szCs w:val="18"/>
        </w:rPr>
      </w:pPr>
    </w:p>
    <w:p w14:paraId="481E7719" w14:textId="77777777" w:rsidR="00DB13B1" w:rsidRPr="0009028A" w:rsidRDefault="00DB13B1" w:rsidP="00DB13B1">
      <w:pPr>
        <w:spacing w:after="0" w:line="240" w:lineRule="auto"/>
        <w:rPr>
          <w:rFonts w:ascii="Arial" w:hAnsi="Arial" w:cs="Arial"/>
          <w:sz w:val="18"/>
          <w:szCs w:val="18"/>
        </w:rPr>
      </w:pPr>
      <w:r w:rsidRPr="0009028A">
        <w:rPr>
          <w:rFonts w:ascii="Arial" w:hAnsi="Arial" w:cs="Arial"/>
          <w:sz w:val="18"/>
          <w:szCs w:val="18"/>
        </w:rPr>
        <w:t>(*) Los suscritos Representante Legal y Contador Público certificamos que hemos verificado previamente las afirmaciones contenidas en estos estados financieros y que los mismos han sido tomados fielmente de los libros de contabilidad de la Compañía.</w:t>
      </w:r>
    </w:p>
    <w:p w14:paraId="53CBC576" w14:textId="77777777" w:rsidR="00A93C95" w:rsidRPr="0009028A" w:rsidRDefault="00A93C95">
      <w:pPr>
        <w:rPr>
          <w:rFonts w:ascii="Arial" w:hAnsi="Arial" w:cs="Arial"/>
          <w:sz w:val="20"/>
          <w:szCs w:val="20"/>
        </w:rPr>
      </w:pPr>
      <w:r w:rsidRPr="0009028A">
        <w:rPr>
          <w:rFonts w:ascii="Arial" w:hAnsi="Arial" w:cs="Arial"/>
          <w:sz w:val="20"/>
          <w:szCs w:val="20"/>
        </w:rPr>
        <w:br w:type="page"/>
      </w:r>
    </w:p>
    <w:p w14:paraId="4B630F5E" w14:textId="77777777" w:rsidR="005523E1" w:rsidRPr="0009028A" w:rsidRDefault="005523E1" w:rsidP="000A72F8">
      <w:pPr>
        <w:spacing w:after="0" w:line="275" w:lineRule="auto"/>
        <w:ind w:right="2266"/>
        <w:rPr>
          <w:rFonts w:ascii="Arial" w:hAnsi="Arial" w:cs="Arial"/>
          <w:sz w:val="20"/>
          <w:szCs w:val="20"/>
        </w:rPr>
      </w:pPr>
    </w:p>
    <w:p w14:paraId="32515846" w14:textId="4BF84BB7" w:rsidR="00431731" w:rsidRPr="0009028A" w:rsidRDefault="009F2756" w:rsidP="00FF2ED8">
      <w:pPr>
        <w:spacing w:after="0" w:line="240" w:lineRule="auto"/>
        <w:rPr>
          <w:rFonts w:ascii="Arial" w:hAnsi="Arial" w:cs="Arial"/>
          <w:color w:val="0C2D66"/>
          <w:sz w:val="36"/>
          <w:szCs w:val="36"/>
        </w:rPr>
      </w:pPr>
      <w:r w:rsidRPr="0009028A">
        <w:rPr>
          <w:rFonts w:ascii="Arial" w:hAnsi="Arial" w:cs="Arial"/>
          <w:color w:val="0C2D66"/>
          <w:sz w:val="36"/>
          <w:szCs w:val="36"/>
        </w:rPr>
        <w:t>Odinsa</w:t>
      </w:r>
      <w:r w:rsidR="00945832" w:rsidRPr="0009028A">
        <w:rPr>
          <w:rFonts w:ascii="Arial" w:hAnsi="Arial" w:cs="Arial"/>
          <w:color w:val="0C2D66"/>
          <w:sz w:val="36"/>
          <w:szCs w:val="36"/>
        </w:rPr>
        <w:t xml:space="preserve"> S.</w:t>
      </w:r>
      <w:r w:rsidR="00431731" w:rsidRPr="0009028A">
        <w:rPr>
          <w:rFonts w:ascii="Arial" w:hAnsi="Arial" w:cs="Arial"/>
          <w:color w:val="0C2D66"/>
          <w:sz w:val="36"/>
          <w:szCs w:val="36"/>
        </w:rPr>
        <w:t>A.</w:t>
      </w:r>
    </w:p>
    <w:p w14:paraId="75B44813" w14:textId="728AA567" w:rsidR="00431731" w:rsidRPr="0009028A" w:rsidRDefault="00F24071" w:rsidP="00FF2ED8">
      <w:pPr>
        <w:pStyle w:val="Ttulo1"/>
        <w:spacing w:after="0"/>
      </w:pPr>
      <w:bookmarkStart w:id="9" w:name="_Toc506991878"/>
      <w:bookmarkStart w:id="10" w:name="_Toc8735027"/>
      <w:r w:rsidRPr="0009028A">
        <w:t>E</w:t>
      </w:r>
      <w:r w:rsidR="00294D14" w:rsidRPr="0009028A">
        <w:t>s</w:t>
      </w:r>
      <w:r w:rsidR="00294D14" w:rsidRPr="0009028A">
        <w:rPr>
          <w:rStyle w:val="Ttulo1Car"/>
          <w:rFonts w:ascii="Arial" w:hAnsi="Arial" w:cs="Arial"/>
          <w:b/>
        </w:rPr>
        <w:t>tado</w:t>
      </w:r>
      <w:r w:rsidR="005D5928" w:rsidRPr="0009028A">
        <w:rPr>
          <w:rStyle w:val="Ttulo1Car"/>
          <w:rFonts w:ascii="Arial" w:hAnsi="Arial" w:cs="Arial"/>
          <w:b/>
        </w:rPr>
        <w:t>s</w:t>
      </w:r>
      <w:r w:rsidR="00294D14" w:rsidRPr="0009028A">
        <w:rPr>
          <w:rStyle w:val="Ttulo1Car"/>
          <w:rFonts w:ascii="Arial" w:hAnsi="Arial" w:cs="Arial"/>
          <w:b/>
        </w:rPr>
        <w:t xml:space="preserve"> </w:t>
      </w:r>
      <w:r w:rsidR="00C82E26" w:rsidRPr="0009028A">
        <w:rPr>
          <w:rStyle w:val="Ttulo1Car"/>
          <w:rFonts w:ascii="Arial" w:hAnsi="Arial" w:cs="Arial"/>
          <w:b/>
        </w:rPr>
        <w:t xml:space="preserve">intermedios </w:t>
      </w:r>
      <w:r w:rsidR="00224611" w:rsidRPr="0009028A">
        <w:rPr>
          <w:rStyle w:val="Ttulo1Car"/>
          <w:rFonts w:ascii="Arial" w:hAnsi="Arial" w:cs="Arial"/>
          <w:b/>
        </w:rPr>
        <w:t xml:space="preserve">condensados </w:t>
      </w:r>
      <w:r w:rsidR="005D5928" w:rsidRPr="0009028A">
        <w:rPr>
          <w:rStyle w:val="Ttulo1Car"/>
          <w:rFonts w:ascii="Arial" w:hAnsi="Arial" w:cs="Arial"/>
          <w:b/>
        </w:rPr>
        <w:t xml:space="preserve">separados </w:t>
      </w:r>
      <w:r w:rsidR="00294D14" w:rsidRPr="0009028A">
        <w:rPr>
          <w:rStyle w:val="Ttulo1Car"/>
          <w:rFonts w:ascii="Arial" w:hAnsi="Arial" w:cs="Arial"/>
          <w:b/>
        </w:rPr>
        <w:t>de otro resultado integral</w:t>
      </w:r>
      <w:bookmarkEnd w:id="9"/>
      <w:bookmarkEnd w:id="10"/>
    </w:p>
    <w:p w14:paraId="203DE828" w14:textId="501EA598" w:rsidR="005D5928" w:rsidRPr="0009028A" w:rsidRDefault="005D5928" w:rsidP="00FF2ED8">
      <w:pPr>
        <w:spacing w:after="0" w:line="240" w:lineRule="auto"/>
        <w:rPr>
          <w:rFonts w:ascii="Arial" w:hAnsi="Arial" w:cs="Arial"/>
          <w:sz w:val="20"/>
          <w:szCs w:val="20"/>
        </w:rPr>
      </w:pPr>
      <w:r w:rsidRPr="0009028A">
        <w:rPr>
          <w:rFonts w:ascii="Arial" w:hAnsi="Arial" w:cs="Arial"/>
          <w:sz w:val="20"/>
          <w:szCs w:val="20"/>
        </w:rPr>
        <w:t>Por el</w:t>
      </w:r>
      <w:r w:rsidR="00753FB4">
        <w:rPr>
          <w:rFonts w:ascii="Arial" w:hAnsi="Arial" w:cs="Arial"/>
          <w:sz w:val="20"/>
          <w:szCs w:val="20"/>
        </w:rPr>
        <w:t xml:space="preserve"> período de tres meses que terminó el 31 de marzo de 2019</w:t>
      </w:r>
    </w:p>
    <w:p w14:paraId="020005B3" w14:textId="77777777" w:rsidR="005D5928" w:rsidRPr="0009028A" w:rsidRDefault="005D5928" w:rsidP="00FF2ED8">
      <w:pPr>
        <w:spacing w:after="0" w:line="240" w:lineRule="auto"/>
        <w:rPr>
          <w:rFonts w:ascii="Arial" w:hAnsi="Arial" w:cs="Arial"/>
          <w:sz w:val="20"/>
          <w:szCs w:val="20"/>
        </w:rPr>
      </w:pPr>
      <w:r w:rsidRPr="0009028A">
        <w:rPr>
          <w:rFonts w:ascii="Arial" w:hAnsi="Arial" w:cs="Arial"/>
          <w:sz w:val="20"/>
          <w:szCs w:val="20"/>
        </w:rPr>
        <w:t>(Expresados en miles de pesos</w:t>
      </w:r>
      <w:r w:rsidR="00C82E26" w:rsidRPr="0009028A">
        <w:rPr>
          <w:rFonts w:ascii="Arial" w:hAnsi="Arial" w:cs="Arial"/>
          <w:sz w:val="20"/>
          <w:szCs w:val="20"/>
        </w:rPr>
        <w:t xml:space="preserve"> Colombianos</w:t>
      </w:r>
      <w:r w:rsidRPr="0009028A">
        <w:rPr>
          <w:rFonts w:ascii="Arial" w:hAnsi="Arial" w:cs="Arial"/>
          <w:sz w:val="20"/>
          <w:szCs w:val="20"/>
        </w:rPr>
        <w:t>)</w:t>
      </w:r>
    </w:p>
    <w:p w14:paraId="55E75C39" w14:textId="77777777" w:rsidR="00DE66EF" w:rsidRPr="0009028A" w:rsidRDefault="00DE66EF" w:rsidP="00DE66EF">
      <w:pPr>
        <w:spacing w:after="0"/>
        <w:rPr>
          <w:rFonts w:ascii="Arial" w:hAnsi="Arial" w:cs="Arial"/>
          <w:sz w:val="20"/>
        </w:rPr>
      </w:pPr>
    </w:p>
    <w:p w14:paraId="27C9D964" w14:textId="77777777" w:rsidR="008A4CA1" w:rsidRPr="0009028A" w:rsidRDefault="008A4CA1" w:rsidP="008A4CA1">
      <w:pPr>
        <w:spacing w:after="0"/>
        <w:rPr>
          <w:rFonts w:ascii="Arial" w:hAnsi="Arial" w:cs="Arial"/>
          <w:sz w:val="20"/>
        </w:rPr>
      </w:pPr>
    </w:p>
    <w:tbl>
      <w:tblPr>
        <w:tblW w:w="3045" w:type="pct"/>
        <w:tblCellMar>
          <w:left w:w="70" w:type="dxa"/>
          <w:right w:w="70" w:type="dxa"/>
        </w:tblCellMar>
        <w:tblLook w:val="04A0" w:firstRow="1" w:lastRow="0" w:firstColumn="1" w:lastColumn="0" w:noHBand="0" w:noVBand="1"/>
      </w:tblPr>
      <w:tblGrid>
        <w:gridCol w:w="4593"/>
        <w:gridCol w:w="241"/>
        <w:gridCol w:w="1161"/>
        <w:gridCol w:w="146"/>
        <w:gridCol w:w="1161"/>
      </w:tblGrid>
      <w:tr w:rsidR="00525587" w:rsidRPr="0009028A" w14:paraId="393AFCF0" w14:textId="77777777" w:rsidTr="008B3749">
        <w:trPr>
          <w:trHeight w:val="227"/>
        </w:trPr>
        <w:tc>
          <w:tcPr>
            <w:tcW w:w="3645" w:type="pct"/>
            <w:shd w:val="clear" w:color="auto" w:fill="auto"/>
            <w:noWrap/>
            <w:hideMark/>
          </w:tcPr>
          <w:p w14:paraId="0585F3DC" w14:textId="77777777" w:rsidR="00525587" w:rsidRPr="0009028A" w:rsidRDefault="00525587" w:rsidP="007E5BB4">
            <w:pPr>
              <w:spacing w:after="0" w:line="240" w:lineRule="auto"/>
              <w:jc w:val="center"/>
              <w:rPr>
                <w:rFonts w:ascii="Arial" w:eastAsia="Times New Roman" w:hAnsi="Arial" w:cs="Arial"/>
                <w:sz w:val="18"/>
                <w:szCs w:val="18"/>
                <w:lang w:eastAsia="es-CO"/>
              </w:rPr>
            </w:pPr>
          </w:p>
        </w:tc>
        <w:tc>
          <w:tcPr>
            <w:tcW w:w="191" w:type="pct"/>
          </w:tcPr>
          <w:p w14:paraId="7EE8F46B" w14:textId="77777777" w:rsidR="00525587" w:rsidRPr="0009028A" w:rsidRDefault="00525587" w:rsidP="007E5BB4">
            <w:pPr>
              <w:spacing w:after="0" w:line="240" w:lineRule="auto"/>
              <w:jc w:val="center"/>
              <w:rPr>
                <w:rFonts w:ascii="Arial" w:eastAsia="Times New Roman" w:hAnsi="Arial" w:cs="Arial"/>
                <w:b/>
                <w:bCs/>
                <w:sz w:val="18"/>
                <w:szCs w:val="18"/>
                <w:lang w:eastAsia="es-CO"/>
              </w:rPr>
            </w:pPr>
          </w:p>
        </w:tc>
        <w:tc>
          <w:tcPr>
            <w:tcW w:w="127" w:type="pct"/>
            <w:shd w:val="clear" w:color="auto" w:fill="auto"/>
            <w:noWrap/>
            <w:hideMark/>
          </w:tcPr>
          <w:p w14:paraId="49F5A13C" w14:textId="77777777" w:rsidR="00525587" w:rsidRPr="00E97933" w:rsidRDefault="00525587" w:rsidP="007E5BB4">
            <w:pPr>
              <w:spacing w:after="0" w:line="240" w:lineRule="auto"/>
              <w:jc w:val="center"/>
              <w:rPr>
                <w:rFonts w:ascii="Arial" w:eastAsia="Times New Roman" w:hAnsi="Arial" w:cs="Arial"/>
                <w:b/>
                <w:bCs/>
                <w:sz w:val="18"/>
                <w:szCs w:val="18"/>
                <w:lang w:eastAsia="es-CO"/>
              </w:rPr>
            </w:pPr>
            <w:r w:rsidRPr="00E97933">
              <w:rPr>
                <w:rFonts w:ascii="Arial" w:eastAsia="Times New Roman" w:hAnsi="Arial" w:cs="Arial"/>
                <w:b/>
                <w:bCs/>
                <w:sz w:val="18"/>
                <w:szCs w:val="18"/>
                <w:lang w:eastAsia="es-CO"/>
              </w:rPr>
              <w:t>2019</w:t>
            </w:r>
          </w:p>
        </w:tc>
        <w:tc>
          <w:tcPr>
            <w:tcW w:w="116" w:type="pct"/>
          </w:tcPr>
          <w:p w14:paraId="6624CE41" w14:textId="77777777" w:rsidR="00525587" w:rsidRPr="00E97933" w:rsidRDefault="00525587" w:rsidP="007E5BB4">
            <w:pPr>
              <w:spacing w:after="0" w:line="240" w:lineRule="auto"/>
              <w:jc w:val="center"/>
              <w:rPr>
                <w:rFonts w:ascii="Arial" w:eastAsia="Times New Roman" w:hAnsi="Arial" w:cs="Arial"/>
                <w:b/>
                <w:bCs/>
                <w:sz w:val="18"/>
                <w:szCs w:val="18"/>
                <w:lang w:eastAsia="es-CO"/>
              </w:rPr>
            </w:pPr>
          </w:p>
        </w:tc>
        <w:tc>
          <w:tcPr>
            <w:tcW w:w="921" w:type="pct"/>
            <w:shd w:val="clear" w:color="auto" w:fill="auto"/>
          </w:tcPr>
          <w:p w14:paraId="6F375814" w14:textId="6679B515" w:rsidR="00525587" w:rsidRPr="00E97933" w:rsidRDefault="00525587" w:rsidP="007E5BB4">
            <w:pPr>
              <w:spacing w:after="0" w:line="240" w:lineRule="auto"/>
              <w:jc w:val="center"/>
              <w:rPr>
                <w:rFonts w:ascii="Arial" w:eastAsia="Times New Roman" w:hAnsi="Arial" w:cs="Arial"/>
                <w:b/>
                <w:bCs/>
                <w:sz w:val="18"/>
                <w:szCs w:val="18"/>
                <w:lang w:eastAsia="es-CO"/>
              </w:rPr>
            </w:pPr>
            <w:r w:rsidRPr="00E97933">
              <w:rPr>
                <w:rFonts w:ascii="Arial" w:eastAsia="Times New Roman" w:hAnsi="Arial" w:cs="Arial"/>
                <w:b/>
                <w:bCs/>
                <w:sz w:val="18"/>
                <w:szCs w:val="18"/>
                <w:lang w:eastAsia="es-CO"/>
              </w:rPr>
              <w:t>2018</w:t>
            </w:r>
          </w:p>
        </w:tc>
      </w:tr>
      <w:tr w:rsidR="00525587" w:rsidRPr="0009028A" w14:paraId="77684344" w14:textId="77777777" w:rsidTr="008B3749">
        <w:trPr>
          <w:trHeight w:val="227"/>
        </w:trPr>
        <w:tc>
          <w:tcPr>
            <w:tcW w:w="3645" w:type="pct"/>
            <w:shd w:val="clear" w:color="auto" w:fill="auto"/>
            <w:noWrap/>
            <w:vAlign w:val="bottom"/>
            <w:hideMark/>
          </w:tcPr>
          <w:p w14:paraId="27065ED4" w14:textId="77777777" w:rsidR="00525587" w:rsidRPr="0009028A" w:rsidRDefault="00525587" w:rsidP="007E5BB4">
            <w:pPr>
              <w:spacing w:after="0" w:line="240" w:lineRule="auto"/>
              <w:jc w:val="center"/>
              <w:rPr>
                <w:rFonts w:ascii="Arial" w:eastAsia="Times New Roman" w:hAnsi="Arial" w:cs="Arial"/>
                <w:b/>
                <w:bCs/>
                <w:sz w:val="18"/>
                <w:szCs w:val="18"/>
                <w:lang w:eastAsia="es-CO"/>
              </w:rPr>
            </w:pPr>
          </w:p>
        </w:tc>
        <w:tc>
          <w:tcPr>
            <w:tcW w:w="191" w:type="pct"/>
            <w:vAlign w:val="center"/>
          </w:tcPr>
          <w:p w14:paraId="3A70A41D" w14:textId="77777777" w:rsidR="00525587" w:rsidRPr="0009028A" w:rsidRDefault="00525587" w:rsidP="00E97933">
            <w:pPr>
              <w:spacing w:after="0" w:line="240" w:lineRule="auto"/>
              <w:jc w:val="right"/>
              <w:rPr>
                <w:rFonts w:ascii="Arial" w:eastAsia="Times New Roman" w:hAnsi="Arial" w:cs="Arial"/>
                <w:sz w:val="18"/>
                <w:szCs w:val="18"/>
                <w:lang w:eastAsia="es-CO"/>
              </w:rPr>
            </w:pPr>
          </w:p>
        </w:tc>
        <w:tc>
          <w:tcPr>
            <w:tcW w:w="127" w:type="pct"/>
            <w:shd w:val="clear" w:color="auto" w:fill="auto"/>
            <w:noWrap/>
            <w:vAlign w:val="center"/>
            <w:hideMark/>
          </w:tcPr>
          <w:p w14:paraId="0E54AFC0" w14:textId="77777777" w:rsidR="00525587" w:rsidRPr="00E97933" w:rsidRDefault="00525587" w:rsidP="00E97933">
            <w:pPr>
              <w:spacing w:after="0" w:line="240" w:lineRule="auto"/>
              <w:jc w:val="right"/>
              <w:rPr>
                <w:rFonts w:ascii="Arial" w:eastAsia="Times New Roman" w:hAnsi="Arial" w:cs="Arial"/>
                <w:sz w:val="18"/>
                <w:szCs w:val="18"/>
                <w:lang w:eastAsia="es-CO"/>
              </w:rPr>
            </w:pPr>
          </w:p>
        </w:tc>
        <w:tc>
          <w:tcPr>
            <w:tcW w:w="116" w:type="pct"/>
            <w:vAlign w:val="center"/>
          </w:tcPr>
          <w:p w14:paraId="5EEC5EF9" w14:textId="77777777" w:rsidR="00525587" w:rsidRPr="00E97933" w:rsidRDefault="00525587" w:rsidP="00E97933">
            <w:pPr>
              <w:spacing w:after="0" w:line="240" w:lineRule="auto"/>
              <w:jc w:val="right"/>
              <w:rPr>
                <w:rFonts w:ascii="Arial" w:eastAsia="Times New Roman" w:hAnsi="Arial" w:cs="Arial"/>
                <w:sz w:val="18"/>
                <w:szCs w:val="18"/>
                <w:lang w:eastAsia="es-CO"/>
              </w:rPr>
            </w:pPr>
          </w:p>
        </w:tc>
        <w:tc>
          <w:tcPr>
            <w:tcW w:w="921" w:type="pct"/>
            <w:shd w:val="clear" w:color="auto" w:fill="auto"/>
            <w:vAlign w:val="center"/>
          </w:tcPr>
          <w:p w14:paraId="61E7099A" w14:textId="2D097579" w:rsidR="00525587" w:rsidRPr="00E97933" w:rsidRDefault="00525587" w:rsidP="00E97933">
            <w:pPr>
              <w:spacing w:after="0" w:line="240" w:lineRule="auto"/>
              <w:jc w:val="right"/>
              <w:rPr>
                <w:rFonts w:ascii="Arial" w:eastAsia="Times New Roman" w:hAnsi="Arial" w:cs="Arial"/>
                <w:sz w:val="18"/>
                <w:szCs w:val="18"/>
                <w:lang w:eastAsia="es-CO"/>
              </w:rPr>
            </w:pPr>
          </w:p>
        </w:tc>
      </w:tr>
      <w:tr w:rsidR="00525587" w:rsidRPr="0009028A" w14:paraId="287D1ECD" w14:textId="77777777" w:rsidTr="008B3749">
        <w:trPr>
          <w:trHeight w:val="227"/>
        </w:trPr>
        <w:tc>
          <w:tcPr>
            <w:tcW w:w="3645" w:type="pct"/>
            <w:shd w:val="clear" w:color="auto" w:fill="auto"/>
            <w:noWrap/>
            <w:vAlign w:val="bottom"/>
            <w:hideMark/>
          </w:tcPr>
          <w:p w14:paraId="75E97E3D" w14:textId="77777777" w:rsidR="00525587" w:rsidRPr="0009028A" w:rsidRDefault="00525587" w:rsidP="00CB0F8E">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Utilidad neta</w:t>
            </w:r>
          </w:p>
        </w:tc>
        <w:tc>
          <w:tcPr>
            <w:tcW w:w="191" w:type="pct"/>
            <w:vAlign w:val="center"/>
          </w:tcPr>
          <w:p w14:paraId="199CD1CA" w14:textId="77777777" w:rsidR="00525587" w:rsidRPr="0009028A" w:rsidRDefault="00525587" w:rsidP="00E97933">
            <w:pPr>
              <w:spacing w:after="0" w:line="240" w:lineRule="auto"/>
              <w:jc w:val="right"/>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w:t>
            </w:r>
          </w:p>
        </w:tc>
        <w:tc>
          <w:tcPr>
            <w:tcW w:w="127" w:type="pct"/>
            <w:tcBorders>
              <w:bottom w:val="single" w:sz="4" w:space="0" w:color="auto"/>
            </w:tcBorders>
            <w:shd w:val="clear" w:color="auto" w:fill="auto"/>
            <w:noWrap/>
            <w:vAlign w:val="center"/>
          </w:tcPr>
          <w:p w14:paraId="3028EDF4" w14:textId="75F976DD" w:rsidR="00525587" w:rsidRPr="00E97933" w:rsidRDefault="00525587" w:rsidP="00E97933">
            <w:pPr>
              <w:spacing w:after="0" w:line="240" w:lineRule="auto"/>
              <w:jc w:val="right"/>
              <w:rPr>
                <w:rFonts w:ascii="Arial" w:eastAsia="Times New Roman" w:hAnsi="Arial" w:cs="Arial"/>
                <w:b/>
                <w:bCs/>
                <w:sz w:val="18"/>
                <w:szCs w:val="18"/>
                <w:lang w:eastAsia="es-CO"/>
              </w:rPr>
            </w:pPr>
            <w:r w:rsidRPr="00E97933">
              <w:rPr>
                <w:rFonts w:ascii="Arial" w:eastAsia="Times New Roman" w:hAnsi="Arial" w:cs="Arial"/>
                <w:b/>
                <w:bCs/>
                <w:sz w:val="18"/>
                <w:szCs w:val="18"/>
                <w:lang w:eastAsia="es-CO"/>
              </w:rPr>
              <w:t>25.810.575</w:t>
            </w:r>
          </w:p>
        </w:tc>
        <w:tc>
          <w:tcPr>
            <w:tcW w:w="116" w:type="pct"/>
            <w:vAlign w:val="center"/>
          </w:tcPr>
          <w:p w14:paraId="1C608490" w14:textId="77777777" w:rsidR="00525587" w:rsidRPr="00E97933" w:rsidRDefault="00525587" w:rsidP="00E97933">
            <w:pPr>
              <w:spacing w:after="0" w:line="240" w:lineRule="auto"/>
              <w:jc w:val="right"/>
              <w:rPr>
                <w:rFonts w:ascii="Arial" w:eastAsia="Times New Roman" w:hAnsi="Arial" w:cs="Arial"/>
                <w:b/>
                <w:bCs/>
                <w:sz w:val="18"/>
                <w:szCs w:val="18"/>
                <w:lang w:eastAsia="es-CO"/>
              </w:rPr>
            </w:pPr>
          </w:p>
        </w:tc>
        <w:tc>
          <w:tcPr>
            <w:tcW w:w="921" w:type="pct"/>
            <w:tcBorders>
              <w:bottom w:val="single" w:sz="4" w:space="0" w:color="auto"/>
            </w:tcBorders>
            <w:shd w:val="clear" w:color="auto" w:fill="auto"/>
            <w:vAlign w:val="center"/>
          </w:tcPr>
          <w:p w14:paraId="2D3D6CA1" w14:textId="2D046341" w:rsidR="00525587" w:rsidRPr="00E97933" w:rsidRDefault="00525587" w:rsidP="00E97933">
            <w:pPr>
              <w:spacing w:after="0" w:line="240" w:lineRule="auto"/>
              <w:jc w:val="right"/>
              <w:rPr>
                <w:rFonts w:ascii="Arial" w:eastAsia="Times New Roman" w:hAnsi="Arial" w:cs="Arial"/>
                <w:b/>
                <w:bCs/>
                <w:sz w:val="18"/>
                <w:szCs w:val="18"/>
                <w:lang w:eastAsia="es-CO"/>
              </w:rPr>
            </w:pPr>
            <w:r w:rsidRPr="00E97933">
              <w:rPr>
                <w:rFonts w:ascii="Arial" w:eastAsia="Times New Roman" w:hAnsi="Arial" w:cs="Arial"/>
                <w:b/>
                <w:bCs/>
                <w:sz w:val="18"/>
                <w:szCs w:val="18"/>
                <w:lang w:eastAsia="es-CO"/>
              </w:rPr>
              <w:t>20.144.556</w:t>
            </w:r>
          </w:p>
        </w:tc>
      </w:tr>
      <w:tr w:rsidR="00525587" w:rsidRPr="0009028A" w14:paraId="40DC9FE4" w14:textId="77777777" w:rsidTr="008B3749">
        <w:trPr>
          <w:trHeight w:val="227"/>
        </w:trPr>
        <w:tc>
          <w:tcPr>
            <w:tcW w:w="3645" w:type="pct"/>
            <w:shd w:val="clear" w:color="auto" w:fill="auto"/>
            <w:noWrap/>
            <w:vAlign w:val="bottom"/>
            <w:hideMark/>
          </w:tcPr>
          <w:p w14:paraId="63136ECB" w14:textId="77777777" w:rsidR="00525587" w:rsidRPr="0009028A" w:rsidRDefault="00525587" w:rsidP="00CB0F8E">
            <w:pPr>
              <w:spacing w:after="0" w:line="240" w:lineRule="auto"/>
              <w:rPr>
                <w:rFonts w:ascii="Arial" w:eastAsia="Times New Roman" w:hAnsi="Arial" w:cs="Arial"/>
                <w:bCs/>
                <w:sz w:val="18"/>
                <w:szCs w:val="18"/>
                <w:lang w:eastAsia="es-CO"/>
              </w:rPr>
            </w:pPr>
          </w:p>
        </w:tc>
        <w:tc>
          <w:tcPr>
            <w:tcW w:w="191" w:type="pct"/>
            <w:vAlign w:val="center"/>
          </w:tcPr>
          <w:p w14:paraId="7B8E5728" w14:textId="77777777" w:rsidR="00525587" w:rsidRPr="0009028A" w:rsidRDefault="00525587" w:rsidP="00E97933">
            <w:pPr>
              <w:spacing w:after="0" w:line="240" w:lineRule="auto"/>
              <w:jc w:val="right"/>
              <w:rPr>
                <w:rFonts w:ascii="Arial" w:eastAsia="Times New Roman" w:hAnsi="Arial" w:cs="Arial"/>
                <w:sz w:val="18"/>
                <w:szCs w:val="18"/>
                <w:lang w:eastAsia="es-CO"/>
              </w:rPr>
            </w:pPr>
          </w:p>
        </w:tc>
        <w:tc>
          <w:tcPr>
            <w:tcW w:w="127" w:type="pct"/>
            <w:tcBorders>
              <w:top w:val="single" w:sz="4" w:space="0" w:color="auto"/>
            </w:tcBorders>
            <w:shd w:val="clear" w:color="auto" w:fill="auto"/>
            <w:noWrap/>
            <w:vAlign w:val="center"/>
          </w:tcPr>
          <w:p w14:paraId="1EB28B93" w14:textId="77777777" w:rsidR="00525587" w:rsidRPr="00E97933" w:rsidRDefault="00525587" w:rsidP="00E97933">
            <w:pPr>
              <w:spacing w:after="0" w:line="240" w:lineRule="auto"/>
              <w:jc w:val="right"/>
              <w:rPr>
                <w:rFonts w:ascii="Arial" w:eastAsia="Times New Roman" w:hAnsi="Arial" w:cs="Arial"/>
                <w:sz w:val="18"/>
                <w:szCs w:val="18"/>
                <w:lang w:eastAsia="es-CO"/>
              </w:rPr>
            </w:pPr>
          </w:p>
        </w:tc>
        <w:tc>
          <w:tcPr>
            <w:tcW w:w="116" w:type="pct"/>
            <w:vAlign w:val="center"/>
          </w:tcPr>
          <w:p w14:paraId="170D7063" w14:textId="77777777" w:rsidR="00525587" w:rsidRPr="00E97933" w:rsidRDefault="00525587" w:rsidP="00E97933">
            <w:pPr>
              <w:spacing w:after="0" w:line="240" w:lineRule="auto"/>
              <w:jc w:val="right"/>
              <w:rPr>
                <w:rFonts w:ascii="Arial" w:eastAsia="Times New Roman" w:hAnsi="Arial" w:cs="Arial"/>
                <w:sz w:val="18"/>
                <w:szCs w:val="18"/>
                <w:lang w:eastAsia="es-CO"/>
              </w:rPr>
            </w:pPr>
          </w:p>
        </w:tc>
        <w:tc>
          <w:tcPr>
            <w:tcW w:w="921" w:type="pct"/>
            <w:tcBorders>
              <w:top w:val="single" w:sz="4" w:space="0" w:color="auto"/>
            </w:tcBorders>
            <w:shd w:val="clear" w:color="auto" w:fill="auto"/>
            <w:vAlign w:val="center"/>
          </w:tcPr>
          <w:p w14:paraId="42A14B90" w14:textId="3DCA5AE2" w:rsidR="00525587" w:rsidRPr="00E97933" w:rsidRDefault="00525587" w:rsidP="00E97933">
            <w:pPr>
              <w:spacing w:after="0" w:line="240" w:lineRule="auto"/>
              <w:jc w:val="right"/>
              <w:rPr>
                <w:rFonts w:ascii="Arial" w:eastAsia="Times New Roman" w:hAnsi="Arial" w:cs="Arial"/>
                <w:sz w:val="18"/>
                <w:szCs w:val="18"/>
                <w:lang w:eastAsia="es-CO"/>
              </w:rPr>
            </w:pPr>
          </w:p>
        </w:tc>
      </w:tr>
      <w:tr w:rsidR="00525587" w:rsidRPr="0009028A" w14:paraId="6D3F142A" w14:textId="77777777" w:rsidTr="008B3749">
        <w:trPr>
          <w:trHeight w:val="227"/>
        </w:trPr>
        <w:tc>
          <w:tcPr>
            <w:tcW w:w="3645" w:type="pct"/>
            <w:shd w:val="clear" w:color="auto" w:fill="auto"/>
            <w:vAlign w:val="bottom"/>
          </w:tcPr>
          <w:p w14:paraId="3DF9C5B7" w14:textId="77777777" w:rsidR="00525587" w:rsidRPr="0009028A" w:rsidRDefault="00525587" w:rsidP="000E7B64">
            <w:pPr>
              <w:spacing w:after="0" w:line="240" w:lineRule="auto"/>
              <w:rPr>
                <w:rFonts w:ascii="Arial" w:eastAsia="Times New Roman" w:hAnsi="Arial" w:cs="Arial"/>
                <w:b/>
                <w:bCs/>
                <w:sz w:val="18"/>
                <w:szCs w:val="18"/>
                <w:lang w:eastAsia="es-CO"/>
              </w:rPr>
            </w:pPr>
            <w:r w:rsidRPr="0009028A">
              <w:rPr>
                <w:rFonts w:ascii="Arial" w:eastAsia="Times New Roman" w:hAnsi="Arial" w:cs="Arial"/>
                <w:sz w:val="18"/>
                <w:szCs w:val="18"/>
                <w:lang w:eastAsia="es-CO"/>
              </w:rPr>
              <w:t>Ganancias y pérdidas de inversiones patrimoniales</w:t>
            </w:r>
          </w:p>
        </w:tc>
        <w:tc>
          <w:tcPr>
            <w:tcW w:w="191" w:type="pct"/>
            <w:vAlign w:val="center"/>
          </w:tcPr>
          <w:p w14:paraId="3222DB38" w14:textId="77777777" w:rsidR="00525587" w:rsidRPr="0009028A" w:rsidRDefault="00525587" w:rsidP="00E97933">
            <w:pPr>
              <w:spacing w:after="0" w:line="240" w:lineRule="auto"/>
              <w:jc w:val="right"/>
              <w:rPr>
                <w:rFonts w:ascii="Arial" w:eastAsia="Times New Roman" w:hAnsi="Arial" w:cs="Arial"/>
                <w:sz w:val="18"/>
                <w:szCs w:val="18"/>
                <w:lang w:eastAsia="es-CO"/>
              </w:rPr>
            </w:pPr>
          </w:p>
        </w:tc>
        <w:tc>
          <w:tcPr>
            <w:tcW w:w="127" w:type="pct"/>
            <w:shd w:val="clear" w:color="auto" w:fill="auto"/>
            <w:vAlign w:val="center"/>
          </w:tcPr>
          <w:p w14:paraId="7E40BB32" w14:textId="77777777" w:rsidR="00525587" w:rsidRPr="00E97933" w:rsidRDefault="00525587" w:rsidP="00E97933">
            <w:pPr>
              <w:spacing w:after="0" w:line="240" w:lineRule="auto"/>
              <w:jc w:val="right"/>
              <w:rPr>
                <w:rFonts w:ascii="Arial" w:eastAsia="Times New Roman" w:hAnsi="Arial" w:cs="Arial"/>
                <w:sz w:val="18"/>
                <w:szCs w:val="18"/>
                <w:lang w:eastAsia="es-CO"/>
              </w:rPr>
            </w:pPr>
            <w:r w:rsidRPr="00E97933">
              <w:rPr>
                <w:rFonts w:ascii="Arial" w:eastAsia="Times New Roman" w:hAnsi="Arial" w:cs="Arial"/>
                <w:sz w:val="18"/>
                <w:szCs w:val="18"/>
                <w:lang w:eastAsia="es-CO"/>
              </w:rPr>
              <w:t>-</w:t>
            </w:r>
          </w:p>
        </w:tc>
        <w:tc>
          <w:tcPr>
            <w:tcW w:w="116" w:type="pct"/>
            <w:vAlign w:val="center"/>
          </w:tcPr>
          <w:p w14:paraId="6092FD0E" w14:textId="77777777" w:rsidR="00525587" w:rsidRPr="00E97933" w:rsidRDefault="00525587" w:rsidP="00E97933">
            <w:pPr>
              <w:spacing w:after="0" w:line="240" w:lineRule="auto"/>
              <w:jc w:val="right"/>
              <w:rPr>
                <w:rFonts w:ascii="Arial" w:eastAsia="Times New Roman" w:hAnsi="Arial" w:cs="Arial"/>
                <w:sz w:val="18"/>
                <w:szCs w:val="18"/>
                <w:lang w:eastAsia="es-CO"/>
              </w:rPr>
            </w:pPr>
          </w:p>
        </w:tc>
        <w:tc>
          <w:tcPr>
            <w:tcW w:w="921" w:type="pct"/>
            <w:shd w:val="clear" w:color="auto" w:fill="auto"/>
            <w:vAlign w:val="center"/>
          </w:tcPr>
          <w:p w14:paraId="145A74CA" w14:textId="7D7A86D1" w:rsidR="00525587" w:rsidRPr="00E97933" w:rsidRDefault="00525587" w:rsidP="00E97933">
            <w:pPr>
              <w:spacing w:after="0" w:line="240" w:lineRule="auto"/>
              <w:jc w:val="right"/>
              <w:rPr>
                <w:rFonts w:ascii="Arial" w:eastAsia="Times New Roman" w:hAnsi="Arial" w:cs="Arial"/>
                <w:sz w:val="18"/>
                <w:szCs w:val="18"/>
                <w:lang w:eastAsia="es-CO"/>
              </w:rPr>
            </w:pPr>
            <w:r w:rsidRPr="00E97933">
              <w:rPr>
                <w:rFonts w:ascii="Arial" w:eastAsia="Times New Roman" w:hAnsi="Arial" w:cs="Arial"/>
                <w:sz w:val="18"/>
                <w:szCs w:val="18"/>
                <w:lang w:eastAsia="es-CO"/>
              </w:rPr>
              <w:t>42.118.280</w:t>
            </w:r>
          </w:p>
        </w:tc>
      </w:tr>
      <w:tr w:rsidR="00525587" w:rsidRPr="0009028A" w14:paraId="0BC58BF0" w14:textId="77777777" w:rsidTr="008B3749">
        <w:trPr>
          <w:trHeight w:val="227"/>
        </w:trPr>
        <w:tc>
          <w:tcPr>
            <w:tcW w:w="3645" w:type="pct"/>
            <w:shd w:val="clear" w:color="auto" w:fill="auto"/>
            <w:noWrap/>
            <w:vAlign w:val="bottom"/>
          </w:tcPr>
          <w:p w14:paraId="27F58499" w14:textId="77777777" w:rsidR="00525587" w:rsidRPr="0009028A" w:rsidRDefault="00525587" w:rsidP="00A54774">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Diferencia en cambio por conversión</w:t>
            </w:r>
          </w:p>
        </w:tc>
        <w:tc>
          <w:tcPr>
            <w:tcW w:w="191" w:type="pct"/>
            <w:vAlign w:val="center"/>
          </w:tcPr>
          <w:p w14:paraId="10ECA672" w14:textId="77777777" w:rsidR="00525587" w:rsidRPr="0009028A" w:rsidRDefault="00525587" w:rsidP="00E97933">
            <w:pPr>
              <w:spacing w:after="0" w:line="240" w:lineRule="auto"/>
              <w:jc w:val="right"/>
              <w:rPr>
                <w:rFonts w:ascii="Arial" w:eastAsia="Times New Roman" w:hAnsi="Arial" w:cs="Arial"/>
                <w:sz w:val="18"/>
                <w:szCs w:val="18"/>
                <w:lang w:eastAsia="es-CO"/>
              </w:rPr>
            </w:pPr>
          </w:p>
        </w:tc>
        <w:tc>
          <w:tcPr>
            <w:tcW w:w="127" w:type="pct"/>
            <w:shd w:val="clear" w:color="auto" w:fill="auto"/>
            <w:noWrap/>
            <w:vAlign w:val="center"/>
          </w:tcPr>
          <w:p w14:paraId="61BA141E" w14:textId="77777777" w:rsidR="00525587" w:rsidRPr="00E97933" w:rsidRDefault="00525587" w:rsidP="00E97933">
            <w:pPr>
              <w:spacing w:after="0" w:line="240" w:lineRule="auto"/>
              <w:jc w:val="right"/>
              <w:rPr>
                <w:rFonts w:ascii="Arial" w:eastAsia="Times New Roman" w:hAnsi="Arial" w:cs="Arial"/>
                <w:sz w:val="18"/>
                <w:szCs w:val="18"/>
                <w:lang w:eastAsia="es-CO"/>
              </w:rPr>
            </w:pPr>
            <w:r w:rsidRPr="00E97933">
              <w:rPr>
                <w:rFonts w:ascii="Arial" w:eastAsia="Times New Roman" w:hAnsi="Arial" w:cs="Arial"/>
                <w:sz w:val="18"/>
                <w:szCs w:val="18"/>
                <w:lang w:eastAsia="es-CO"/>
              </w:rPr>
              <w:t>(31.737.157)</w:t>
            </w:r>
          </w:p>
        </w:tc>
        <w:tc>
          <w:tcPr>
            <w:tcW w:w="116" w:type="pct"/>
            <w:vAlign w:val="center"/>
          </w:tcPr>
          <w:p w14:paraId="44B5CE02" w14:textId="77777777" w:rsidR="00525587" w:rsidRPr="00E97933" w:rsidRDefault="00525587" w:rsidP="00E97933">
            <w:pPr>
              <w:spacing w:after="0" w:line="240" w:lineRule="auto"/>
              <w:jc w:val="right"/>
              <w:rPr>
                <w:rFonts w:ascii="Arial" w:eastAsia="Times New Roman" w:hAnsi="Arial" w:cs="Arial"/>
                <w:sz w:val="18"/>
                <w:szCs w:val="18"/>
                <w:lang w:eastAsia="es-CO"/>
              </w:rPr>
            </w:pPr>
          </w:p>
        </w:tc>
        <w:tc>
          <w:tcPr>
            <w:tcW w:w="921" w:type="pct"/>
            <w:shd w:val="clear" w:color="auto" w:fill="auto"/>
            <w:vAlign w:val="center"/>
          </w:tcPr>
          <w:p w14:paraId="3AA29F49" w14:textId="0202E91E" w:rsidR="00525587" w:rsidRPr="00E97933" w:rsidRDefault="00525587" w:rsidP="00E97933">
            <w:pPr>
              <w:spacing w:after="0" w:line="240" w:lineRule="auto"/>
              <w:jc w:val="right"/>
              <w:rPr>
                <w:rFonts w:ascii="Arial" w:eastAsia="Times New Roman" w:hAnsi="Arial" w:cs="Arial"/>
                <w:sz w:val="18"/>
                <w:szCs w:val="18"/>
                <w:lang w:eastAsia="es-CO"/>
              </w:rPr>
            </w:pPr>
            <w:r w:rsidRPr="00E97933">
              <w:rPr>
                <w:rFonts w:ascii="Arial" w:eastAsia="Times New Roman" w:hAnsi="Arial" w:cs="Arial"/>
                <w:sz w:val="18"/>
                <w:szCs w:val="18"/>
                <w:lang w:eastAsia="es-CO"/>
              </w:rPr>
              <w:t>(86.717.707)</w:t>
            </w:r>
          </w:p>
        </w:tc>
      </w:tr>
      <w:tr w:rsidR="00525587" w:rsidRPr="0009028A" w14:paraId="68008308" w14:textId="77777777" w:rsidTr="008B3749">
        <w:trPr>
          <w:trHeight w:val="227"/>
        </w:trPr>
        <w:tc>
          <w:tcPr>
            <w:tcW w:w="3645" w:type="pct"/>
            <w:shd w:val="clear" w:color="auto" w:fill="auto"/>
            <w:noWrap/>
            <w:vAlign w:val="bottom"/>
          </w:tcPr>
          <w:p w14:paraId="3496368D" w14:textId="77777777" w:rsidR="00525587" w:rsidRPr="0009028A" w:rsidRDefault="00525587" w:rsidP="00A917BD">
            <w:pPr>
              <w:spacing w:after="0" w:line="240" w:lineRule="auto"/>
              <w:rPr>
                <w:rFonts w:ascii="Arial" w:eastAsia="Times New Roman" w:hAnsi="Arial" w:cs="Arial"/>
                <w:b/>
                <w:bCs/>
                <w:sz w:val="18"/>
                <w:szCs w:val="18"/>
                <w:lang w:eastAsia="es-CO"/>
              </w:rPr>
            </w:pPr>
            <w:r w:rsidRPr="0009028A">
              <w:rPr>
                <w:rFonts w:ascii="Arial" w:eastAsia="Times New Roman" w:hAnsi="Arial" w:cs="Arial"/>
                <w:sz w:val="18"/>
                <w:szCs w:val="18"/>
                <w:lang w:eastAsia="es-CO"/>
              </w:rPr>
              <w:t>Efecto de instrumentos de cobertura de flujo de efectivo</w:t>
            </w:r>
          </w:p>
        </w:tc>
        <w:tc>
          <w:tcPr>
            <w:tcW w:w="191" w:type="pct"/>
            <w:vAlign w:val="center"/>
          </w:tcPr>
          <w:p w14:paraId="01B79A31" w14:textId="77777777" w:rsidR="00525587" w:rsidRPr="0009028A" w:rsidRDefault="00525587" w:rsidP="00E97933">
            <w:pPr>
              <w:spacing w:after="0" w:line="240" w:lineRule="auto"/>
              <w:jc w:val="right"/>
              <w:rPr>
                <w:rFonts w:ascii="Arial" w:eastAsia="Times New Roman" w:hAnsi="Arial" w:cs="Arial"/>
                <w:sz w:val="18"/>
                <w:szCs w:val="18"/>
                <w:lang w:eastAsia="es-CO"/>
              </w:rPr>
            </w:pPr>
          </w:p>
        </w:tc>
        <w:tc>
          <w:tcPr>
            <w:tcW w:w="127" w:type="pct"/>
            <w:shd w:val="clear" w:color="auto" w:fill="auto"/>
            <w:noWrap/>
            <w:vAlign w:val="center"/>
          </w:tcPr>
          <w:p w14:paraId="7BA2EA8B" w14:textId="77777777" w:rsidR="00525587" w:rsidRPr="00E97933" w:rsidRDefault="00525587" w:rsidP="00E97933">
            <w:pPr>
              <w:spacing w:after="0" w:line="240" w:lineRule="auto"/>
              <w:jc w:val="right"/>
              <w:rPr>
                <w:rFonts w:ascii="Arial" w:eastAsia="Times New Roman" w:hAnsi="Arial" w:cs="Arial"/>
                <w:sz w:val="18"/>
                <w:szCs w:val="18"/>
                <w:lang w:eastAsia="es-CO"/>
              </w:rPr>
            </w:pPr>
            <w:r w:rsidRPr="00E97933">
              <w:rPr>
                <w:rFonts w:ascii="Arial" w:eastAsia="Times New Roman" w:hAnsi="Arial" w:cs="Arial"/>
                <w:sz w:val="18"/>
                <w:szCs w:val="18"/>
                <w:lang w:eastAsia="es-CO"/>
              </w:rPr>
              <w:t>(4.366.642)</w:t>
            </w:r>
          </w:p>
        </w:tc>
        <w:tc>
          <w:tcPr>
            <w:tcW w:w="116" w:type="pct"/>
            <w:vAlign w:val="center"/>
          </w:tcPr>
          <w:p w14:paraId="40DAE9EB" w14:textId="77777777" w:rsidR="00525587" w:rsidRPr="00E97933" w:rsidRDefault="00525587" w:rsidP="00E97933">
            <w:pPr>
              <w:spacing w:after="0" w:line="240" w:lineRule="auto"/>
              <w:jc w:val="right"/>
              <w:rPr>
                <w:rFonts w:ascii="Arial" w:eastAsia="Times New Roman" w:hAnsi="Arial" w:cs="Arial"/>
                <w:sz w:val="18"/>
                <w:szCs w:val="18"/>
                <w:lang w:eastAsia="es-CO"/>
              </w:rPr>
            </w:pPr>
          </w:p>
        </w:tc>
        <w:tc>
          <w:tcPr>
            <w:tcW w:w="921" w:type="pct"/>
            <w:shd w:val="clear" w:color="auto" w:fill="auto"/>
            <w:vAlign w:val="center"/>
          </w:tcPr>
          <w:p w14:paraId="340CBECD" w14:textId="0DACFFB8" w:rsidR="00525587" w:rsidRPr="00E97933" w:rsidRDefault="00525587" w:rsidP="00E97933">
            <w:pPr>
              <w:spacing w:after="0" w:line="240" w:lineRule="auto"/>
              <w:jc w:val="right"/>
              <w:rPr>
                <w:rFonts w:ascii="Arial" w:eastAsia="Times New Roman" w:hAnsi="Arial" w:cs="Arial"/>
                <w:sz w:val="18"/>
                <w:szCs w:val="18"/>
                <w:lang w:eastAsia="es-CO"/>
              </w:rPr>
            </w:pPr>
            <w:r w:rsidRPr="00E97933">
              <w:rPr>
                <w:rFonts w:ascii="Arial" w:eastAsia="Times New Roman" w:hAnsi="Arial" w:cs="Arial"/>
                <w:sz w:val="18"/>
                <w:szCs w:val="18"/>
                <w:lang w:eastAsia="es-CO"/>
              </w:rPr>
              <w:t>-</w:t>
            </w:r>
          </w:p>
        </w:tc>
      </w:tr>
      <w:tr w:rsidR="00525587" w:rsidRPr="0009028A" w14:paraId="08F7E788" w14:textId="77777777" w:rsidTr="008B3749">
        <w:trPr>
          <w:trHeight w:val="227"/>
        </w:trPr>
        <w:tc>
          <w:tcPr>
            <w:tcW w:w="3645" w:type="pct"/>
            <w:shd w:val="clear" w:color="auto" w:fill="auto"/>
            <w:noWrap/>
            <w:vAlign w:val="bottom"/>
          </w:tcPr>
          <w:p w14:paraId="76AFAB76" w14:textId="77777777" w:rsidR="00525587" w:rsidRPr="0009028A" w:rsidRDefault="00525587" w:rsidP="00A917BD">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Impuesto diferido por coberturas</w:t>
            </w:r>
          </w:p>
        </w:tc>
        <w:tc>
          <w:tcPr>
            <w:tcW w:w="191" w:type="pct"/>
            <w:vAlign w:val="center"/>
          </w:tcPr>
          <w:p w14:paraId="4C51BABD" w14:textId="77777777" w:rsidR="00525587" w:rsidRPr="0009028A" w:rsidRDefault="00525587" w:rsidP="00E97933">
            <w:pPr>
              <w:spacing w:after="0" w:line="240" w:lineRule="auto"/>
              <w:jc w:val="right"/>
              <w:rPr>
                <w:rFonts w:ascii="Arial" w:eastAsia="Times New Roman" w:hAnsi="Arial" w:cs="Arial"/>
                <w:sz w:val="18"/>
                <w:szCs w:val="18"/>
                <w:lang w:eastAsia="es-CO"/>
              </w:rPr>
            </w:pPr>
          </w:p>
        </w:tc>
        <w:tc>
          <w:tcPr>
            <w:tcW w:w="127" w:type="pct"/>
            <w:tcBorders>
              <w:bottom w:val="single" w:sz="4" w:space="0" w:color="auto"/>
            </w:tcBorders>
            <w:shd w:val="clear" w:color="auto" w:fill="auto"/>
            <w:noWrap/>
            <w:vAlign w:val="center"/>
          </w:tcPr>
          <w:p w14:paraId="7675BBA6" w14:textId="51235F36" w:rsidR="00525587" w:rsidRPr="00E97933" w:rsidRDefault="00525587" w:rsidP="00E97933">
            <w:pPr>
              <w:spacing w:after="0" w:line="240" w:lineRule="auto"/>
              <w:jc w:val="right"/>
              <w:rPr>
                <w:rFonts w:ascii="Arial" w:eastAsia="Times New Roman" w:hAnsi="Arial" w:cs="Arial"/>
                <w:sz w:val="18"/>
                <w:szCs w:val="18"/>
                <w:lang w:eastAsia="es-CO"/>
              </w:rPr>
            </w:pPr>
            <w:r w:rsidRPr="00E97933">
              <w:rPr>
                <w:rFonts w:ascii="Arial" w:eastAsia="Times New Roman" w:hAnsi="Arial" w:cs="Arial"/>
                <w:sz w:val="18"/>
                <w:szCs w:val="18"/>
                <w:lang w:eastAsia="es-CO"/>
              </w:rPr>
              <w:t>(4.816.366)</w:t>
            </w:r>
          </w:p>
        </w:tc>
        <w:tc>
          <w:tcPr>
            <w:tcW w:w="116" w:type="pct"/>
            <w:vAlign w:val="center"/>
          </w:tcPr>
          <w:p w14:paraId="00589763" w14:textId="77777777" w:rsidR="00525587" w:rsidRPr="00E97933" w:rsidRDefault="00525587" w:rsidP="00E97933">
            <w:pPr>
              <w:spacing w:after="0" w:line="240" w:lineRule="auto"/>
              <w:jc w:val="right"/>
              <w:rPr>
                <w:rFonts w:ascii="Arial" w:eastAsia="Times New Roman" w:hAnsi="Arial" w:cs="Arial"/>
                <w:sz w:val="18"/>
                <w:szCs w:val="18"/>
                <w:lang w:eastAsia="es-CO"/>
              </w:rPr>
            </w:pPr>
          </w:p>
        </w:tc>
        <w:tc>
          <w:tcPr>
            <w:tcW w:w="921" w:type="pct"/>
            <w:tcBorders>
              <w:bottom w:val="single" w:sz="4" w:space="0" w:color="auto"/>
            </w:tcBorders>
            <w:shd w:val="clear" w:color="auto" w:fill="auto"/>
            <w:vAlign w:val="center"/>
          </w:tcPr>
          <w:p w14:paraId="1DACCB17" w14:textId="057782EB" w:rsidR="00525587" w:rsidRPr="00E97933" w:rsidRDefault="00525587" w:rsidP="00E97933">
            <w:pPr>
              <w:spacing w:after="0" w:line="240" w:lineRule="auto"/>
              <w:jc w:val="right"/>
              <w:rPr>
                <w:rFonts w:ascii="Arial" w:eastAsia="Times New Roman" w:hAnsi="Arial" w:cs="Arial"/>
                <w:sz w:val="18"/>
                <w:szCs w:val="18"/>
                <w:lang w:eastAsia="es-CO"/>
              </w:rPr>
            </w:pPr>
            <w:r w:rsidRPr="00E97933">
              <w:rPr>
                <w:rFonts w:ascii="Arial" w:eastAsia="Times New Roman" w:hAnsi="Arial" w:cs="Arial"/>
                <w:sz w:val="18"/>
                <w:szCs w:val="18"/>
                <w:lang w:eastAsia="es-CO"/>
              </w:rPr>
              <w:t>-</w:t>
            </w:r>
          </w:p>
        </w:tc>
      </w:tr>
      <w:tr w:rsidR="00525587" w:rsidRPr="0009028A" w14:paraId="030EA2D5" w14:textId="77777777" w:rsidTr="008B3749">
        <w:trPr>
          <w:trHeight w:val="227"/>
        </w:trPr>
        <w:tc>
          <w:tcPr>
            <w:tcW w:w="3645" w:type="pct"/>
            <w:shd w:val="clear" w:color="auto" w:fill="auto"/>
            <w:noWrap/>
            <w:vAlign w:val="bottom"/>
            <w:hideMark/>
          </w:tcPr>
          <w:p w14:paraId="297A0C66" w14:textId="77777777" w:rsidR="00525587" w:rsidRPr="0009028A" w:rsidRDefault="00525587" w:rsidP="00A917BD">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 xml:space="preserve">Otro resultado integral, neto de impuestos </w:t>
            </w:r>
          </w:p>
        </w:tc>
        <w:tc>
          <w:tcPr>
            <w:tcW w:w="191" w:type="pct"/>
            <w:vAlign w:val="center"/>
          </w:tcPr>
          <w:p w14:paraId="4A3A5D2D" w14:textId="77777777" w:rsidR="00525587" w:rsidRPr="0009028A" w:rsidRDefault="00525587" w:rsidP="00E97933">
            <w:pPr>
              <w:spacing w:after="0" w:line="240" w:lineRule="auto"/>
              <w:jc w:val="right"/>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w:t>
            </w:r>
          </w:p>
        </w:tc>
        <w:tc>
          <w:tcPr>
            <w:tcW w:w="127" w:type="pct"/>
            <w:tcBorders>
              <w:top w:val="single" w:sz="4" w:space="0" w:color="auto"/>
            </w:tcBorders>
            <w:shd w:val="clear" w:color="auto" w:fill="auto"/>
            <w:noWrap/>
            <w:vAlign w:val="center"/>
          </w:tcPr>
          <w:p w14:paraId="3C15630F" w14:textId="1C531DDB" w:rsidR="00525587" w:rsidRPr="00E97933" w:rsidRDefault="00525587" w:rsidP="00E97933">
            <w:pPr>
              <w:spacing w:after="0" w:line="240" w:lineRule="auto"/>
              <w:jc w:val="right"/>
              <w:rPr>
                <w:rFonts w:ascii="Arial" w:eastAsia="Times New Roman" w:hAnsi="Arial" w:cs="Arial"/>
                <w:b/>
                <w:bCs/>
                <w:sz w:val="18"/>
                <w:szCs w:val="18"/>
                <w:lang w:eastAsia="es-CO"/>
              </w:rPr>
            </w:pPr>
            <w:r w:rsidRPr="00E97933">
              <w:rPr>
                <w:rFonts w:ascii="Arial" w:eastAsia="Times New Roman" w:hAnsi="Arial" w:cs="Arial"/>
                <w:b/>
                <w:bCs/>
                <w:sz w:val="18"/>
                <w:szCs w:val="18"/>
                <w:lang w:eastAsia="es-CO"/>
              </w:rPr>
              <w:t>(40.920.165)</w:t>
            </w:r>
          </w:p>
        </w:tc>
        <w:tc>
          <w:tcPr>
            <w:tcW w:w="116" w:type="pct"/>
            <w:vAlign w:val="center"/>
          </w:tcPr>
          <w:p w14:paraId="5F338398" w14:textId="77777777" w:rsidR="00525587" w:rsidRPr="00E97933" w:rsidRDefault="00525587" w:rsidP="00E97933">
            <w:pPr>
              <w:spacing w:after="0" w:line="240" w:lineRule="auto"/>
              <w:jc w:val="right"/>
              <w:rPr>
                <w:rFonts w:ascii="Arial" w:eastAsia="Times New Roman" w:hAnsi="Arial" w:cs="Arial"/>
                <w:b/>
                <w:bCs/>
                <w:sz w:val="18"/>
                <w:szCs w:val="18"/>
                <w:lang w:eastAsia="es-CO"/>
              </w:rPr>
            </w:pPr>
          </w:p>
        </w:tc>
        <w:tc>
          <w:tcPr>
            <w:tcW w:w="921" w:type="pct"/>
            <w:tcBorders>
              <w:top w:val="single" w:sz="4" w:space="0" w:color="auto"/>
            </w:tcBorders>
            <w:shd w:val="clear" w:color="auto" w:fill="auto"/>
            <w:vAlign w:val="center"/>
          </w:tcPr>
          <w:p w14:paraId="1B861CE1" w14:textId="61B45BD2" w:rsidR="00525587" w:rsidRPr="00E97933" w:rsidRDefault="00525587" w:rsidP="00E97933">
            <w:pPr>
              <w:spacing w:after="0" w:line="240" w:lineRule="auto"/>
              <w:jc w:val="right"/>
              <w:rPr>
                <w:rFonts w:ascii="Arial" w:eastAsia="Times New Roman" w:hAnsi="Arial" w:cs="Arial"/>
                <w:b/>
                <w:bCs/>
                <w:sz w:val="18"/>
                <w:szCs w:val="18"/>
                <w:lang w:eastAsia="es-CO"/>
              </w:rPr>
            </w:pPr>
            <w:r w:rsidRPr="00E97933">
              <w:rPr>
                <w:rFonts w:ascii="Arial" w:eastAsia="Times New Roman" w:hAnsi="Arial" w:cs="Arial"/>
                <w:b/>
                <w:bCs/>
                <w:sz w:val="18"/>
                <w:szCs w:val="18"/>
                <w:lang w:eastAsia="es-CO"/>
              </w:rPr>
              <w:t>(44.599.427)</w:t>
            </w:r>
          </w:p>
        </w:tc>
      </w:tr>
      <w:tr w:rsidR="00E97933" w:rsidRPr="0009028A" w14:paraId="6BEBD15A" w14:textId="77777777" w:rsidTr="008B3749">
        <w:trPr>
          <w:trHeight w:val="227"/>
        </w:trPr>
        <w:tc>
          <w:tcPr>
            <w:tcW w:w="3645" w:type="pct"/>
            <w:shd w:val="clear" w:color="auto" w:fill="auto"/>
            <w:noWrap/>
            <w:vAlign w:val="bottom"/>
          </w:tcPr>
          <w:p w14:paraId="30F92C63" w14:textId="77777777" w:rsidR="00E97933" w:rsidRPr="0009028A" w:rsidRDefault="00E97933" w:rsidP="00A917BD">
            <w:pPr>
              <w:spacing w:after="0" w:line="240" w:lineRule="auto"/>
              <w:rPr>
                <w:rFonts w:ascii="Arial" w:eastAsia="Times New Roman" w:hAnsi="Arial" w:cs="Arial"/>
                <w:b/>
                <w:bCs/>
                <w:sz w:val="18"/>
                <w:szCs w:val="18"/>
                <w:lang w:eastAsia="es-CO"/>
              </w:rPr>
            </w:pPr>
          </w:p>
        </w:tc>
        <w:tc>
          <w:tcPr>
            <w:tcW w:w="191" w:type="pct"/>
            <w:vAlign w:val="center"/>
          </w:tcPr>
          <w:p w14:paraId="6228AC1A" w14:textId="77777777" w:rsidR="00E97933" w:rsidRPr="0009028A" w:rsidRDefault="00E97933" w:rsidP="00E97933">
            <w:pPr>
              <w:spacing w:after="0" w:line="240" w:lineRule="auto"/>
              <w:jc w:val="right"/>
              <w:rPr>
                <w:rFonts w:ascii="Arial" w:eastAsia="Times New Roman" w:hAnsi="Arial" w:cs="Arial"/>
                <w:b/>
                <w:bCs/>
                <w:sz w:val="18"/>
                <w:szCs w:val="18"/>
                <w:lang w:eastAsia="es-CO"/>
              </w:rPr>
            </w:pPr>
          </w:p>
        </w:tc>
        <w:tc>
          <w:tcPr>
            <w:tcW w:w="127" w:type="pct"/>
            <w:tcBorders>
              <w:bottom w:val="single" w:sz="4" w:space="0" w:color="auto"/>
            </w:tcBorders>
            <w:shd w:val="clear" w:color="auto" w:fill="auto"/>
            <w:noWrap/>
            <w:vAlign w:val="center"/>
          </w:tcPr>
          <w:p w14:paraId="4D5F4EFD" w14:textId="77777777" w:rsidR="00E97933" w:rsidRPr="00E97933" w:rsidRDefault="00E97933" w:rsidP="00E97933">
            <w:pPr>
              <w:spacing w:after="0" w:line="240" w:lineRule="auto"/>
              <w:jc w:val="right"/>
              <w:rPr>
                <w:rFonts w:ascii="Arial" w:eastAsia="Times New Roman" w:hAnsi="Arial" w:cs="Arial"/>
                <w:b/>
                <w:bCs/>
                <w:sz w:val="18"/>
                <w:szCs w:val="18"/>
                <w:lang w:eastAsia="es-CO"/>
              </w:rPr>
            </w:pPr>
          </w:p>
        </w:tc>
        <w:tc>
          <w:tcPr>
            <w:tcW w:w="116" w:type="pct"/>
            <w:vAlign w:val="center"/>
          </w:tcPr>
          <w:p w14:paraId="5C662F2D" w14:textId="77777777" w:rsidR="00E97933" w:rsidRPr="00E97933" w:rsidRDefault="00E97933" w:rsidP="00E97933">
            <w:pPr>
              <w:spacing w:after="0" w:line="240" w:lineRule="auto"/>
              <w:jc w:val="right"/>
              <w:rPr>
                <w:rFonts w:ascii="Arial" w:eastAsia="Times New Roman" w:hAnsi="Arial" w:cs="Arial"/>
                <w:b/>
                <w:bCs/>
                <w:sz w:val="18"/>
                <w:szCs w:val="18"/>
                <w:lang w:eastAsia="es-CO"/>
              </w:rPr>
            </w:pPr>
          </w:p>
        </w:tc>
        <w:tc>
          <w:tcPr>
            <w:tcW w:w="921" w:type="pct"/>
            <w:tcBorders>
              <w:bottom w:val="single" w:sz="4" w:space="0" w:color="auto"/>
            </w:tcBorders>
            <w:shd w:val="clear" w:color="auto" w:fill="auto"/>
            <w:vAlign w:val="center"/>
          </w:tcPr>
          <w:p w14:paraId="572CC76F" w14:textId="77777777" w:rsidR="00E97933" w:rsidRPr="00E97933" w:rsidRDefault="00E97933" w:rsidP="00E97933">
            <w:pPr>
              <w:spacing w:after="0" w:line="240" w:lineRule="auto"/>
              <w:jc w:val="right"/>
              <w:rPr>
                <w:rFonts w:ascii="Arial" w:eastAsia="Times New Roman" w:hAnsi="Arial" w:cs="Arial"/>
                <w:b/>
                <w:bCs/>
                <w:sz w:val="18"/>
                <w:szCs w:val="18"/>
                <w:lang w:eastAsia="es-CO"/>
              </w:rPr>
            </w:pPr>
          </w:p>
        </w:tc>
      </w:tr>
      <w:tr w:rsidR="00525587" w:rsidRPr="0009028A" w14:paraId="3BA7D5DB" w14:textId="77777777" w:rsidTr="008B3749">
        <w:trPr>
          <w:trHeight w:val="227"/>
        </w:trPr>
        <w:tc>
          <w:tcPr>
            <w:tcW w:w="3645" w:type="pct"/>
            <w:shd w:val="clear" w:color="auto" w:fill="auto"/>
            <w:noWrap/>
            <w:vAlign w:val="bottom"/>
            <w:hideMark/>
          </w:tcPr>
          <w:p w14:paraId="6389769B" w14:textId="77777777" w:rsidR="00525587" w:rsidRPr="0009028A" w:rsidRDefault="00525587" w:rsidP="00A917BD">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Resultado integral total</w:t>
            </w:r>
          </w:p>
        </w:tc>
        <w:tc>
          <w:tcPr>
            <w:tcW w:w="191" w:type="pct"/>
            <w:vAlign w:val="center"/>
          </w:tcPr>
          <w:p w14:paraId="2B97FF1D" w14:textId="77777777" w:rsidR="00525587" w:rsidRPr="0009028A" w:rsidRDefault="00525587" w:rsidP="00E97933">
            <w:pPr>
              <w:spacing w:after="0" w:line="240" w:lineRule="auto"/>
              <w:jc w:val="right"/>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w:t>
            </w:r>
          </w:p>
        </w:tc>
        <w:tc>
          <w:tcPr>
            <w:tcW w:w="127" w:type="pct"/>
            <w:tcBorders>
              <w:top w:val="single" w:sz="4" w:space="0" w:color="auto"/>
              <w:bottom w:val="double" w:sz="4" w:space="0" w:color="auto"/>
            </w:tcBorders>
            <w:shd w:val="clear" w:color="auto" w:fill="auto"/>
            <w:noWrap/>
            <w:vAlign w:val="center"/>
          </w:tcPr>
          <w:p w14:paraId="0122CE1C" w14:textId="7F5BA8EA" w:rsidR="00525587" w:rsidRPr="00E97933" w:rsidRDefault="00525587" w:rsidP="00E97933">
            <w:pPr>
              <w:spacing w:after="0" w:line="240" w:lineRule="auto"/>
              <w:jc w:val="right"/>
              <w:rPr>
                <w:rFonts w:ascii="Arial" w:eastAsia="Times New Roman" w:hAnsi="Arial" w:cs="Arial"/>
                <w:b/>
                <w:bCs/>
                <w:sz w:val="18"/>
                <w:szCs w:val="18"/>
                <w:lang w:eastAsia="es-CO"/>
              </w:rPr>
            </w:pPr>
            <w:r w:rsidRPr="00E97933">
              <w:rPr>
                <w:rFonts w:ascii="Arial" w:eastAsia="Times New Roman" w:hAnsi="Arial" w:cs="Arial"/>
                <w:b/>
                <w:bCs/>
                <w:sz w:val="18"/>
                <w:szCs w:val="18"/>
                <w:lang w:eastAsia="es-CO"/>
              </w:rPr>
              <w:t>(15.109.590)</w:t>
            </w:r>
          </w:p>
        </w:tc>
        <w:tc>
          <w:tcPr>
            <w:tcW w:w="116" w:type="pct"/>
            <w:vAlign w:val="center"/>
          </w:tcPr>
          <w:p w14:paraId="492E59A9" w14:textId="77777777" w:rsidR="00525587" w:rsidRPr="00E97933" w:rsidRDefault="00525587" w:rsidP="00E97933">
            <w:pPr>
              <w:spacing w:after="0" w:line="240" w:lineRule="auto"/>
              <w:jc w:val="right"/>
              <w:rPr>
                <w:rFonts w:ascii="Arial" w:eastAsia="Times New Roman" w:hAnsi="Arial" w:cs="Arial"/>
                <w:b/>
                <w:bCs/>
                <w:sz w:val="18"/>
                <w:szCs w:val="18"/>
                <w:lang w:eastAsia="es-CO"/>
              </w:rPr>
            </w:pPr>
          </w:p>
        </w:tc>
        <w:tc>
          <w:tcPr>
            <w:tcW w:w="921" w:type="pct"/>
            <w:tcBorders>
              <w:top w:val="single" w:sz="4" w:space="0" w:color="auto"/>
              <w:bottom w:val="double" w:sz="4" w:space="0" w:color="auto"/>
            </w:tcBorders>
            <w:shd w:val="clear" w:color="auto" w:fill="auto"/>
            <w:vAlign w:val="center"/>
          </w:tcPr>
          <w:p w14:paraId="2F49C218" w14:textId="564C538E" w:rsidR="00525587" w:rsidRPr="00E97933" w:rsidRDefault="00525587" w:rsidP="00E97933">
            <w:pPr>
              <w:spacing w:after="0" w:line="240" w:lineRule="auto"/>
              <w:jc w:val="right"/>
              <w:rPr>
                <w:rFonts w:ascii="Arial" w:eastAsia="Times New Roman" w:hAnsi="Arial" w:cs="Arial"/>
                <w:b/>
                <w:bCs/>
                <w:sz w:val="18"/>
                <w:szCs w:val="18"/>
                <w:lang w:eastAsia="es-CO"/>
              </w:rPr>
            </w:pPr>
            <w:r w:rsidRPr="00E97933">
              <w:rPr>
                <w:rFonts w:ascii="Arial" w:eastAsia="Times New Roman" w:hAnsi="Arial" w:cs="Arial"/>
                <w:b/>
                <w:bCs/>
                <w:sz w:val="18"/>
                <w:szCs w:val="18"/>
                <w:lang w:eastAsia="es-CO"/>
              </w:rPr>
              <w:t>(24.454.871)</w:t>
            </w:r>
          </w:p>
        </w:tc>
      </w:tr>
    </w:tbl>
    <w:p w14:paraId="30C40E4F" w14:textId="77777777" w:rsidR="00FA747C" w:rsidRPr="0009028A" w:rsidRDefault="00FA747C" w:rsidP="00B806DA">
      <w:pPr>
        <w:spacing w:after="0" w:line="275" w:lineRule="auto"/>
        <w:ind w:right="4096"/>
        <w:rPr>
          <w:rFonts w:ascii="Arial" w:eastAsia="Arial" w:hAnsi="Arial" w:cs="Arial"/>
          <w:b/>
          <w:color w:val="0C2D66"/>
          <w:spacing w:val="-1"/>
          <w:sz w:val="20"/>
          <w:szCs w:val="20"/>
        </w:rPr>
      </w:pPr>
    </w:p>
    <w:p w14:paraId="6C65C377" w14:textId="77777777" w:rsidR="00427E30" w:rsidRPr="0009028A" w:rsidRDefault="00C82E26" w:rsidP="00C82E26">
      <w:pPr>
        <w:spacing w:after="0" w:line="275" w:lineRule="auto"/>
        <w:ind w:right="142"/>
        <w:rPr>
          <w:rFonts w:ascii="Arial" w:eastAsia="Arial" w:hAnsi="Arial" w:cs="Arial"/>
          <w:b/>
          <w:spacing w:val="-1"/>
          <w:sz w:val="20"/>
          <w:szCs w:val="20"/>
        </w:rPr>
      </w:pPr>
      <w:r w:rsidRPr="0009028A">
        <w:rPr>
          <w:rFonts w:ascii="Arial" w:hAnsi="Arial" w:cs="Arial"/>
          <w:sz w:val="18"/>
          <w:szCs w:val="18"/>
        </w:rPr>
        <w:t>Las notas que se acompañan son parte integral de los estados financieros intermedios condensados separados.</w:t>
      </w:r>
    </w:p>
    <w:p w14:paraId="1708931C" w14:textId="77777777" w:rsidR="00CD0EC8" w:rsidRPr="0009028A" w:rsidRDefault="00CD0EC8" w:rsidP="00B806DA">
      <w:pPr>
        <w:spacing w:after="0" w:line="275" w:lineRule="auto"/>
        <w:ind w:right="4096"/>
        <w:rPr>
          <w:rFonts w:ascii="Arial" w:eastAsia="Arial" w:hAnsi="Arial" w:cs="Arial"/>
          <w:b/>
          <w:spacing w:val="-1"/>
          <w:sz w:val="20"/>
          <w:szCs w:val="20"/>
        </w:rPr>
      </w:pPr>
    </w:p>
    <w:p w14:paraId="3F005BC9" w14:textId="77777777" w:rsidR="00CD0EC8" w:rsidRPr="0009028A" w:rsidRDefault="00CD0EC8" w:rsidP="00B806DA">
      <w:pPr>
        <w:spacing w:after="0" w:line="275" w:lineRule="auto"/>
        <w:ind w:right="4096"/>
        <w:rPr>
          <w:rFonts w:ascii="Arial" w:eastAsia="Arial" w:hAnsi="Arial" w:cs="Arial"/>
          <w:b/>
          <w:spacing w:val="-1"/>
          <w:sz w:val="20"/>
          <w:szCs w:val="20"/>
        </w:rPr>
      </w:pPr>
    </w:p>
    <w:p w14:paraId="0BCDF3DB" w14:textId="77777777" w:rsidR="00427E30" w:rsidRPr="0009028A" w:rsidRDefault="00427E30" w:rsidP="00B806DA">
      <w:pPr>
        <w:spacing w:after="0" w:line="275" w:lineRule="auto"/>
        <w:ind w:right="4096"/>
        <w:rPr>
          <w:rFonts w:ascii="Arial" w:eastAsia="Arial" w:hAnsi="Arial" w:cs="Arial"/>
          <w:b/>
          <w:spacing w:val="-1"/>
          <w:sz w:val="20"/>
          <w:szCs w:val="20"/>
        </w:rPr>
      </w:pPr>
    </w:p>
    <w:p w14:paraId="7710D71F" w14:textId="74705589" w:rsidR="00C82E26" w:rsidRPr="0009028A" w:rsidRDefault="00C52937" w:rsidP="00C82E26">
      <w:pPr>
        <w:tabs>
          <w:tab w:val="center" w:pos="4820"/>
          <w:tab w:val="center" w:pos="8364"/>
        </w:tabs>
        <w:spacing w:after="0" w:line="275" w:lineRule="auto"/>
        <w:ind w:right="-2"/>
        <w:rPr>
          <w:rFonts w:ascii="Arial" w:hAnsi="Arial" w:cs="Arial"/>
          <w:b/>
          <w:sz w:val="18"/>
          <w:szCs w:val="18"/>
        </w:rPr>
      </w:pPr>
      <w:r>
        <w:rPr>
          <w:rFonts w:ascii="Arial" w:hAnsi="Arial" w:cs="Arial"/>
          <w:b/>
          <w:sz w:val="18"/>
          <w:szCs w:val="18"/>
        </w:rPr>
        <w:t>Mauricio Ossa Echeverry</w:t>
      </w:r>
      <w:r w:rsidR="00C82E26" w:rsidRPr="0009028A">
        <w:rPr>
          <w:rFonts w:ascii="Arial" w:hAnsi="Arial" w:cs="Arial"/>
          <w:b/>
          <w:sz w:val="18"/>
          <w:szCs w:val="18"/>
        </w:rPr>
        <w:tab/>
        <w:t>Mario Alonso García Romero</w:t>
      </w:r>
      <w:r w:rsidR="00C82E26" w:rsidRPr="0009028A">
        <w:rPr>
          <w:rFonts w:ascii="Arial" w:hAnsi="Arial" w:cs="Arial"/>
          <w:b/>
          <w:sz w:val="18"/>
          <w:szCs w:val="18"/>
        </w:rPr>
        <w:tab/>
        <w:t>Mario Alberto López Ocampo</w:t>
      </w:r>
      <w:r w:rsidR="00C82E26" w:rsidRPr="0009028A" w:rsidDel="000D02AC">
        <w:rPr>
          <w:rFonts w:ascii="Arial" w:hAnsi="Arial" w:cs="Arial"/>
          <w:b/>
          <w:sz w:val="18"/>
          <w:szCs w:val="18"/>
        </w:rPr>
        <w:t xml:space="preserve"> </w:t>
      </w:r>
    </w:p>
    <w:p w14:paraId="5C19B3CD" w14:textId="33306EBB" w:rsidR="00C82E26" w:rsidRPr="0009028A" w:rsidRDefault="00C52937" w:rsidP="00C82E26">
      <w:pPr>
        <w:tabs>
          <w:tab w:val="center" w:pos="4820"/>
          <w:tab w:val="center" w:pos="8364"/>
        </w:tabs>
        <w:spacing w:after="0" w:line="275" w:lineRule="auto"/>
        <w:ind w:right="-2"/>
        <w:rPr>
          <w:rFonts w:ascii="Arial" w:hAnsi="Arial" w:cs="Arial"/>
          <w:sz w:val="18"/>
          <w:szCs w:val="18"/>
        </w:rPr>
      </w:pPr>
      <w:r>
        <w:rPr>
          <w:rFonts w:ascii="Arial" w:hAnsi="Arial" w:cs="Arial"/>
          <w:sz w:val="18"/>
          <w:szCs w:val="18"/>
        </w:rPr>
        <w:t>Presidente</w:t>
      </w:r>
      <w:r w:rsidR="00C82E26" w:rsidRPr="0009028A">
        <w:rPr>
          <w:rFonts w:ascii="Arial" w:hAnsi="Arial" w:cs="Arial"/>
          <w:sz w:val="18"/>
          <w:szCs w:val="18"/>
        </w:rPr>
        <w:t xml:space="preserve"> (*)</w:t>
      </w:r>
      <w:r w:rsidR="00C82E26" w:rsidRPr="0009028A">
        <w:rPr>
          <w:rFonts w:ascii="Arial" w:hAnsi="Arial" w:cs="Arial"/>
          <w:sz w:val="18"/>
          <w:szCs w:val="18"/>
        </w:rPr>
        <w:tab/>
        <w:t>Contador (*)</w:t>
      </w:r>
      <w:r w:rsidR="00C82E26" w:rsidRPr="0009028A">
        <w:rPr>
          <w:rFonts w:ascii="Arial" w:hAnsi="Arial" w:cs="Arial"/>
          <w:sz w:val="18"/>
          <w:szCs w:val="18"/>
        </w:rPr>
        <w:tab/>
        <w:t xml:space="preserve">Revisor Fiscal </w:t>
      </w:r>
    </w:p>
    <w:p w14:paraId="61139CE8" w14:textId="77777777" w:rsidR="00C82E26" w:rsidRPr="0009028A" w:rsidRDefault="00C82E26" w:rsidP="00C82E26">
      <w:pPr>
        <w:tabs>
          <w:tab w:val="center" w:pos="4820"/>
          <w:tab w:val="center" w:pos="8364"/>
        </w:tabs>
        <w:spacing w:after="0" w:line="275" w:lineRule="auto"/>
        <w:ind w:right="-2"/>
        <w:rPr>
          <w:rFonts w:ascii="Arial" w:hAnsi="Arial" w:cs="Arial"/>
          <w:sz w:val="18"/>
          <w:szCs w:val="18"/>
        </w:rPr>
      </w:pPr>
      <w:r w:rsidRPr="0009028A">
        <w:rPr>
          <w:rFonts w:ascii="Arial" w:hAnsi="Arial" w:cs="Arial"/>
          <w:sz w:val="18"/>
          <w:szCs w:val="18"/>
        </w:rPr>
        <w:tab/>
        <w:t>T.P. 69852-T</w:t>
      </w:r>
      <w:r w:rsidRPr="0009028A">
        <w:rPr>
          <w:rFonts w:ascii="Arial" w:hAnsi="Arial" w:cs="Arial"/>
          <w:sz w:val="18"/>
          <w:szCs w:val="18"/>
        </w:rPr>
        <w:tab/>
        <w:t>T.P. 110657-T</w:t>
      </w:r>
    </w:p>
    <w:p w14:paraId="48775D87" w14:textId="77777777" w:rsidR="00C82E26" w:rsidRPr="0009028A" w:rsidRDefault="00C82E26" w:rsidP="00C82E26">
      <w:pPr>
        <w:tabs>
          <w:tab w:val="center" w:pos="4820"/>
          <w:tab w:val="center" w:pos="8364"/>
        </w:tabs>
        <w:spacing w:after="0" w:line="275" w:lineRule="auto"/>
        <w:ind w:right="-2"/>
        <w:rPr>
          <w:rFonts w:ascii="Arial" w:hAnsi="Arial" w:cs="Arial"/>
          <w:sz w:val="18"/>
          <w:szCs w:val="18"/>
        </w:rPr>
      </w:pPr>
      <w:r w:rsidRPr="0009028A">
        <w:rPr>
          <w:rFonts w:ascii="Arial" w:hAnsi="Arial" w:cs="Arial"/>
          <w:sz w:val="18"/>
          <w:szCs w:val="18"/>
        </w:rPr>
        <w:tab/>
      </w:r>
      <w:r w:rsidRPr="0009028A">
        <w:rPr>
          <w:rFonts w:ascii="Arial" w:hAnsi="Arial" w:cs="Arial"/>
          <w:sz w:val="18"/>
          <w:szCs w:val="18"/>
        </w:rPr>
        <w:tab/>
        <w:t>Miembro de KPMG S.A.S.</w:t>
      </w:r>
    </w:p>
    <w:p w14:paraId="264BD771" w14:textId="1D54100D" w:rsidR="00C82E26" w:rsidRPr="0009028A" w:rsidRDefault="00C82E26" w:rsidP="00C82E26">
      <w:pPr>
        <w:tabs>
          <w:tab w:val="center" w:pos="4820"/>
          <w:tab w:val="center" w:pos="8364"/>
        </w:tabs>
        <w:spacing w:after="0" w:line="275" w:lineRule="auto"/>
        <w:ind w:right="-2"/>
        <w:rPr>
          <w:rFonts w:ascii="Arial" w:hAnsi="Arial" w:cs="Arial"/>
          <w:sz w:val="18"/>
          <w:szCs w:val="18"/>
        </w:rPr>
      </w:pPr>
      <w:r w:rsidRPr="0009028A">
        <w:rPr>
          <w:rFonts w:ascii="Arial" w:hAnsi="Arial" w:cs="Arial"/>
          <w:sz w:val="18"/>
          <w:szCs w:val="18"/>
        </w:rPr>
        <w:tab/>
      </w:r>
      <w:r w:rsidRPr="0009028A">
        <w:rPr>
          <w:rFonts w:ascii="Arial" w:hAnsi="Arial" w:cs="Arial"/>
          <w:sz w:val="18"/>
          <w:szCs w:val="18"/>
        </w:rPr>
        <w:tab/>
        <w:t xml:space="preserve">(Véase mi informe </w:t>
      </w:r>
      <w:r w:rsidR="0063525B">
        <w:rPr>
          <w:rFonts w:ascii="Arial" w:hAnsi="Arial" w:cs="Arial"/>
          <w:sz w:val="18"/>
          <w:szCs w:val="18"/>
        </w:rPr>
        <w:t>del 14</w:t>
      </w:r>
      <w:r w:rsidRPr="0009028A">
        <w:rPr>
          <w:rFonts w:ascii="Arial" w:hAnsi="Arial" w:cs="Arial"/>
          <w:sz w:val="18"/>
          <w:szCs w:val="18"/>
        </w:rPr>
        <w:t xml:space="preserve"> de mayo de 2019)</w:t>
      </w:r>
    </w:p>
    <w:p w14:paraId="4694C3E5" w14:textId="77777777" w:rsidR="00CD0EC8" w:rsidRPr="0009028A" w:rsidRDefault="00CD0EC8" w:rsidP="00CD0EC8">
      <w:pPr>
        <w:spacing w:after="0" w:line="240" w:lineRule="auto"/>
        <w:rPr>
          <w:rFonts w:ascii="Arial" w:hAnsi="Arial" w:cs="Arial"/>
          <w:sz w:val="18"/>
          <w:szCs w:val="18"/>
        </w:rPr>
      </w:pPr>
    </w:p>
    <w:p w14:paraId="542C0AB9" w14:textId="77777777" w:rsidR="00CD0EC8" w:rsidRPr="0009028A" w:rsidRDefault="00CD0EC8" w:rsidP="00CD0EC8">
      <w:pPr>
        <w:spacing w:after="0" w:line="240" w:lineRule="auto"/>
        <w:rPr>
          <w:rFonts w:ascii="Arial" w:hAnsi="Arial" w:cs="Arial"/>
          <w:sz w:val="18"/>
          <w:szCs w:val="18"/>
        </w:rPr>
      </w:pPr>
      <w:r w:rsidRPr="0009028A">
        <w:rPr>
          <w:rFonts w:ascii="Arial" w:hAnsi="Arial" w:cs="Arial"/>
          <w:sz w:val="18"/>
          <w:szCs w:val="18"/>
        </w:rPr>
        <w:t>(*) Los suscritos Representante Legal y Contador Público certificamos que hemos verificado previamente las afirmaciones contenidas en estos estados financieros y que los mismos han sido tomados fielmente de los libros de contabilidad de la Compañía.</w:t>
      </w:r>
    </w:p>
    <w:p w14:paraId="38A42F94" w14:textId="77777777" w:rsidR="00AE4352" w:rsidRPr="0009028A" w:rsidRDefault="00AE4352" w:rsidP="00B846D6">
      <w:pPr>
        <w:spacing w:before="83" w:after="0" w:line="275" w:lineRule="auto"/>
        <w:ind w:right="4096"/>
        <w:rPr>
          <w:rFonts w:ascii="Arial" w:eastAsia="Arial" w:hAnsi="Arial" w:cs="Arial"/>
          <w:b/>
          <w:spacing w:val="-1"/>
          <w:sz w:val="20"/>
          <w:szCs w:val="20"/>
        </w:rPr>
      </w:pPr>
    </w:p>
    <w:p w14:paraId="0DC2087A" w14:textId="00CA55A9" w:rsidR="00AE4352" w:rsidRPr="0009028A" w:rsidRDefault="00AE4352" w:rsidP="000D02AC">
      <w:pPr>
        <w:tabs>
          <w:tab w:val="left" w:pos="1265"/>
        </w:tabs>
        <w:rPr>
          <w:rFonts w:ascii="Arial" w:eastAsia="Arial" w:hAnsi="Arial" w:cs="Arial"/>
          <w:sz w:val="20"/>
          <w:szCs w:val="20"/>
        </w:rPr>
      </w:pPr>
    </w:p>
    <w:p w14:paraId="67CBDD46" w14:textId="77777777" w:rsidR="00AE4352" w:rsidRPr="0009028A" w:rsidRDefault="00AE4352" w:rsidP="00AE4352">
      <w:pPr>
        <w:rPr>
          <w:rFonts w:ascii="Arial" w:eastAsia="Arial" w:hAnsi="Arial" w:cs="Arial"/>
          <w:sz w:val="20"/>
          <w:szCs w:val="20"/>
        </w:rPr>
      </w:pPr>
    </w:p>
    <w:p w14:paraId="12F4C609" w14:textId="77777777" w:rsidR="00C45BC4" w:rsidRPr="0009028A" w:rsidRDefault="00C45BC4" w:rsidP="000D02AC">
      <w:pPr>
        <w:rPr>
          <w:rFonts w:ascii="Arial" w:eastAsia="Arial" w:hAnsi="Arial" w:cs="Arial"/>
          <w:sz w:val="20"/>
          <w:szCs w:val="20"/>
        </w:rPr>
        <w:sectPr w:rsidR="00C45BC4" w:rsidRPr="0009028A" w:rsidSect="000D02AC">
          <w:headerReference w:type="default" r:id="rId10"/>
          <w:footerReference w:type="default" r:id="rId11"/>
          <w:headerReference w:type="first" r:id="rId12"/>
          <w:footerReference w:type="first" r:id="rId13"/>
          <w:pgSz w:w="12240" w:h="15840" w:code="1"/>
          <w:pgMar w:top="1418" w:right="900" w:bottom="1559" w:left="992" w:header="709" w:footer="488" w:gutter="0"/>
          <w:cols w:space="708"/>
          <w:docGrid w:linePitch="360"/>
        </w:sectPr>
      </w:pPr>
    </w:p>
    <w:p w14:paraId="535E078F" w14:textId="5E116538" w:rsidR="003B5C10" w:rsidRPr="0009028A" w:rsidRDefault="009F2756" w:rsidP="00FF2ED8">
      <w:pPr>
        <w:spacing w:after="0" w:line="240" w:lineRule="auto"/>
        <w:rPr>
          <w:rFonts w:ascii="Arial" w:hAnsi="Arial" w:cs="Arial"/>
          <w:color w:val="0C2D66"/>
          <w:sz w:val="36"/>
          <w:szCs w:val="36"/>
        </w:rPr>
      </w:pPr>
      <w:r w:rsidRPr="0009028A">
        <w:rPr>
          <w:rFonts w:ascii="Arial" w:hAnsi="Arial" w:cs="Arial"/>
          <w:color w:val="0C2D66"/>
          <w:sz w:val="36"/>
          <w:szCs w:val="36"/>
        </w:rPr>
        <w:t>Odinsa</w:t>
      </w:r>
      <w:r w:rsidR="00945832" w:rsidRPr="0009028A">
        <w:rPr>
          <w:rFonts w:ascii="Arial" w:hAnsi="Arial" w:cs="Arial"/>
          <w:color w:val="0C2D66"/>
          <w:sz w:val="36"/>
          <w:szCs w:val="36"/>
        </w:rPr>
        <w:t xml:space="preserve"> S.</w:t>
      </w:r>
      <w:r w:rsidR="003B5C10" w:rsidRPr="0009028A">
        <w:rPr>
          <w:rFonts w:ascii="Arial" w:hAnsi="Arial" w:cs="Arial"/>
          <w:color w:val="0C2D66"/>
          <w:sz w:val="36"/>
          <w:szCs w:val="36"/>
        </w:rPr>
        <w:t>A.</w:t>
      </w:r>
    </w:p>
    <w:p w14:paraId="5954CCF1" w14:textId="0F7D8985" w:rsidR="003B5C10" w:rsidRPr="0009028A" w:rsidRDefault="003B5C10" w:rsidP="00FF2ED8">
      <w:pPr>
        <w:pStyle w:val="Ttulo1"/>
        <w:spacing w:after="0"/>
      </w:pPr>
      <w:bookmarkStart w:id="11" w:name="_Toc506991879"/>
      <w:bookmarkStart w:id="12" w:name="_Toc8735028"/>
      <w:r w:rsidRPr="0009028A">
        <w:t>Estado</w:t>
      </w:r>
      <w:r w:rsidR="00DA182B" w:rsidRPr="0009028A">
        <w:t>s</w:t>
      </w:r>
      <w:r w:rsidRPr="0009028A">
        <w:t xml:space="preserve"> </w:t>
      </w:r>
      <w:r w:rsidR="00C82E26" w:rsidRPr="0009028A">
        <w:t xml:space="preserve">intermedios </w:t>
      </w:r>
      <w:r w:rsidR="00224611" w:rsidRPr="0009028A">
        <w:t xml:space="preserve">condensados </w:t>
      </w:r>
      <w:r w:rsidR="00DA182B" w:rsidRPr="0009028A">
        <w:t xml:space="preserve">separados </w:t>
      </w:r>
      <w:r w:rsidRPr="0009028A">
        <w:t>de cambios en el patrimonio</w:t>
      </w:r>
      <w:bookmarkEnd w:id="11"/>
      <w:bookmarkEnd w:id="12"/>
    </w:p>
    <w:p w14:paraId="25472B25" w14:textId="77777777" w:rsidR="00DA182B" w:rsidRPr="0009028A" w:rsidRDefault="00DA182B" w:rsidP="00FF2ED8">
      <w:pPr>
        <w:spacing w:after="0" w:line="240" w:lineRule="auto"/>
        <w:rPr>
          <w:rFonts w:ascii="Arial" w:hAnsi="Arial" w:cs="Arial"/>
          <w:sz w:val="20"/>
          <w:szCs w:val="20"/>
        </w:rPr>
      </w:pPr>
      <w:r w:rsidRPr="0009028A">
        <w:rPr>
          <w:rFonts w:ascii="Arial" w:hAnsi="Arial" w:cs="Arial"/>
          <w:sz w:val="20"/>
          <w:szCs w:val="20"/>
        </w:rPr>
        <w:t>Por el período de tres meses</w:t>
      </w:r>
      <w:r w:rsidR="00224611" w:rsidRPr="0009028A">
        <w:rPr>
          <w:rFonts w:ascii="Arial" w:hAnsi="Arial" w:cs="Arial"/>
          <w:sz w:val="20"/>
          <w:szCs w:val="20"/>
        </w:rPr>
        <w:t xml:space="preserve"> que</w:t>
      </w:r>
      <w:r w:rsidRPr="0009028A">
        <w:rPr>
          <w:rFonts w:ascii="Arial" w:hAnsi="Arial" w:cs="Arial"/>
          <w:sz w:val="20"/>
          <w:szCs w:val="20"/>
        </w:rPr>
        <w:t xml:space="preserve"> termin</w:t>
      </w:r>
      <w:r w:rsidR="00224611" w:rsidRPr="0009028A">
        <w:rPr>
          <w:rFonts w:ascii="Arial" w:hAnsi="Arial" w:cs="Arial"/>
          <w:sz w:val="20"/>
          <w:szCs w:val="20"/>
        </w:rPr>
        <w:t>ó</w:t>
      </w:r>
      <w:r w:rsidRPr="0009028A">
        <w:rPr>
          <w:rFonts w:ascii="Arial" w:hAnsi="Arial" w:cs="Arial"/>
          <w:sz w:val="20"/>
          <w:szCs w:val="20"/>
        </w:rPr>
        <w:t xml:space="preserve"> el 31 de marzo 2019</w:t>
      </w:r>
    </w:p>
    <w:p w14:paraId="364EEC01" w14:textId="77777777" w:rsidR="00DA182B" w:rsidRPr="0009028A" w:rsidRDefault="00DA182B" w:rsidP="00FF2ED8">
      <w:pPr>
        <w:spacing w:after="0" w:line="240" w:lineRule="auto"/>
        <w:rPr>
          <w:rFonts w:ascii="Arial" w:hAnsi="Arial" w:cs="Arial"/>
          <w:sz w:val="20"/>
          <w:szCs w:val="20"/>
        </w:rPr>
      </w:pPr>
      <w:r w:rsidRPr="0009028A">
        <w:rPr>
          <w:rFonts w:ascii="Arial" w:hAnsi="Arial" w:cs="Arial"/>
          <w:sz w:val="20"/>
          <w:szCs w:val="20"/>
        </w:rPr>
        <w:t>(Expresados en miles de pesos</w:t>
      </w:r>
      <w:r w:rsidR="00C82E26" w:rsidRPr="0009028A">
        <w:rPr>
          <w:rFonts w:ascii="Arial" w:hAnsi="Arial" w:cs="Arial"/>
          <w:sz w:val="20"/>
          <w:szCs w:val="20"/>
        </w:rPr>
        <w:t xml:space="preserve"> Colombianos</w:t>
      </w:r>
      <w:r w:rsidRPr="0009028A">
        <w:rPr>
          <w:rFonts w:ascii="Arial" w:hAnsi="Arial" w:cs="Arial"/>
          <w:sz w:val="20"/>
          <w:szCs w:val="20"/>
        </w:rPr>
        <w:t>)</w:t>
      </w:r>
    </w:p>
    <w:p w14:paraId="0CC0B9BC" w14:textId="77777777" w:rsidR="00DE66EF" w:rsidRPr="0009028A" w:rsidRDefault="00DE66EF" w:rsidP="00C21888">
      <w:pPr>
        <w:spacing w:after="0"/>
        <w:rPr>
          <w:rFonts w:ascii="Arial" w:hAnsi="Arial" w:cs="Arial"/>
          <w:sz w:val="20"/>
        </w:rPr>
      </w:pPr>
    </w:p>
    <w:tbl>
      <w:tblPr>
        <w:tblW w:w="14620" w:type="dxa"/>
        <w:tblCellMar>
          <w:left w:w="70" w:type="dxa"/>
          <w:right w:w="70" w:type="dxa"/>
        </w:tblCellMar>
        <w:tblLook w:val="04A0" w:firstRow="1" w:lastRow="0" w:firstColumn="1" w:lastColumn="0" w:noHBand="0" w:noVBand="1"/>
      </w:tblPr>
      <w:tblGrid>
        <w:gridCol w:w="3940"/>
        <w:gridCol w:w="229"/>
        <w:gridCol w:w="1145"/>
        <w:gridCol w:w="146"/>
        <w:gridCol w:w="1104"/>
        <w:gridCol w:w="146"/>
        <w:gridCol w:w="1222"/>
        <w:gridCol w:w="146"/>
        <w:gridCol w:w="1153"/>
        <w:gridCol w:w="146"/>
        <w:gridCol w:w="1193"/>
        <w:gridCol w:w="146"/>
        <w:gridCol w:w="1193"/>
        <w:gridCol w:w="146"/>
        <w:gridCol w:w="1213"/>
        <w:gridCol w:w="146"/>
        <w:gridCol w:w="1206"/>
      </w:tblGrid>
      <w:tr w:rsidR="008F6532" w:rsidRPr="008F6532" w14:paraId="779173F7" w14:textId="77777777" w:rsidTr="008F6532">
        <w:trPr>
          <w:trHeight w:val="227"/>
        </w:trPr>
        <w:tc>
          <w:tcPr>
            <w:tcW w:w="3940" w:type="dxa"/>
            <w:tcBorders>
              <w:top w:val="nil"/>
              <w:left w:val="nil"/>
              <w:bottom w:val="nil"/>
              <w:right w:val="nil"/>
            </w:tcBorders>
            <w:shd w:val="clear" w:color="auto" w:fill="auto"/>
            <w:noWrap/>
            <w:vAlign w:val="center"/>
            <w:hideMark/>
          </w:tcPr>
          <w:p w14:paraId="6B9E2A76" w14:textId="77777777" w:rsidR="008F6532" w:rsidRPr="008F6532" w:rsidRDefault="008F6532" w:rsidP="008F6532">
            <w:pPr>
              <w:spacing w:after="0" w:line="240" w:lineRule="auto"/>
              <w:rPr>
                <w:rFonts w:ascii="Times New Roman" w:eastAsia="Times New Roman" w:hAnsi="Times New Roman" w:cs="Times New Roman"/>
                <w:sz w:val="24"/>
                <w:szCs w:val="24"/>
                <w:lang w:eastAsia="es-CO"/>
              </w:rPr>
            </w:pPr>
          </w:p>
        </w:tc>
        <w:tc>
          <w:tcPr>
            <w:tcW w:w="200" w:type="dxa"/>
            <w:tcBorders>
              <w:top w:val="nil"/>
              <w:left w:val="nil"/>
              <w:bottom w:val="nil"/>
              <w:right w:val="nil"/>
            </w:tcBorders>
            <w:shd w:val="clear" w:color="auto" w:fill="auto"/>
            <w:vAlign w:val="center"/>
            <w:hideMark/>
          </w:tcPr>
          <w:p w14:paraId="2DCFDE90" w14:textId="77777777" w:rsidR="008F6532" w:rsidRPr="008F6532" w:rsidRDefault="008F6532" w:rsidP="008F6532">
            <w:pPr>
              <w:spacing w:after="0" w:line="240" w:lineRule="auto"/>
              <w:rPr>
                <w:rFonts w:ascii="Times New Roman" w:eastAsia="Times New Roman" w:hAnsi="Times New Roman" w:cs="Times New Roman"/>
                <w:sz w:val="20"/>
                <w:szCs w:val="20"/>
                <w:lang w:eastAsia="es-CO"/>
              </w:rPr>
            </w:pPr>
          </w:p>
        </w:tc>
        <w:tc>
          <w:tcPr>
            <w:tcW w:w="1240" w:type="dxa"/>
            <w:tcBorders>
              <w:top w:val="nil"/>
              <w:left w:val="nil"/>
              <w:bottom w:val="nil"/>
              <w:right w:val="nil"/>
            </w:tcBorders>
            <w:shd w:val="clear" w:color="auto" w:fill="auto"/>
            <w:vAlign w:val="center"/>
            <w:hideMark/>
          </w:tcPr>
          <w:p w14:paraId="1A9A1128" w14:textId="77777777" w:rsidR="008F6532" w:rsidRPr="008F6532" w:rsidRDefault="008F6532" w:rsidP="008F6532">
            <w:pPr>
              <w:spacing w:after="0" w:line="240" w:lineRule="auto"/>
              <w:jc w:val="center"/>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val="es-ES" w:eastAsia="es-CO"/>
              </w:rPr>
              <w:t>Capital y prima en colocación de acciones</w:t>
            </w:r>
          </w:p>
        </w:tc>
        <w:tc>
          <w:tcPr>
            <w:tcW w:w="80" w:type="dxa"/>
            <w:tcBorders>
              <w:top w:val="nil"/>
              <w:left w:val="nil"/>
              <w:bottom w:val="nil"/>
              <w:right w:val="nil"/>
            </w:tcBorders>
            <w:shd w:val="clear" w:color="auto" w:fill="auto"/>
            <w:vAlign w:val="center"/>
            <w:hideMark/>
          </w:tcPr>
          <w:p w14:paraId="2390F304" w14:textId="77777777" w:rsidR="008F6532" w:rsidRPr="008F6532" w:rsidRDefault="008F6532" w:rsidP="008F6532">
            <w:pPr>
              <w:spacing w:after="0" w:line="240" w:lineRule="auto"/>
              <w:jc w:val="center"/>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0AC79EDF" w14:textId="77777777" w:rsidR="008F6532" w:rsidRPr="008F6532" w:rsidRDefault="008F6532" w:rsidP="008F6532">
            <w:pPr>
              <w:spacing w:after="0" w:line="240" w:lineRule="auto"/>
              <w:jc w:val="center"/>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val="es-ES" w:eastAsia="es-CO"/>
              </w:rPr>
              <w:t>Reserva legal</w:t>
            </w:r>
          </w:p>
        </w:tc>
        <w:tc>
          <w:tcPr>
            <w:tcW w:w="80" w:type="dxa"/>
            <w:tcBorders>
              <w:top w:val="nil"/>
              <w:left w:val="nil"/>
              <w:bottom w:val="nil"/>
              <w:right w:val="nil"/>
            </w:tcBorders>
            <w:shd w:val="clear" w:color="auto" w:fill="auto"/>
            <w:vAlign w:val="center"/>
            <w:hideMark/>
          </w:tcPr>
          <w:p w14:paraId="27269041" w14:textId="77777777" w:rsidR="008F6532" w:rsidRPr="008F6532" w:rsidRDefault="008F6532" w:rsidP="008F6532">
            <w:pPr>
              <w:spacing w:after="0" w:line="240" w:lineRule="auto"/>
              <w:jc w:val="center"/>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0D78CCC8" w14:textId="77777777" w:rsidR="008F6532" w:rsidRPr="008F6532" w:rsidRDefault="008F6532" w:rsidP="008F6532">
            <w:pPr>
              <w:spacing w:after="0" w:line="240" w:lineRule="auto"/>
              <w:jc w:val="center"/>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val="es-ES" w:eastAsia="es-CO"/>
              </w:rPr>
              <w:t>Otras reservas</w:t>
            </w:r>
          </w:p>
        </w:tc>
        <w:tc>
          <w:tcPr>
            <w:tcW w:w="80" w:type="dxa"/>
            <w:tcBorders>
              <w:top w:val="nil"/>
              <w:left w:val="nil"/>
              <w:bottom w:val="nil"/>
              <w:right w:val="nil"/>
            </w:tcBorders>
            <w:shd w:val="clear" w:color="auto" w:fill="auto"/>
            <w:vAlign w:val="center"/>
            <w:hideMark/>
          </w:tcPr>
          <w:p w14:paraId="6E54CCDA" w14:textId="77777777" w:rsidR="008F6532" w:rsidRPr="008F6532" w:rsidRDefault="008F6532" w:rsidP="008F6532">
            <w:pPr>
              <w:spacing w:after="0" w:line="240" w:lineRule="auto"/>
              <w:jc w:val="center"/>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4643A9E0" w14:textId="77777777" w:rsidR="008F6532" w:rsidRPr="008F6532" w:rsidRDefault="008F6532" w:rsidP="008F6532">
            <w:pPr>
              <w:spacing w:after="0" w:line="240" w:lineRule="auto"/>
              <w:jc w:val="center"/>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val="es-ES" w:eastAsia="es-CO"/>
              </w:rPr>
              <w:t>Otro resultado integral</w:t>
            </w:r>
          </w:p>
        </w:tc>
        <w:tc>
          <w:tcPr>
            <w:tcW w:w="80" w:type="dxa"/>
            <w:tcBorders>
              <w:top w:val="nil"/>
              <w:left w:val="nil"/>
              <w:bottom w:val="nil"/>
              <w:right w:val="nil"/>
            </w:tcBorders>
            <w:shd w:val="clear" w:color="auto" w:fill="auto"/>
            <w:vAlign w:val="center"/>
            <w:hideMark/>
          </w:tcPr>
          <w:p w14:paraId="2CD8D8C2" w14:textId="77777777" w:rsidR="008F6532" w:rsidRPr="008F6532" w:rsidRDefault="008F6532" w:rsidP="008F6532">
            <w:pPr>
              <w:spacing w:after="0" w:line="240" w:lineRule="auto"/>
              <w:jc w:val="center"/>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160050E9" w14:textId="77777777" w:rsidR="008F6532" w:rsidRPr="008F6532" w:rsidRDefault="008F6532" w:rsidP="008F6532">
            <w:pPr>
              <w:spacing w:after="0" w:line="240" w:lineRule="auto"/>
              <w:jc w:val="center"/>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val="es-ES" w:eastAsia="es-CO"/>
              </w:rPr>
              <w:t>Resultados acumulados</w:t>
            </w:r>
          </w:p>
        </w:tc>
        <w:tc>
          <w:tcPr>
            <w:tcW w:w="80" w:type="dxa"/>
            <w:tcBorders>
              <w:top w:val="nil"/>
              <w:left w:val="nil"/>
              <w:bottom w:val="nil"/>
              <w:right w:val="nil"/>
            </w:tcBorders>
            <w:shd w:val="clear" w:color="auto" w:fill="auto"/>
            <w:vAlign w:val="center"/>
            <w:hideMark/>
          </w:tcPr>
          <w:p w14:paraId="252CCA98" w14:textId="77777777" w:rsidR="008F6532" w:rsidRPr="008F6532" w:rsidRDefault="008F6532" w:rsidP="008F6532">
            <w:pPr>
              <w:spacing w:after="0" w:line="240" w:lineRule="auto"/>
              <w:jc w:val="center"/>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4264FBCA" w14:textId="77777777" w:rsidR="008F6532" w:rsidRPr="008F6532" w:rsidRDefault="008F6532" w:rsidP="008F6532">
            <w:pPr>
              <w:spacing w:after="0" w:line="240" w:lineRule="auto"/>
              <w:jc w:val="center"/>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val="es-ES" w:eastAsia="es-CO"/>
              </w:rPr>
              <w:t>Utilidad del ejercicio</w:t>
            </w:r>
          </w:p>
        </w:tc>
        <w:tc>
          <w:tcPr>
            <w:tcW w:w="80" w:type="dxa"/>
            <w:tcBorders>
              <w:top w:val="nil"/>
              <w:left w:val="nil"/>
              <w:bottom w:val="nil"/>
              <w:right w:val="nil"/>
            </w:tcBorders>
            <w:shd w:val="clear" w:color="auto" w:fill="auto"/>
            <w:vAlign w:val="center"/>
            <w:hideMark/>
          </w:tcPr>
          <w:p w14:paraId="371C54AB" w14:textId="77777777" w:rsidR="008F6532" w:rsidRPr="008F6532" w:rsidRDefault="008F6532" w:rsidP="008F6532">
            <w:pPr>
              <w:spacing w:after="0" w:line="240" w:lineRule="auto"/>
              <w:jc w:val="center"/>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54E8E742" w14:textId="77777777" w:rsidR="008F6532" w:rsidRPr="008F6532" w:rsidRDefault="008F6532" w:rsidP="008F6532">
            <w:pPr>
              <w:spacing w:after="0" w:line="240" w:lineRule="auto"/>
              <w:jc w:val="center"/>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val="es-ES" w:eastAsia="es-CO"/>
              </w:rPr>
              <w:t>Otros componentes del patrimonio</w:t>
            </w:r>
          </w:p>
        </w:tc>
        <w:tc>
          <w:tcPr>
            <w:tcW w:w="80" w:type="dxa"/>
            <w:tcBorders>
              <w:top w:val="nil"/>
              <w:left w:val="nil"/>
              <w:bottom w:val="nil"/>
              <w:right w:val="nil"/>
            </w:tcBorders>
            <w:shd w:val="clear" w:color="auto" w:fill="auto"/>
            <w:vAlign w:val="center"/>
            <w:hideMark/>
          </w:tcPr>
          <w:p w14:paraId="05FC9F3B" w14:textId="77777777" w:rsidR="008F6532" w:rsidRPr="008F6532" w:rsidRDefault="008F6532" w:rsidP="008F6532">
            <w:pPr>
              <w:spacing w:after="0" w:line="240" w:lineRule="auto"/>
              <w:jc w:val="center"/>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47753C27" w14:textId="77777777" w:rsidR="008F6532" w:rsidRPr="008F6532" w:rsidRDefault="008F6532" w:rsidP="008F6532">
            <w:pPr>
              <w:spacing w:after="0" w:line="240" w:lineRule="auto"/>
              <w:jc w:val="center"/>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val="es-ES" w:eastAsia="es-CO"/>
              </w:rPr>
              <w:t>Total Patrimonio</w:t>
            </w:r>
          </w:p>
        </w:tc>
      </w:tr>
      <w:tr w:rsidR="008F6532" w:rsidRPr="008F6532" w14:paraId="4C8BF405" w14:textId="77777777" w:rsidTr="008F6532">
        <w:trPr>
          <w:trHeight w:val="227"/>
        </w:trPr>
        <w:tc>
          <w:tcPr>
            <w:tcW w:w="3940" w:type="dxa"/>
            <w:tcBorders>
              <w:top w:val="nil"/>
              <w:left w:val="nil"/>
              <w:bottom w:val="nil"/>
              <w:right w:val="nil"/>
            </w:tcBorders>
            <w:shd w:val="clear" w:color="auto" w:fill="auto"/>
            <w:noWrap/>
            <w:vAlign w:val="center"/>
            <w:hideMark/>
          </w:tcPr>
          <w:p w14:paraId="221AB5BB" w14:textId="77777777" w:rsidR="008F6532" w:rsidRPr="008F6532" w:rsidRDefault="008F6532" w:rsidP="008F6532">
            <w:pPr>
              <w:spacing w:after="0" w:line="240" w:lineRule="auto"/>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Saldo al 1º de enero de 2018</w:t>
            </w:r>
          </w:p>
        </w:tc>
        <w:tc>
          <w:tcPr>
            <w:tcW w:w="200" w:type="dxa"/>
            <w:tcBorders>
              <w:top w:val="nil"/>
              <w:left w:val="nil"/>
              <w:bottom w:val="nil"/>
              <w:right w:val="nil"/>
            </w:tcBorders>
            <w:shd w:val="clear" w:color="auto" w:fill="auto"/>
            <w:vAlign w:val="center"/>
            <w:hideMark/>
          </w:tcPr>
          <w:p w14:paraId="75BA8918" w14:textId="77777777" w:rsidR="008F6532" w:rsidRPr="008F6532" w:rsidRDefault="008F6532" w:rsidP="008F6532">
            <w:pPr>
              <w:spacing w:after="0" w:line="240" w:lineRule="auto"/>
              <w:jc w:val="center"/>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1240" w:type="dxa"/>
            <w:tcBorders>
              <w:top w:val="nil"/>
              <w:left w:val="nil"/>
              <w:bottom w:val="nil"/>
              <w:right w:val="nil"/>
            </w:tcBorders>
            <w:shd w:val="clear" w:color="auto" w:fill="auto"/>
            <w:vAlign w:val="center"/>
            <w:hideMark/>
          </w:tcPr>
          <w:p w14:paraId="102A4679"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374.133.269</w:t>
            </w:r>
          </w:p>
        </w:tc>
        <w:tc>
          <w:tcPr>
            <w:tcW w:w="80" w:type="dxa"/>
            <w:tcBorders>
              <w:top w:val="nil"/>
              <w:left w:val="nil"/>
              <w:bottom w:val="nil"/>
              <w:right w:val="nil"/>
            </w:tcBorders>
            <w:shd w:val="clear" w:color="auto" w:fill="auto"/>
            <w:vAlign w:val="center"/>
            <w:hideMark/>
          </w:tcPr>
          <w:p w14:paraId="40DE4109"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2971CF23"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78.498.174</w:t>
            </w:r>
          </w:p>
        </w:tc>
        <w:tc>
          <w:tcPr>
            <w:tcW w:w="80" w:type="dxa"/>
            <w:tcBorders>
              <w:top w:val="nil"/>
              <w:left w:val="nil"/>
              <w:bottom w:val="nil"/>
              <w:right w:val="nil"/>
            </w:tcBorders>
            <w:shd w:val="clear" w:color="auto" w:fill="auto"/>
            <w:vAlign w:val="center"/>
            <w:hideMark/>
          </w:tcPr>
          <w:p w14:paraId="0E243587"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1E263E48"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994.135.452</w:t>
            </w:r>
          </w:p>
        </w:tc>
        <w:tc>
          <w:tcPr>
            <w:tcW w:w="80" w:type="dxa"/>
            <w:tcBorders>
              <w:top w:val="nil"/>
              <w:left w:val="nil"/>
              <w:bottom w:val="nil"/>
              <w:right w:val="nil"/>
            </w:tcBorders>
            <w:shd w:val="clear" w:color="auto" w:fill="auto"/>
            <w:vAlign w:val="center"/>
            <w:hideMark/>
          </w:tcPr>
          <w:p w14:paraId="3C301983"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1C4F89C3"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83.088.641</w:t>
            </w:r>
          </w:p>
        </w:tc>
        <w:tc>
          <w:tcPr>
            <w:tcW w:w="80" w:type="dxa"/>
            <w:tcBorders>
              <w:top w:val="nil"/>
              <w:left w:val="nil"/>
              <w:bottom w:val="nil"/>
              <w:right w:val="nil"/>
            </w:tcBorders>
            <w:shd w:val="clear" w:color="auto" w:fill="auto"/>
            <w:vAlign w:val="center"/>
            <w:hideMark/>
          </w:tcPr>
          <w:p w14:paraId="3264C925"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5F8558F8" w14:textId="68C59399"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w:t>
            </w:r>
            <w:r w:rsidRPr="008F6532">
              <w:rPr>
                <w:rFonts w:ascii="Arial" w:eastAsia="Times New Roman" w:hAnsi="Arial" w:cs="Arial"/>
                <w:b/>
                <w:bCs/>
                <w:color w:val="000000"/>
                <w:sz w:val="16"/>
                <w:szCs w:val="16"/>
                <w:lang w:eastAsia="es-CO"/>
              </w:rPr>
              <w:t>243.028.271</w:t>
            </w:r>
            <w:r>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19B31BB4"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073A9AAA"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144.006.078</w:t>
            </w:r>
          </w:p>
        </w:tc>
        <w:tc>
          <w:tcPr>
            <w:tcW w:w="80" w:type="dxa"/>
            <w:tcBorders>
              <w:top w:val="nil"/>
              <w:left w:val="nil"/>
              <w:bottom w:val="nil"/>
              <w:right w:val="nil"/>
            </w:tcBorders>
            <w:shd w:val="clear" w:color="auto" w:fill="auto"/>
            <w:vAlign w:val="center"/>
            <w:hideMark/>
          </w:tcPr>
          <w:p w14:paraId="6E4C302A"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7BE0B53D" w14:textId="05D92B76"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w:t>
            </w:r>
            <w:r w:rsidRPr="008F6532">
              <w:rPr>
                <w:rFonts w:ascii="Arial" w:eastAsia="Times New Roman" w:hAnsi="Arial" w:cs="Arial"/>
                <w:b/>
                <w:bCs/>
                <w:color w:val="000000"/>
                <w:sz w:val="16"/>
                <w:szCs w:val="16"/>
                <w:lang w:eastAsia="es-CO"/>
              </w:rPr>
              <w:t>7.154.634</w:t>
            </w:r>
            <w:r>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7695DA45"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6DE385AB"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1.423.678.709</w:t>
            </w:r>
          </w:p>
        </w:tc>
      </w:tr>
      <w:tr w:rsidR="008F6532" w:rsidRPr="008F6532" w14:paraId="33DCC4EE" w14:textId="77777777" w:rsidTr="008F6532">
        <w:trPr>
          <w:trHeight w:val="227"/>
        </w:trPr>
        <w:tc>
          <w:tcPr>
            <w:tcW w:w="3940" w:type="dxa"/>
            <w:tcBorders>
              <w:top w:val="nil"/>
              <w:left w:val="nil"/>
              <w:bottom w:val="nil"/>
              <w:right w:val="nil"/>
            </w:tcBorders>
            <w:shd w:val="clear" w:color="auto" w:fill="auto"/>
            <w:noWrap/>
            <w:vAlign w:val="center"/>
            <w:hideMark/>
          </w:tcPr>
          <w:p w14:paraId="301D4A3F" w14:textId="77777777" w:rsidR="008F6532" w:rsidRPr="008F6532" w:rsidRDefault="008F6532" w:rsidP="008F6532">
            <w:pPr>
              <w:spacing w:after="0" w:line="240" w:lineRule="auto"/>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Resultado del período</w:t>
            </w:r>
          </w:p>
        </w:tc>
        <w:tc>
          <w:tcPr>
            <w:tcW w:w="200" w:type="dxa"/>
            <w:tcBorders>
              <w:top w:val="nil"/>
              <w:left w:val="nil"/>
              <w:bottom w:val="nil"/>
              <w:right w:val="nil"/>
            </w:tcBorders>
            <w:shd w:val="clear" w:color="auto" w:fill="auto"/>
            <w:vAlign w:val="center"/>
            <w:hideMark/>
          </w:tcPr>
          <w:p w14:paraId="6EB611F9" w14:textId="77777777" w:rsidR="008F6532" w:rsidRPr="008F6532" w:rsidRDefault="008F6532" w:rsidP="008F6532">
            <w:pPr>
              <w:spacing w:after="0" w:line="240" w:lineRule="auto"/>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59DC7B69"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7A775205"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4E9272B7"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6347BBB5"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51F8F7CD"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574766A3"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69395C05"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588C1FBB"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12AA22B3"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2401F7BC"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7A899E71"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20.144.556</w:t>
            </w:r>
          </w:p>
        </w:tc>
        <w:tc>
          <w:tcPr>
            <w:tcW w:w="80" w:type="dxa"/>
            <w:tcBorders>
              <w:top w:val="nil"/>
              <w:left w:val="nil"/>
              <w:bottom w:val="nil"/>
              <w:right w:val="nil"/>
            </w:tcBorders>
            <w:shd w:val="clear" w:color="auto" w:fill="auto"/>
            <w:vAlign w:val="center"/>
            <w:hideMark/>
          </w:tcPr>
          <w:p w14:paraId="0C904945"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1657850E"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36982B46"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06C0F752"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20.144.556</w:t>
            </w:r>
          </w:p>
        </w:tc>
      </w:tr>
      <w:tr w:rsidR="008F6532" w:rsidRPr="008F6532" w14:paraId="7F8BFD89" w14:textId="77777777" w:rsidTr="008F6532">
        <w:trPr>
          <w:trHeight w:val="227"/>
        </w:trPr>
        <w:tc>
          <w:tcPr>
            <w:tcW w:w="3940" w:type="dxa"/>
            <w:tcBorders>
              <w:top w:val="nil"/>
              <w:left w:val="nil"/>
              <w:bottom w:val="nil"/>
              <w:right w:val="nil"/>
            </w:tcBorders>
            <w:shd w:val="clear" w:color="auto" w:fill="auto"/>
            <w:noWrap/>
            <w:vAlign w:val="center"/>
            <w:hideMark/>
          </w:tcPr>
          <w:p w14:paraId="377BA485" w14:textId="77777777" w:rsidR="008F6532" w:rsidRPr="008F6532" w:rsidRDefault="008F6532" w:rsidP="008F6532">
            <w:pPr>
              <w:spacing w:after="0" w:line="240" w:lineRule="auto"/>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Otro resultado integral del período, neto de impuesto</w:t>
            </w:r>
          </w:p>
        </w:tc>
        <w:tc>
          <w:tcPr>
            <w:tcW w:w="200" w:type="dxa"/>
            <w:tcBorders>
              <w:top w:val="nil"/>
              <w:left w:val="nil"/>
              <w:bottom w:val="nil"/>
              <w:right w:val="nil"/>
            </w:tcBorders>
            <w:shd w:val="clear" w:color="auto" w:fill="auto"/>
            <w:vAlign w:val="center"/>
            <w:hideMark/>
          </w:tcPr>
          <w:p w14:paraId="1D6355CA" w14:textId="77777777" w:rsidR="008F6532" w:rsidRPr="008F6532" w:rsidRDefault="008F6532" w:rsidP="008F6532">
            <w:pPr>
              <w:spacing w:after="0" w:line="240" w:lineRule="auto"/>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06DEE733"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30584793"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45BEA725"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3E1F20FD"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4B416EFD"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284BBB06"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7C52AA38" w14:textId="19E83BC7" w:rsidR="008F6532" w:rsidRPr="008F6532" w:rsidRDefault="008F6532" w:rsidP="008F6532">
            <w:pPr>
              <w:spacing w:after="0" w:line="240" w:lineRule="auto"/>
              <w:jc w:val="right"/>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Pr="008F6532">
              <w:rPr>
                <w:rFonts w:ascii="Arial" w:eastAsia="Times New Roman" w:hAnsi="Arial" w:cs="Arial"/>
                <w:color w:val="000000"/>
                <w:sz w:val="16"/>
                <w:szCs w:val="16"/>
                <w:lang w:eastAsia="es-CO"/>
              </w:rPr>
              <w:t>44.599.427</w:t>
            </w:r>
            <w:r>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0A592CC5"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1A172FF3"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06974177"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73B730F1"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55DD8F07"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2FC4D497"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2D1C5E8D"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34641BD1" w14:textId="344104E8" w:rsidR="008F6532" w:rsidRPr="008F6532" w:rsidRDefault="008F6532" w:rsidP="008F6532">
            <w:pPr>
              <w:spacing w:after="0" w:line="240" w:lineRule="auto"/>
              <w:jc w:val="right"/>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Pr="008F6532">
              <w:rPr>
                <w:rFonts w:ascii="Arial" w:eastAsia="Times New Roman" w:hAnsi="Arial" w:cs="Arial"/>
                <w:color w:val="000000"/>
                <w:sz w:val="16"/>
                <w:szCs w:val="16"/>
                <w:lang w:eastAsia="es-CO"/>
              </w:rPr>
              <w:t>44.599.427</w:t>
            </w:r>
            <w:r>
              <w:rPr>
                <w:rFonts w:ascii="Arial" w:eastAsia="Times New Roman" w:hAnsi="Arial" w:cs="Arial"/>
                <w:color w:val="000000"/>
                <w:sz w:val="16"/>
                <w:szCs w:val="16"/>
                <w:lang w:eastAsia="es-CO"/>
              </w:rPr>
              <w:t>)</w:t>
            </w:r>
          </w:p>
        </w:tc>
      </w:tr>
      <w:tr w:rsidR="008F6532" w:rsidRPr="008F6532" w14:paraId="59B8E2F9" w14:textId="77777777" w:rsidTr="008F6532">
        <w:trPr>
          <w:trHeight w:val="227"/>
        </w:trPr>
        <w:tc>
          <w:tcPr>
            <w:tcW w:w="3940" w:type="dxa"/>
            <w:tcBorders>
              <w:top w:val="nil"/>
              <w:left w:val="nil"/>
              <w:bottom w:val="nil"/>
              <w:right w:val="nil"/>
            </w:tcBorders>
            <w:shd w:val="clear" w:color="auto" w:fill="auto"/>
            <w:noWrap/>
            <w:vAlign w:val="center"/>
            <w:hideMark/>
          </w:tcPr>
          <w:p w14:paraId="388A5E17" w14:textId="77777777" w:rsidR="008F6532" w:rsidRPr="008F6532" w:rsidRDefault="008F6532" w:rsidP="008F6532">
            <w:pPr>
              <w:spacing w:after="0" w:line="240" w:lineRule="auto"/>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Resultado integral del período</w:t>
            </w:r>
          </w:p>
        </w:tc>
        <w:tc>
          <w:tcPr>
            <w:tcW w:w="200" w:type="dxa"/>
            <w:tcBorders>
              <w:top w:val="nil"/>
              <w:left w:val="nil"/>
              <w:bottom w:val="nil"/>
              <w:right w:val="nil"/>
            </w:tcBorders>
            <w:shd w:val="clear" w:color="auto" w:fill="auto"/>
            <w:vAlign w:val="center"/>
            <w:hideMark/>
          </w:tcPr>
          <w:p w14:paraId="2F4872CC" w14:textId="77777777" w:rsidR="008F6532" w:rsidRPr="008F6532" w:rsidRDefault="008F6532" w:rsidP="008F6532">
            <w:pPr>
              <w:spacing w:after="0" w:line="240" w:lineRule="auto"/>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0968B8CE"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11866F43"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6D670832"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24B26279"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6A787C9E"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2B51B03C"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77E2CAC8" w14:textId="3FB36EE2"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w:t>
            </w:r>
            <w:r w:rsidRPr="008F6532">
              <w:rPr>
                <w:rFonts w:ascii="Arial" w:eastAsia="Times New Roman" w:hAnsi="Arial" w:cs="Arial"/>
                <w:b/>
                <w:bCs/>
                <w:color w:val="000000"/>
                <w:sz w:val="16"/>
                <w:szCs w:val="16"/>
                <w:lang w:eastAsia="es-CO"/>
              </w:rPr>
              <w:t>44.599.427</w:t>
            </w:r>
            <w:r>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528A4474"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1D710244"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1370A24E"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630F3545"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20.144.556</w:t>
            </w:r>
          </w:p>
        </w:tc>
        <w:tc>
          <w:tcPr>
            <w:tcW w:w="80" w:type="dxa"/>
            <w:tcBorders>
              <w:top w:val="nil"/>
              <w:left w:val="nil"/>
              <w:bottom w:val="nil"/>
              <w:right w:val="nil"/>
            </w:tcBorders>
            <w:shd w:val="clear" w:color="auto" w:fill="auto"/>
            <w:vAlign w:val="center"/>
            <w:hideMark/>
          </w:tcPr>
          <w:p w14:paraId="597B74FA"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70437DA6"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6838398C"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50048D98" w14:textId="19DD8E6A"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w:t>
            </w:r>
            <w:r w:rsidRPr="008F6532">
              <w:rPr>
                <w:rFonts w:ascii="Arial" w:eastAsia="Times New Roman" w:hAnsi="Arial" w:cs="Arial"/>
                <w:b/>
                <w:bCs/>
                <w:color w:val="000000"/>
                <w:sz w:val="16"/>
                <w:szCs w:val="16"/>
                <w:lang w:eastAsia="es-CO"/>
              </w:rPr>
              <w:t>24.454.871</w:t>
            </w:r>
            <w:r>
              <w:rPr>
                <w:rFonts w:ascii="Arial" w:eastAsia="Times New Roman" w:hAnsi="Arial" w:cs="Arial"/>
                <w:b/>
                <w:bCs/>
                <w:color w:val="000000"/>
                <w:sz w:val="16"/>
                <w:szCs w:val="16"/>
                <w:lang w:eastAsia="es-CO"/>
              </w:rPr>
              <w:t>)</w:t>
            </w:r>
          </w:p>
        </w:tc>
      </w:tr>
      <w:tr w:rsidR="008F6532" w:rsidRPr="008F6532" w14:paraId="1318BBF0" w14:textId="77777777" w:rsidTr="008F6532">
        <w:trPr>
          <w:trHeight w:val="227"/>
        </w:trPr>
        <w:tc>
          <w:tcPr>
            <w:tcW w:w="3940" w:type="dxa"/>
            <w:tcBorders>
              <w:top w:val="nil"/>
              <w:left w:val="nil"/>
              <w:bottom w:val="nil"/>
              <w:right w:val="nil"/>
            </w:tcBorders>
            <w:shd w:val="clear" w:color="auto" w:fill="auto"/>
            <w:noWrap/>
            <w:vAlign w:val="center"/>
            <w:hideMark/>
          </w:tcPr>
          <w:p w14:paraId="24E853BC" w14:textId="77777777" w:rsidR="008F6532" w:rsidRPr="008F6532" w:rsidRDefault="008F6532" w:rsidP="008F6532">
            <w:pPr>
              <w:spacing w:after="0" w:line="240" w:lineRule="auto"/>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Apropiación de reservas</w:t>
            </w:r>
          </w:p>
        </w:tc>
        <w:tc>
          <w:tcPr>
            <w:tcW w:w="200" w:type="dxa"/>
            <w:tcBorders>
              <w:top w:val="nil"/>
              <w:left w:val="nil"/>
              <w:bottom w:val="nil"/>
              <w:right w:val="nil"/>
            </w:tcBorders>
            <w:shd w:val="clear" w:color="auto" w:fill="auto"/>
            <w:vAlign w:val="center"/>
            <w:hideMark/>
          </w:tcPr>
          <w:p w14:paraId="7FE10EA3" w14:textId="77777777" w:rsidR="008F6532" w:rsidRPr="008F6532" w:rsidRDefault="008F6532" w:rsidP="008F6532">
            <w:pPr>
              <w:spacing w:after="0" w:line="240" w:lineRule="auto"/>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77FB7E05"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061E7AEF"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5A5ED2B4"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02C61FDB"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05C0CD95"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45.006.078</w:t>
            </w:r>
          </w:p>
        </w:tc>
        <w:tc>
          <w:tcPr>
            <w:tcW w:w="80" w:type="dxa"/>
            <w:tcBorders>
              <w:top w:val="nil"/>
              <w:left w:val="nil"/>
              <w:bottom w:val="nil"/>
              <w:right w:val="nil"/>
            </w:tcBorders>
            <w:shd w:val="clear" w:color="auto" w:fill="auto"/>
            <w:vAlign w:val="center"/>
            <w:hideMark/>
          </w:tcPr>
          <w:p w14:paraId="509B895F"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79F1F3D7"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52247711"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5BF899AC"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6B2C34CC"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19F263BB" w14:textId="5870FA24" w:rsidR="008F6532" w:rsidRPr="008F6532" w:rsidRDefault="008F6532" w:rsidP="008F6532">
            <w:pPr>
              <w:spacing w:after="0" w:line="240" w:lineRule="auto"/>
              <w:jc w:val="right"/>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Pr="008F6532">
              <w:rPr>
                <w:rFonts w:ascii="Arial" w:eastAsia="Times New Roman" w:hAnsi="Arial" w:cs="Arial"/>
                <w:color w:val="000000"/>
                <w:sz w:val="16"/>
                <w:szCs w:val="16"/>
                <w:lang w:eastAsia="es-CO"/>
              </w:rPr>
              <w:t>144.006.078</w:t>
            </w:r>
            <w:r>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02E8CCE3"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3808CCAC"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44A0C2C5"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665CD9B4" w14:textId="2C9A7163" w:rsidR="008F6532" w:rsidRPr="008F6532" w:rsidRDefault="008F6532" w:rsidP="008F6532">
            <w:pPr>
              <w:spacing w:after="0" w:line="240" w:lineRule="auto"/>
              <w:jc w:val="right"/>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Pr="008F6532">
              <w:rPr>
                <w:rFonts w:ascii="Arial" w:eastAsia="Times New Roman" w:hAnsi="Arial" w:cs="Arial"/>
                <w:color w:val="000000"/>
                <w:sz w:val="16"/>
                <w:szCs w:val="16"/>
                <w:lang w:eastAsia="es-CO"/>
              </w:rPr>
              <w:t>99.000.000</w:t>
            </w:r>
            <w:r>
              <w:rPr>
                <w:rFonts w:ascii="Arial" w:eastAsia="Times New Roman" w:hAnsi="Arial" w:cs="Arial"/>
                <w:color w:val="000000"/>
                <w:sz w:val="16"/>
                <w:szCs w:val="16"/>
                <w:lang w:eastAsia="es-CO"/>
              </w:rPr>
              <w:t>)</w:t>
            </w:r>
          </w:p>
        </w:tc>
      </w:tr>
      <w:tr w:rsidR="008F6532" w:rsidRPr="008F6532" w14:paraId="469407A1" w14:textId="77777777" w:rsidTr="008F6532">
        <w:trPr>
          <w:trHeight w:val="227"/>
        </w:trPr>
        <w:tc>
          <w:tcPr>
            <w:tcW w:w="3940" w:type="dxa"/>
            <w:tcBorders>
              <w:top w:val="nil"/>
              <w:left w:val="nil"/>
              <w:bottom w:val="nil"/>
              <w:right w:val="nil"/>
            </w:tcBorders>
            <w:shd w:val="clear" w:color="auto" w:fill="auto"/>
            <w:noWrap/>
            <w:vAlign w:val="center"/>
            <w:hideMark/>
          </w:tcPr>
          <w:p w14:paraId="36EEAF18" w14:textId="77777777" w:rsidR="008F6532" w:rsidRPr="008F6532" w:rsidRDefault="008F6532" w:rsidP="008F6532">
            <w:pPr>
              <w:spacing w:after="0" w:line="240" w:lineRule="auto"/>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Otras variaciones</w:t>
            </w:r>
          </w:p>
        </w:tc>
        <w:tc>
          <w:tcPr>
            <w:tcW w:w="200" w:type="dxa"/>
            <w:tcBorders>
              <w:top w:val="nil"/>
              <w:left w:val="nil"/>
              <w:bottom w:val="nil"/>
              <w:right w:val="nil"/>
            </w:tcBorders>
            <w:shd w:val="clear" w:color="auto" w:fill="auto"/>
            <w:vAlign w:val="center"/>
            <w:hideMark/>
          </w:tcPr>
          <w:p w14:paraId="7DBFFB70" w14:textId="77777777" w:rsidR="008F6532" w:rsidRPr="008F6532" w:rsidRDefault="008F6532" w:rsidP="008F6532">
            <w:pPr>
              <w:spacing w:after="0" w:line="240" w:lineRule="auto"/>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491E0214"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1F42A5FD"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5AE6A3E4"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5D2A3885"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37C7263A"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6E1245BA"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4E09D56C"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6A4D7CF4"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39BF8BFC" w14:textId="3F5BB2A8" w:rsidR="008F6532" w:rsidRPr="008F6532" w:rsidRDefault="008F6532" w:rsidP="008F6532">
            <w:pPr>
              <w:spacing w:after="0" w:line="240" w:lineRule="auto"/>
              <w:jc w:val="right"/>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Pr="008F6532">
              <w:rPr>
                <w:rFonts w:ascii="Arial" w:eastAsia="Times New Roman" w:hAnsi="Arial" w:cs="Arial"/>
                <w:color w:val="000000"/>
                <w:sz w:val="16"/>
                <w:szCs w:val="16"/>
                <w:lang w:eastAsia="es-CO"/>
              </w:rPr>
              <w:t>8</w:t>
            </w:r>
            <w:r>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046A193E"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75571911"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29698E33"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5180F917"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11.899</w:t>
            </w:r>
          </w:p>
        </w:tc>
        <w:tc>
          <w:tcPr>
            <w:tcW w:w="80" w:type="dxa"/>
            <w:tcBorders>
              <w:top w:val="nil"/>
              <w:left w:val="nil"/>
              <w:bottom w:val="nil"/>
              <w:right w:val="nil"/>
            </w:tcBorders>
            <w:shd w:val="clear" w:color="auto" w:fill="auto"/>
            <w:vAlign w:val="center"/>
            <w:hideMark/>
          </w:tcPr>
          <w:p w14:paraId="5BE0DAE5"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5C3A607A"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11.891</w:t>
            </w:r>
          </w:p>
        </w:tc>
      </w:tr>
      <w:tr w:rsidR="008F6532" w:rsidRPr="008F6532" w14:paraId="607C96F3" w14:textId="77777777" w:rsidTr="008F6532">
        <w:trPr>
          <w:trHeight w:val="227"/>
        </w:trPr>
        <w:tc>
          <w:tcPr>
            <w:tcW w:w="3940" w:type="dxa"/>
            <w:tcBorders>
              <w:top w:val="nil"/>
              <w:left w:val="nil"/>
              <w:bottom w:val="nil"/>
              <w:right w:val="nil"/>
            </w:tcBorders>
            <w:shd w:val="clear" w:color="auto" w:fill="auto"/>
            <w:noWrap/>
            <w:vAlign w:val="center"/>
            <w:hideMark/>
          </w:tcPr>
          <w:p w14:paraId="37F58720" w14:textId="77777777" w:rsidR="008F6532" w:rsidRPr="008F6532" w:rsidRDefault="008F6532" w:rsidP="008F6532">
            <w:pPr>
              <w:spacing w:after="0" w:line="240" w:lineRule="auto"/>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Saldo al 31 de marzo de 2018</w:t>
            </w:r>
          </w:p>
        </w:tc>
        <w:tc>
          <w:tcPr>
            <w:tcW w:w="200" w:type="dxa"/>
            <w:tcBorders>
              <w:top w:val="nil"/>
              <w:left w:val="nil"/>
              <w:bottom w:val="nil"/>
              <w:right w:val="nil"/>
            </w:tcBorders>
            <w:shd w:val="clear" w:color="auto" w:fill="auto"/>
            <w:vAlign w:val="center"/>
            <w:hideMark/>
          </w:tcPr>
          <w:p w14:paraId="614DB615" w14:textId="77777777" w:rsidR="008F6532" w:rsidRPr="008F6532" w:rsidRDefault="008F6532" w:rsidP="008F6532">
            <w:pPr>
              <w:spacing w:after="0" w:line="240" w:lineRule="auto"/>
              <w:rPr>
                <w:rFonts w:ascii="Arial" w:eastAsia="Times New Roman" w:hAnsi="Arial" w:cs="Arial"/>
                <w:b/>
                <w:bCs/>
                <w:color w:val="000000"/>
                <w:sz w:val="16"/>
                <w:szCs w:val="16"/>
                <w:lang w:eastAsia="es-CO"/>
              </w:rPr>
            </w:pPr>
          </w:p>
        </w:tc>
        <w:tc>
          <w:tcPr>
            <w:tcW w:w="1240" w:type="dxa"/>
            <w:tcBorders>
              <w:top w:val="single" w:sz="4" w:space="0" w:color="auto"/>
              <w:left w:val="nil"/>
              <w:bottom w:val="nil"/>
              <w:right w:val="nil"/>
            </w:tcBorders>
            <w:shd w:val="clear" w:color="auto" w:fill="auto"/>
            <w:vAlign w:val="center"/>
            <w:hideMark/>
          </w:tcPr>
          <w:p w14:paraId="7D4F2D33"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374.133.269</w:t>
            </w:r>
          </w:p>
        </w:tc>
        <w:tc>
          <w:tcPr>
            <w:tcW w:w="80" w:type="dxa"/>
            <w:tcBorders>
              <w:top w:val="nil"/>
              <w:left w:val="nil"/>
              <w:bottom w:val="nil"/>
              <w:right w:val="nil"/>
            </w:tcBorders>
            <w:shd w:val="clear" w:color="auto" w:fill="auto"/>
            <w:vAlign w:val="center"/>
            <w:hideMark/>
          </w:tcPr>
          <w:p w14:paraId="6185FB1B"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single" w:sz="4" w:space="0" w:color="auto"/>
              <w:left w:val="nil"/>
              <w:bottom w:val="nil"/>
              <w:right w:val="nil"/>
            </w:tcBorders>
            <w:shd w:val="clear" w:color="auto" w:fill="auto"/>
            <w:vAlign w:val="center"/>
            <w:hideMark/>
          </w:tcPr>
          <w:p w14:paraId="6BFF2521"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78.498.174</w:t>
            </w:r>
          </w:p>
        </w:tc>
        <w:tc>
          <w:tcPr>
            <w:tcW w:w="80" w:type="dxa"/>
            <w:tcBorders>
              <w:top w:val="nil"/>
              <w:left w:val="nil"/>
              <w:bottom w:val="nil"/>
              <w:right w:val="nil"/>
            </w:tcBorders>
            <w:shd w:val="clear" w:color="auto" w:fill="auto"/>
            <w:vAlign w:val="center"/>
            <w:hideMark/>
          </w:tcPr>
          <w:p w14:paraId="36405987"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single" w:sz="4" w:space="0" w:color="auto"/>
              <w:left w:val="nil"/>
              <w:bottom w:val="nil"/>
              <w:right w:val="nil"/>
            </w:tcBorders>
            <w:shd w:val="clear" w:color="auto" w:fill="auto"/>
            <w:vAlign w:val="center"/>
            <w:hideMark/>
          </w:tcPr>
          <w:p w14:paraId="5DB7514E"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1.039.141.530</w:t>
            </w:r>
          </w:p>
        </w:tc>
        <w:tc>
          <w:tcPr>
            <w:tcW w:w="80" w:type="dxa"/>
            <w:tcBorders>
              <w:top w:val="nil"/>
              <w:left w:val="nil"/>
              <w:bottom w:val="nil"/>
              <w:right w:val="nil"/>
            </w:tcBorders>
            <w:shd w:val="clear" w:color="auto" w:fill="auto"/>
            <w:vAlign w:val="center"/>
            <w:hideMark/>
          </w:tcPr>
          <w:p w14:paraId="5CB6FF31"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single" w:sz="4" w:space="0" w:color="auto"/>
              <w:left w:val="nil"/>
              <w:bottom w:val="nil"/>
              <w:right w:val="nil"/>
            </w:tcBorders>
            <w:shd w:val="clear" w:color="auto" w:fill="auto"/>
            <w:vAlign w:val="center"/>
            <w:hideMark/>
          </w:tcPr>
          <w:p w14:paraId="7368DD2E"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38.489.214</w:t>
            </w:r>
          </w:p>
        </w:tc>
        <w:tc>
          <w:tcPr>
            <w:tcW w:w="80" w:type="dxa"/>
            <w:tcBorders>
              <w:top w:val="nil"/>
              <w:left w:val="nil"/>
              <w:bottom w:val="nil"/>
              <w:right w:val="nil"/>
            </w:tcBorders>
            <w:shd w:val="clear" w:color="auto" w:fill="auto"/>
            <w:vAlign w:val="center"/>
            <w:hideMark/>
          </w:tcPr>
          <w:p w14:paraId="18FA1A82"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single" w:sz="4" w:space="0" w:color="auto"/>
              <w:left w:val="nil"/>
              <w:bottom w:val="nil"/>
              <w:right w:val="nil"/>
            </w:tcBorders>
            <w:shd w:val="clear" w:color="auto" w:fill="auto"/>
            <w:vAlign w:val="center"/>
            <w:hideMark/>
          </w:tcPr>
          <w:p w14:paraId="4DD7BD2D" w14:textId="07A74472"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w:t>
            </w:r>
            <w:r w:rsidRPr="008F6532">
              <w:rPr>
                <w:rFonts w:ascii="Arial" w:eastAsia="Times New Roman" w:hAnsi="Arial" w:cs="Arial"/>
                <w:b/>
                <w:bCs/>
                <w:color w:val="000000"/>
                <w:sz w:val="16"/>
                <w:szCs w:val="16"/>
                <w:lang w:eastAsia="es-CO"/>
              </w:rPr>
              <w:t>243.028.279</w:t>
            </w:r>
            <w:r>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688139EB"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single" w:sz="4" w:space="0" w:color="auto"/>
              <w:left w:val="nil"/>
              <w:bottom w:val="nil"/>
              <w:right w:val="nil"/>
            </w:tcBorders>
            <w:shd w:val="clear" w:color="auto" w:fill="auto"/>
            <w:vAlign w:val="center"/>
            <w:hideMark/>
          </w:tcPr>
          <w:p w14:paraId="4097CCA7"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20.144.556</w:t>
            </w:r>
          </w:p>
        </w:tc>
        <w:tc>
          <w:tcPr>
            <w:tcW w:w="80" w:type="dxa"/>
            <w:tcBorders>
              <w:top w:val="nil"/>
              <w:left w:val="nil"/>
              <w:bottom w:val="nil"/>
              <w:right w:val="nil"/>
            </w:tcBorders>
            <w:shd w:val="clear" w:color="auto" w:fill="auto"/>
            <w:vAlign w:val="center"/>
            <w:hideMark/>
          </w:tcPr>
          <w:p w14:paraId="1A930C2B"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single" w:sz="4" w:space="0" w:color="auto"/>
              <w:left w:val="nil"/>
              <w:bottom w:val="nil"/>
              <w:right w:val="nil"/>
            </w:tcBorders>
            <w:shd w:val="clear" w:color="auto" w:fill="auto"/>
            <w:vAlign w:val="center"/>
            <w:hideMark/>
          </w:tcPr>
          <w:p w14:paraId="16469DDF" w14:textId="240C4E2F"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w:t>
            </w:r>
            <w:r w:rsidRPr="008F6532">
              <w:rPr>
                <w:rFonts w:ascii="Arial" w:eastAsia="Times New Roman" w:hAnsi="Arial" w:cs="Arial"/>
                <w:b/>
                <w:bCs/>
                <w:color w:val="000000"/>
                <w:sz w:val="16"/>
                <w:szCs w:val="16"/>
                <w:lang w:eastAsia="es-CO"/>
              </w:rPr>
              <w:t>7.142.735</w:t>
            </w:r>
            <w:r>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2E233C18"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single" w:sz="4" w:space="0" w:color="auto"/>
              <w:left w:val="nil"/>
              <w:bottom w:val="nil"/>
              <w:right w:val="nil"/>
            </w:tcBorders>
            <w:shd w:val="clear" w:color="auto" w:fill="auto"/>
            <w:vAlign w:val="center"/>
            <w:hideMark/>
          </w:tcPr>
          <w:p w14:paraId="18C53485"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1.300.235.729</w:t>
            </w:r>
          </w:p>
        </w:tc>
      </w:tr>
      <w:tr w:rsidR="008F6532" w:rsidRPr="008F6532" w14:paraId="2ED80A8E" w14:textId="77777777" w:rsidTr="008F6532">
        <w:trPr>
          <w:trHeight w:val="227"/>
        </w:trPr>
        <w:tc>
          <w:tcPr>
            <w:tcW w:w="3940" w:type="dxa"/>
            <w:tcBorders>
              <w:top w:val="nil"/>
              <w:left w:val="nil"/>
              <w:bottom w:val="nil"/>
              <w:right w:val="nil"/>
            </w:tcBorders>
            <w:shd w:val="clear" w:color="auto" w:fill="auto"/>
            <w:noWrap/>
            <w:vAlign w:val="center"/>
            <w:hideMark/>
          </w:tcPr>
          <w:p w14:paraId="26B7D0CE"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200" w:type="dxa"/>
            <w:tcBorders>
              <w:top w:val="nil"/>
              <w:left w:val="nil"/>
              <w:bottom w:val="nil"/>
              <w:right w:val="nil"/>
            </w:tcBorders>
            <w:shd w:val="clear" w:color="auto" w:fill="auto"/>
            <w:vAlign w:val="center"/>
            <w:hideMark/>
          </w:tcPr>
          <w:p w14:paraId="74D23138" w14:textId="77777777" w:rsidR="008F6532" w:rsidRPr="008F6532" w:rsidRDefault="008F6532" w:rsidP="008F6532">
            <w:pPr>
              <w:spacing w:after="0" w:line="240" w:lineRule="auto"/>
              <w:rPr>
                <w:rFonts w:ascii="Times New Roman" w:eastAsia="Times New Roman" w:hAnsi="Times New Roman" w:cs="Times New Roman"/>
                <w:sz w:val="20"/>
                <w:szCs w:val="20"/>
                <w:lang w:eastAsia="es-CO"/>
              </w:rPr>
            </w:pPr>
          </w:p>
        </w:tc>
        <w:tc>
          <w:tcPr>
            <w:tcW w:w="1240" w:type="dxa"/>
            <w:tcBorders>
              <w:top w:val="nil"/>
              <w:left w:val="nil"/>
              <w:bottom w:val="nil"/>
              <w:right w:val="nil"/>
            </w:tcBorders>
            <w:shd w:val="clear" w:color="auto" w:fill="auto"/>
            <w:vAlign w:val="center"/>
            <w:hideMark/>
          </w:tcPr>
          <w:p w14:paraId="3EB72F00" w14:textId="77777777" w:rsidR="008F6532" w:rsidRPr="008F6532" w:rsidRDefault="008F6532" w:rsidP="008F6532">
            <w:pPr>
              <w:spacing w:after="0" w:line="240" w:lineRule="auto"/>
              <w:jc w:val="right"/>
              <w:rPr>
                <w:rFonts w:ascii="Times New Roman" w:eastAsia="Times New Roman" w:hAnsi="Times New Roman" w:cs="Times New Roman"/>
                <w:sz w:val="20"/>
                <w:szCs w:val="20"/>
                <w:lang w:eastAsia="es-CO"/>
              </w:rPr>
            </w:pPr>
          </w:p>
        </w:tc>
        <w:tc>
          <w:tcPr>
            <w:tcW w:w="80" w:type="dxa"/>
            <w:tcBorders>
              <w:top w:val="nil"/>
              <w:left w:val="nil"/>
              <w:bottom w:val="nil"/>
              <w:right w:val="nil"/>
            </w:tcBorders>
            <w:shd w:val="clear" w:color="auto" w:fill="auto"/>
            <w:vAlign w:val="center"/>
            <w:hideMark/>
          </w:tcPr>
          <w:p w14:paraId="1492DE02" w14:textId="77777777" w:rsidR="008F6532" w:rsidRPr="008F6532" w:rsidRDefault="008F6532" w:rsidP="008F6532">
            <w:pPr>
              <w:spacing w:after="0" w:line="240" w:lineRule="auto"/>
              <w:jc w:val="right"/>
              <w:rPr>
                <w:rFonts w:ascii="Times New Roman" w:eastAsia="Times New Roman" w:hAnsi="Times New Roman" w:cs="Times New Roman"/>
                <w:sz w:val="20"/>
                <w:szCs w:val="20"/>
                <w:lang w:eastAsia="es-CO"/>
              </w:rPr>
            </w:pPr>
          </w:p>
        </w:tc>
        <w:tc>
          <w:tcPr>
            <w:tcW w:w="1240" w:type="dxa"/>
            <w:tcBorders>
              <w:top w:val="nil"/>
              <w:left w:val="nil"/>
              <w:bottom w:val="nil"/>
              <w:right w:val="nil"/>
            </w:tcBorders>
            <w:shd w:val="clear" w:color="auto" w:fill="auto"/>
            <w:vAlign w:val="center"/>
            <w:hideMark/>
          </w:tcPr>
          <w:p w14:paraId="615B9F62" w14:textId="77777777" w:rsidR="008F6532" w:rsidRPr="008F6532" w:rsidRDefault="008F6532" w:rsidP="008F6532">
            <w:pPr>
              <w:spacing w:after="0" w:line="240" w:lineRule="auto"/>
              <w:jc w:val="right"/>
              <w:rPr>
                <w:rFonts w:ascii="Times New Roman" w:eastAsia="Times New Roman" w:hAnsi="Times New Roman" w:cs="Times New Roman"/>
                <w:sz w:val="20"/>
                <w:szCs w:val="20"/>
                <w:lang w:eastAsia="es-CO"/>
              </w:rPr>
            </w:pPr>
          </w:p>
        </w:tc>
        <w:tc>
          <w:tcPr>
            <w:tcW w:w="80" w:type="dxa"/>
            <w:tcBorders>
              <w:top w:val="nil"/>
              <w:left w:val="nil"/>
              <w:bottom w:val="nil"/>
              <w:right w:val="nil"/>
            </w:tcBorders>
            <w:shd w:val="clear" w:color="auto" w:fill="auto"/>
            <w:vAlign w:val="center"/>
            <w:hideMark/>
          </w:tcPr>
          <w:p w14:paraId="12FE5656" w14:textId="77777777" w:rsidR="008F6532" w:rsidRPr="008F6532" w:rsidRDefault="008F6532" w:rsidP="008F6532">
            <w:pPr>
              <w:spacing w:after="0" w:line="240" w:lineRule="auto"/>
              <w:jc w:val="right"/>
              <w:rPr>
                <w:rFonts w:ascii="Times New Roman" w:eastAsia="Times New Roman" w:hAnsi="Times New Roman" w:cs="Times New Roman"/>
                <w:sz w:val="20"/>
                <w:szCs w:val="20"/>
                <w:lang w:eastAsia="es-CO"/>
              </w:rPr>
            </w:pPr>
          </w:p>
        </w:tc>
        <w:tc>
          <w:tcPr>
            <w:tcW w:w="1240" w:type="dxa"/>
            <w:tcBorders>
              <w:top w:val="nil"/>
              <w:left w:val="nil"/>
              <w:bottom w:val="nil"/>
              <w:right w:val="nil"/>
            </w:tcBorders>
            <w:shd w:val="clear" w:color="auto" w:fill="auto"/>
            <w:vAlign w:val="center"/>
            <w:hideMark/>
          </w:tcPr>
          <w:p w14:paraId="4242CBA7" w14:textId="77777777" w:rsidR="008F6532" w:rsidRPr="008F6532" w:rsidRDefault="008F6532" w:rsidP="008F6532">
            <w:pPr>
              <w:spacing w:after="0" w:line="240" w:lineRule="auto"/>
              <w:jc w:val="right"/>
              <w:rPr>
                <w:rFonts w:ascii="Times New Roman" w:eastAsia="Times New Roman" w:hAnsi="Times New Roman" w:cs="Times New Roman"/>
                <w:sz w:val="20"/>
                <w:szCs w:val="20"/>
                <w:lang w:eastAsia="es-CO"/>
              </w:rPr>
            </w:pPr>
          </w:p>
        </w:tc>
        <w:tc>
          <w:tcPr>
            <w:tcW w:w="80" w:type="dxa"/>
            <w:tcBorders>
              <w:top w:val="nil"/>
              <w:left w:val="nil"/>
              <w:bottom w:val="nil"/>
              <w:right w:val="nil"/>
            </w:tcBorders>
            <w:shd w:val="clear" w:color="auto" w:fill="auto"/>
            <w:vAlign w:val="center"/>
            <w:hideMark/>
          </w:tcPr>
          <w:p w14:paraId="178B982B" w14:textId="77777777" w:rsidR="008F6532" w:rsidRPr="008F6532" w:rsidRDefault="008F6532" w:rsidP="008F6532">
            <w:pPr>
              <w:spacing w:after="0" w:line="240" w:lineRule="auto"/>
              <w:jc w:val="right"/>
              <w:rPr>
                <w:rFonts w:ascii="Times New Roman" w:eastAsia="Times New Roman" w:hAnsi="Times New Roman" w:cs="Times New Roman"/>
                <w:sz w:val="20"/>
                <w:szCs w:val="20"/>
                <w:lang w:eastAsia="es-CO"/>
              </w:rPr>
            </w:pPr>
          </w:p>
        </w:tc>
        <w:tc>
          <w:tcPr>
            <w:tcW w:w="1240" w:type="dxa"/>
            <w:tcBorders>
              <w:top w:val="nil"/>
              <w:left w:val="nil"/>
              <w:bottom w:val="nil"/>
              <w:right w:val="nil"/>
            </w:tcBorders>
            <w:shd w:val="clear" w:color="auto" w:fill="auto"/>
            <w:vAlign w:val="center"/>
            <w:hideMark/>
          </w:tcPr>
          <w:p w14:paraId="61595C92" w14:textId="77777777" w:rsidR="008F6532" w:rsidRPr="008F6532" w:rsidRDefault="008F6532" w:rsidP="008F6532">
            <w:pPr>
              <w:spacing w:after="0" w:line="240" w:lineRule="auto"/>
              <w:jc w:val="right"/>
              <w:rPr>
                <w:rFonts w:ascii="Times New Roman" w:eastAsia="Times New Roman" w:hAnsi="Times New Roman" w:cs="Times New Roman"/>
                <w:sz w:val="20"/>
                <w:szCs w:val="20"/>
                <w:lang w:eastAsia="es-CO"/>
              </w:rPr>
            </w:pPr>
          </w:p>
        </w:tc>
        <w:tc>
          <w:tcPr>
            <w:tcW w:w="80" w:type="dxa"/>
            <w:tcBorders>
              <w:top w:val="nil"/>
              <w:left w:val="nil"/>
              <w:bottom w:val="nil"/>
              <w:right w:val="nil"/>
            </w:tcBorders>
            <w:shd w:val="clear" w:color="auto" w:fill="auto"/>
            <w:vAlign w:val="center"/>
            <w:hideMark/>
          </w:tcPr>
          <w:p w14:paraId="3C413AA9" w14:textId="77777777" w:rsidR="008F6532" w:rsidRPr="008F6532" w:rsidRDefault="008F6532" w:rsidP="008F6532">
            <w:pPr>
              <w:spacing w:after="0" w:line="240" w:lineRule="auto"/>
              <w:jc w:val="right"/>
              <w:rPr>
                <w:rFonts w:ascii="Times New Roman" w:eastAsia="Times New Roman" w:hAnsi="Times New Roman" w:cs="Times New Roman"/>
                <w:sz w:val="20"/>
                <w:szCs w:val="20"/>
                <w:lang w:eastAsia="es-CO"/>
              </w:rPr>
            </w:pPr>
          </w:p>
        </w:tc>
        <w:tc>
          <w:tcPr>
            <w:tcW w:w="1240" w:type="dxa"/>
            <w:tcBorders>
              <w:top w:val="nil"/>
              <w:left w:val="nil"/>
              <w:bottom w:val="nil"/>
              <w:right w:val="nil"/>
            </w:tcBorders>
            <w:shd w:val="clear" w:color="auto" w:fill="auto"/>
            <w:vAlign w:val="center"/>
            <w:hideMark/>
          </w:tcPr>
          <w:p w14:paraId="2D743545" w14:textId="77777777" w:rsidR="008F6532" w:rsidRPr="008F6532" w:rsidRDefault="008F6532" w:rsidP="008F6532">
            <w:pPr>
              <w:spacing w:after="0" w:line="240" w:lineRule="auto"/>
              <w:jc w:val="right"/>
              <w:rPr>
                <w:rFonts w:ascii="Times New Roman" w:eastAsia="Times New Roman" w:hAnsi="Times New Roman" w:cs="Times New Roman"/>
                <w:sz w:val="20"/>
                <w:szCs w:val="20"/>
                <w:lang w:eastAsia="es-CO"/>
              </w:rPr>
            </w:pPr>
          </w:p>
        </w:tc>
        <w:tc>
          <w:tcPr>
            <w:tcW w:w="80" w:type="dxa"/>
            <w:tcBorders>
              <w:top w:val="nil"/>
              <w:left w:val="nil"/>
              <w:bottom w:val="nil"/>
              <w:right w:val="nil"/>
            </w:tcBorders>
            <w:shd w:val="clear" w:color="auto" w:fill="auto"/>
            <w:vAlign w:val="center"/>
            <w:hideMark/>
          </w:tcPr>
          <w:p w14:paraId="5E2C63AB" w14:textId="77777777" w:rsidR="008F6532" w:rsidRPr="008F6532" w:rsidRDefault="008F6532" w:rsidP="008F6532">
            <w:pPr>
              <w:spacing w:after="0" w:line="240" w:lineRule="auto"/>
              <w:jc w:val="right"/>
              <w:rPr>
                <w:rFonts w:ascii="Times New Roman" w:eastAsia="Times New Roman" w:hAnsi="Times New Roman" w:cs="Times New Roman"/>
                <w:sz w:val="20"/>
                <w:szCs w:val="20"/>
                <w:lang w:eastAsia="es-CO"/>
              </w:rPr>
            </w:pPr>
          </w:p>
        </w:tc>
        <w:tc>
          <w:tcPr>
            <w:tcW w:w="1240" w:type="dxa"/>
            <w:tcBorders>
              <w:top w:val="nil"/>
              <w:left w:val="nil"/>
              <w:bottom w:val="nil"/>
              <w:right w:val="nil"/>
            </w:tcBorders>
            <w:shd w:val="clear" w:color="auto" w:fill="auto"/>
            <w:vAlign w:val="center"/>
            <w:hideMark/>
          </w:tcPr>
          <w:p w14:paraId="67F87B86" w14:textId="77777777" w:rsidR="008F6532" w:rsidRPr="008F6532" w:rsidRDefault="008F6532" w:rsidP="008F6532">
            <w:pPr>
              <w:spacing w:after="0" w:line="240" w:lineRule="auto"/>
              <w:jc w:val="right"/>
              <w:rPr>
                <w:rFonts w:ascii="Times New Roman" w:eastAsia="Times New Roman" w:hAnsi="Times New Roman" w:cs="Times New Roman"/>
                <w:sz w:val="20"/>
                <w:szCs w:val="20"/>
                <w:lang w:eastAsia="es-CO"/>
              </w:rPr>
            </w:pPr>
          </w:p>
        </w:tc>
        <w:tc>
          <w:tcPr>
            <w:tcW w:w="80" w:type="dxa"/>
            <w:tcBorders>
              <w:top w:val="nil"/>
              <w:left w:val="nil"/>
              <w:bottom w:val="nil"/>
              <w:right w:val="nil"/>
            </w:tcBorders>
            <w:shd w:val="clear" w:color="auto" w:fill="auto"/>
            <w:vAlign w:val="center"/>
            <w:hideMark/>
          </w:tcPr>
          <w:p w14:paraId="42A7ACCE" w14:textId="77777777" w:rsidR="008F6532" w:rsidRPr="008F6532" w:rsidRDefault="008F6532" w:rsidP="008F6532">
            <w:pPr>
              <w:spacing w:after="0" w:line="240" w:lineRule="auto"/>
              <w:jc w:val="right"/>
              <w:rPr>
                <w:rFonts w:ascii="Times New Roman" w:eastAsia="Times New Roman" w:hAnsi="Times New Roman" w:cs="Times New Roman"/>
                <w:sz w:val="20"/>
                <w:szCs w:val="20"/>
                <w:lang w:eastAsia="es-CO"/>
              </w:rPr>
            </w:pPr>
          </w:p>
        </w:tc>
        <w:tc>
          <w:tcPr>
            <w:tcW w:w="1240" w:type="dxa"/>
            <w:tcBorders>
              <w:top w:val="nil"/>
              <w:left w:val="nil"/>
              <w:bottom w:val="nil"/>
              <w:right w:val="nil"/>
            </w:tcBorders>
            <w:shd w:val="clear" w:color="auto" w:fill="auto"/>
            <w:vAlign w:val="center"/>
            <w:hideMark/>
          </w:tcPr>
          <w:p w14:paraId="359D2E9B" w14:textId="77777777" w:rsidR="008F6532" w:rsidRPr="008F6532" w:rsidRDefault="008F6532" w:rsidP="008F6532">
            <w:pPr>
              <w:spacing w:after="0" w:line="240" w:lineRule="auto"/>
              <w:jc w:val="right"/>
              <w:rPr>
                <w:rFonts w:ascii="Times New Roman" w:eastAsia="Times New Roman" w:hAnsi="Times New Roman" w:cs="Times New Roman"/>
                <w:sz w:val="20"/>
                <w:szCs w:val="20"/>
                <w:lang w:eastAsia="es-CO"/>
              </w:rPr>
            </w:pPr>
          </w:p>
        </w:tc>
        <w:tc>
          <w:tcPr>
            <w:tcW w:w="80" w:type="dxa"/>
            <w:tcBorders>
              <w:top w:val="nil"/>
              <w:left w:val="nil"/>
              <w:bottom w:val="nil"/>
              <w:right w:val="nil"/>
            </w:tcBorders>
            <w:shd w:val="clear" w:color="auto" w:fill="auto"/>
            <w:vAlign w:val="center"/>
            <w:hideMark/>
          </w:tcPr>
          <w:p w14:paraId="6A11CCFE" w14:textId="77777777" w:rsidR="008F6532" w:rsidRPr="008F6532" w:rsidRDefault="008F6532" w:rsidP="008F6532">
            <w:pPr>
              <w:spacing w:after="0" w:line="240" w:lineRule="auto"/>
              <w:jc w:val="right"/>
              <w:rPr>
                <w:rFonts w:ascii="Times New Roman" w:eastAsia="Times New Roman" w:hAnsi="Times New Roman" w:cs="Times New Roman"/>
                <w:sz w:val="20"/>
                <w:szCs w:val="20"/>
                <w:lang w:eastAsia="es-CO"/>
              </w:rPr>
            </w:pPr>
          </w:p>
        </w:tc>
        <w:tc>
          <w:tcPr>
            <w:tcW w:w="1240" w:type="dxa"/>
            <w:tcBorders>
              <w:top w:val="nil"/>
              <w:left w:val="nil"/>
              <w:bottom w:val="nil"/>
              <w:right w:val="nil"/>
            </w:tcBorders>
            <w:shd w:val="clear" w:color="auto" w:fill="auto"/>
            <w:vAlign w:val="center"/>
            <w:hideMark/>
          </w:tcPr>
          <w:p w14:paraId="47F22090" w14:textId="77777777" w:rsidR="008F6532" w:rsidRPr="008F6532" w:rsidRDefault="008F6532" w:rsidP="008F6532">
            <w:pPr>
              <w:spacing w:after="0" w:line="240" w:lineRule="auto"/>
              <w:jc w:val="right"/>
              <w:rPr>
                <w:rFonts w:ascii="Times New Roman" w:eastAsia="Times New Roman" w:hAnsi="Times New Roman" w:cs="Times New Roman"/>
                <w:sz w:val="20"/>
                <w:szCs w:val="20"/>
                <w:lang w:eastAsia="es-CO"/>
              </w:rPr>
            </w:pPr>
          </w:p>
        </w:tc>
      </w:tr>
      <w:tr w:rsidR="008F6532" w:rsidRPr="008F6532" w14:paraId="41F2556D" w14:textId="77777777" w:rsidTr="008F6532">
        <w:trPr>
          <w:trHeight w:val="227"/>
        </w:trPr>
        <w:tc>
          <w:tcPr>
            <w:tcW w:w="3940" w:type="dxa"/>
            <w:tcBorders>
              <w:top w:val="nil"/>
              <w:left w:val="nil"/>
              <w:bottom w:val="nil"/>
              <w:right w:val="nil"/>
            </w:tcBorders>
            <w:shd w:val="clear" w:color="auto" w:fill="auto"/>
            <w:noWrap/>
            <w:vAlign w:val="center"/>
            <w:hideMark/>
          </w:tcPr>
          <w:p w14:paraId="3119C60C" w14:textId="77777777" w:rsidR="008F6532" w:rsidRPr="008F6532" w:rsidRDefault="008F6532" w:rsidP="008F6532">
            <w:pPr>
              <w:spacing w:after="0" w:line="240" w:lineRule="auto"/>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Saldo al 1º de enero de 2019</w:t>
            </w:r>
          </w:p>
        </w:tc>
        <w:tc>
          <w:tcPr>
            <w:tcW w:w="200" w:type="dxa"/>
            <w:tcBorders>
              <w:top w:val="nil"/>
              <w:left w:val="nil"/>
              <w:bottom w:val="nil"/>
              <w:right w:val="nil"/>
            </w:tcBorders>
            <w:shd w:val="clear" w:color="auto" w:fill="auto"/>
            <w:vAlign w:val="center"/>
            <w:hideMark/>
          </w:tcPr>
          <w:p w14:paraId="44CF99BE" w14:textId="77777777" w:rsidR="008F6532" w:rsidRPr="008F6532" w:rsidRDefault="008F6532" w:rsidP="008F6532">
            <w:pPr>
              <w:spacing w:after="0" w:line="240" w:lineRule="auto"/>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6B49F0A0"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374.133.269</w:t>
            </w:r>
          </w:p>
        </w:tc>
        <w:tc>
          <w:tcPr>
            <w:tcW w:w="80" w:type="dxa"/>
            <w:tcBorders>
              <w:top w:val="nil"/>
              <w:left w:val="nil"/>
              <w:bottom w:val="nil"/>
              <w:right w:val="nil"/>
            </w:tcBorders>
            <w:shd w:val="clear" w:color="auto" w:fill="auto"/>
            <w:vAlign w:val="center"/>
            <w:hideMark/>
          </w:tcPr>
          <w:p w14:paraId="0EA12BD4"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581B27AD"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78.498.174</w:t>
            </w:r>
          </w:p>
        </w:tc>
        <w:tc>
          <w:tcPr>
            <w:tcW w:w="80" w:type="dxa"/>
            <w:tcBorders>
              <w:top w:val="nil"/>
              <w:left w:val="nil"/>
              <w:bottom w:val="nil"/>
              <w:right w:val="nil"/>
            </w:tcBorders>
            <w:shd w:val="clear" w:color="auto" w:fill="auto"/>
            <w:vAlign w:val="center"/>
            <w:hideMark/>
          </w:tcPr>
          <w:p w14:paraId="24CDF283"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0BDD5D31"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1.039.141.530</w:t>
            </w:r>
          </w:p>
        </w:tc>
        <w:tc>
          <w:tcPr>
            <w:tcW w:w="80" w:type="dxa"/>
            <w:tcBorders>
              <w:top w:val="nil"/>
              <w:left w:val="nil"/>
              <w:bottom w:val="nil"/>
              <w:right w:val="nil"/>
            </w:tcBorders>
            <w:shd w:val="clear" w:color="auto" w:fill="auto"/>
            <w:vAlign w:val="center"/>
            <w:hideMark/>
          </w:tcPr>
          <w:p w14:paraId="464CCCDC"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0B5BE646"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225.037.073</w:t>
            </w:r>
          </w:p>
        </w:tc>
        <w:tc>
          <w:tcPr>
            <w:tcW w:w="80" w:type="dxa"/>
            <w:tcBorders>
              <w:top w:val="nil"/>
              <w:left w:val="nil"/>
              <w:bottom w:val="nil"/>
              <w:right w:val="nil"/>
            </w:tcBorders>
            <w:shd w:val="clear" w:color="auto" w:fill="auto"/>
            <w:vAlign w:val="center"/>
            <w:hideMark/>
          </w:tcPr>
          <w:p w14:paraId="5F9DB071"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3F86D4EA" w14:textId="1D7F130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w:t>
            </w:r>
            <w:r w:rsidRPr="008F6532">
              <w:rPr>
                <w:rFonts w:ascii="Arial" w:eastAsia="Times New Roman" w:hAnsi="Arial" w:cs="Arial"/>
                <w:b/>
                <w:bCs/>
                <w:color w:val="000000"/>
                <w:sz w:val="16"/>
                <w:szCs w:val="16"/>
                <w:lang w:eastAsia="es-CO"/>
              </w:rPr>
              <w:t>253.761.263</w:t>
            </w:r>
            <w:r>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32A2E422"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2E16BF00"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134.916.918</w:t>
            </w:r>
          </w:p>
        </w:tc>
        <w:tc>
          <w:tcPr>
            <w:tcW w:w="80" w:type="dxa"/>
            <w:tcBorders>
              <w:top w:val="nil"/>
              <w:left w:val="nil"/>
              <w:bottom w:val="nil"/>
              <w:right w:val="nil"/>
            </w:tcBorders>
            <w:shd w:val="clear" w:color="auto" w:fill="auto"/>
            <w:vAlign w:val="center"/>
            <w:hideMark/>
          </w:tcPr>
          <w:p w14:paraId="39AA23E3"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4F2FA0D8" w14:textId="49CB59D4"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w:t>
            </w:r>
            <w:r w:rsidRPr="008F6532">
              <w:rPr>
                <w:rFonts w:ascii="Arial" w:eastAsia="Times New Roman" w:hAnsi="Arial" w:cs="Arial"/>
                <w:b/>
                <w:bCs/>
                <w:color w:val="000000"/>
                <w:sz w:val="16"/>
                <w:szCs w:val="16"/>
                <w:lang w:eastAsia="es-CO"/>
              </w:rPr>
              <w:t>7.144.958</w:t>
            </w:r>
            <w:r>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713A4F17"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64F91047" w14:textId="7628EE4D"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1.590.820.743</w:t>
            </w:r>
          </w:p>
        </w:tc>
      </w:tr>
      <w:tr w:rsidR="008F6532" w:rsidRPr="008F6532" w14:paraId="54AE5489" w14:textId="77777777" w:rsidTr="008F6532">
        <w:trPr>
          <w:trHeight w:val="227"/>
        </w:trPr>
        <w:tc>
          <w:tcPr>
            <w:tcW w:w="3940" w:type="dxa"/>
            <w:tcBorders>
              <w:top w:val="nil"/>
              <w:left w:val="nil"/>
              <w:bottom w:val="nil"/>
              <w:right w:val="nil"/>
            </w:tcBorders>
            <w:shd w:val="clear" w:color="auto" w:fill="auto"/>
            <w:noWrap/>
            <w:vAlign w:val="center"/>
            <w:hideMark/>
          </w:tcPr>
          <w:p w14:paraId="08C40414" w14:textId="77777777" w:rsidR="008F6532" w:rsidRPr="008F6532" w:rsidRDefault="008F6532" w:rsidP="008F6532">
            <w:pPr>
              <w:spacing w:after="0" w:line="240" w:lineRule="auto"/>
              <w:rPr>
                <w:rFonts w:ascii="Arial" w:eastAsia="Times New Roman" w:hAnsi="Arial" w:cs="Arial"/>
                <w:bCs/>
                <w:color w:val="000000"/>
                <w:sz w:val="16"/>
                <w:szCs w:val="16"/>
                <w:lang w:eastAsia="es-CO"/>
              </w:rPr>
            </w:pPr>
            <w:r w:rsidRPr="008F6532">
              <w:rPr>
                <w:rFonts w:ascii="Arial" w:eastAsia="Times New Roman" w:hAnsi="Arial" w:cs="Arial"/>
                <w:bCs/>
                <w:color w:val="000000"/>
                <w:sz w:val="16"/>
                <w:szCs w:val="16"/>
                <w:lang w:eastAsia="es-CO"/>
              </w:rPr>
              <w:t>Resultado del período</w:t>
            </w:r>
          </w:p>
        </w:tc>
        <w:tc>
          <w:tcPr>
            <w:tcW w:w="200" w:type="dxa"/>
            <w:tcBorders>
              <w:top w:val="nil"/>
              <w:left w:val="nil"/>
              <w:bottom w:val="nil"/>
              <w:right w:val="nil"/>
            </w:tcBorders>
            <w:shd w:val="clear" w:color="auto" w:fill="auto"/>
            <w:vAlign w:val="center"/>
            <w:hideMark/>
          </w:tcPr>
          <w:p w14:paraId="62DD1FB2" w14:textId="77777777" w:rsidR="008F6532" w:rsidRPr="008F6532" w:rsidRDefault="008F6532" w:rsidP="008F6532">
            <w:pPr>
              <w:spacing w:after="0" w:line="240" w:lineRule="auto"/>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5815E4DA"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5AF95C54"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2B57FA41"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69284D21"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4A23C9B3"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59FDA248"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72477E38"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3BC210EC"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1F0FFAD7"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4316BA0F"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59ECB4E1"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25.810.575</w:t>
            </w:r>
          </w:p>
        </w:tc>
        <w:tc>
          <w:tcPr>
            <w:tcW w:w="80" w:type="dxa"/>
            <w:tcBorders>
              <w:top w:val="nil"/>
              <w:left w:val="nil"/>
              <w:bottom w:val="nil"/>
              <w:right w:val="nil"/>
            </w:tcBorders>
            <w:shd w:val="clear" w:color="auto" w:fill="auto"/>
            <w:vAlign w:val="center"/>
            <w:hideMark/>
          </w:tcPr>
          <w:p w14:paraId="68E3F700"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0C879DFC"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49C47E00"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12229B59"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25.810.575</w:t>
            </w:r>
          </w:p>
        </w:tc>
      </w:tr>
      <w:tr w:rsidR="008F6532" w:rsidRPr="008F6532" w14:paraId="1566C258" w14:textId="77777777" w:rsidTr="008F6532">
        <w:trPr>
          <w:trHeight w:val="227"/>
        </w:trPr>
        <w:tc>
          <w:tcPr>
            <w:tcW w:w="3940" w:type="dxa"/>
            <w:tcBorders>
              <w:top w:val="nil"/>
              <w:left w:val="nil"/>
              <w:bottom w:val="nil"/>
              <w:right w:val="nil"/>
            </w:tcBorders>
            <w:shd w:val="clear" w:color="auto" w:fill="auto"/>
            <w:noWrap/>
            <w:vAlign w:val="center"/>
            <w:hideMark/>
          </w:tcPr>
          <w:p w14:paraId="3EEDF63E" w14:textId="77777777" w:rsidR="008F6532" w:rsidRPr="008F6532" w:rsidRDefault="008F6532" w:rsidP="008F6532">
            <w:pPr>
              <w:spacing w:after="0" w:line="240" w:lineRule="auto"/>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Otro resultado integral del período, neto de impuesto</w:t>
            </w:r>
          </w:p>
        </w:tc>
        <w:tc>
          <w:tcPr>
            <w:tcW w:w="200" w:type="dxa"/>
            <w:tcBorders>
              <w:top w:val="nil"/>
              <w:left w:val="nil"/>
              <w:bottom w:val="nil"/>
              <w:right w:val="nil"/>
            </w:tcBorders>
            <w:shd w:val="clear" w:color="auto" w:fill="auto"/>
            <w:vAlign w:val="center"/>
            <w:hideMark/>
          </w:tcPr>
          <w:p w14:paraId="4A0C86A2" w14:textId="77777777" w:rsidR="008F6532" w:rsidRPr="008F6532" w:rsidRDefault="008F6532" w:rsidP="008F6532">
            <w:pPr>
              <w:spacing w:after="0" w:line="240" w:lineRule="auto"/>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5D95D415"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57F624A9"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18E94AFA"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48EE1BA8"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71A7D6C4"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4EE71C22"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132F12CE" w14:textId="47F93AF0" w:rsidR="008F6532" w:rsidRPr="008F6532" w:rsidRDefault="008F6532" w:rsidP="008F6532">
            <w:pPr>
              <w:spacing w:after="0" w:line="240" w:lineRule="auto"/>
              <w:jc w:val="right"/>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Pr="008F6532">
              <w:rPr>
                <w:rFonts w:ascii="Arial" w:eastAsia="Times New Roman" w:hAnsi="Arial" w:cs="Arial"/>
                <w:color w:val="000000"/>
                <w:sz w:val="16"/>
                <w:szCs w:val="16"/>
                <w:lang w:eastAsia="es-CO"/>
              </w:rPr>
              <w:t>40.920.165</w:t>
            </w:r>
            <w:r>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0FF12322"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30DD8EF8"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3EC27BBD"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4611CB9D"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33BD2A97"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7B17B38D"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57501A1D"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3706A7F9" w14:textId="7314BBDE" w:rsidR="008F6532" w:rsidRPr="008F6532" w:rsidRDefault="008F6532" w:rsidP="008F6532">
            <w:pPr>
              <w:spacing w:after="0" w:line="240" w:lineRule="auto"/>
              <w:jc w:val="right"/>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Pr="008F6532">
              <w:rPr>
                <w:rFonts w:ascii="Arial" w:eastAsia="Times New Roman" w:hAnsi="Arial" w:cs="Arial"/>
                <w:color w:val="000000"/>
                <w:sz w:val="16"/>
                <w:szCs w:val="16"/>
                <w:lang w:eastAsia="es-CO"/>
              </w:rPr>
              <w:t>40.920.165</w:t>
            </w:r>
            <w:r>
              <w:rPr>
                <w:rFonts w:ascii="Arial" w:eastAsia="Times New Roman" w:hAnsi="Arial" w:cs="Arial"/>
                <w:color w:val="000000"/>
                <w:sz w:val="16"/>
                <w:szCs w:val="16"/>
                <w:lang w:eastAsia="es-CO"/>
              </w:rPr>
              <w:t>)</w:t>
            </w:r>
          </w:p>
        </w:tc>
      </w:tr>
      <w:tr w:rsidR="008F6532" w:rsidRPr="008F6532" w14:paraId="6BFF8B43" w14:textId="77777777" w:rsidTr="008F6532">
        <w:trPr>
          <w:trHeight w:val="227"/>
        </w:trPr>
        <w:tc>
          <w:tcPr>
            <w:tcW w:w="3940" w:type="dxa"/>
            <w:tcBorders>
              <w:top w:val="nil"/>
              <w:left w:val="nil"/>
              <w:bottom w:val="nil"/>
              <w:right w:val="nil"/>
            </w:tcBorders>
            <w:shd w:val="clear" w:color="auto" w:fill="auto"/>
            <w:noWrap/>
            <w:vAlign w:val="center"/>
            <w:hideMark/>
          </w:tcPr>
          <w:p w14:paraId="223A5701" w14:textId="77777777" w:rsidR="008F6532" w:rsidRPr="008F6532" w:rsidRDefault="008F6532" w:rsidP="008F6532">
            <w:pPr>
              <w:spacing w:after="0" w:line="240" w:lineRule="auto"/>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Resultado integral del período</w:t>
            </w:r>
          </w:p>
        </w:tc>
        <w:tc>
          <w:tcPr>
            <w:tcW w:w="200" w:type="dxa"/>
            <w:tcBorders>
              <w:top w:val="nil"/>
              <w:left w:val="nil"/>
              <w:bottom w:val="nil"/>
              <w:right w:val="nil"/>
            </w:tcBorders>
            <w:shd w:val="clear" w:color="auto" w:fill="auto"/>
            <w:vAlign w:val="center"/>
            <w:hideMark/>
          </w:tcPr>
          <w:p w14:paraId="33287B36" w14:textId="77777777" w:rsidR="008F6532" w:rsidRPr="008F6532" w:rsidRDefault="008F6532" w:rsidP="008F6532">
            <w:pPr>
              <w:spacing w:after="0" w:line="240" w:lineRule="auto"/>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330B82C9"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5BA52D63"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6ACB1D08"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0D25B598"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7AB43B18"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6F4BEE5E"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4F0486A8" w14:textId="5BF441B8"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w:t>
            </w:r>
            <w:r w:rsidRPr="008F6532">
              <w:rPr>
                <w:rFonts w:ascii="Arial" w:eastAsia="Times New Roman" w:hAnsi="Arial" w:cs="Arial"/>
                <w:b/>
                <w:bCs/>
                <w:color w:val="000000"/>
                <w:sz w:val="16"/>
                <w:szCs w:val="16"/>
                <w:lang w:eastAsia="es-CO"/>
              </w:rPr>
              <w:t>40.920.165</w:t>
            </w:r>
            <w:r>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7BAEB444"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7846A1B7"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48B6E3FD"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2B553A27"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25.810.575</w:t>
            </w:r>
          </w:p>
        </w:tc>
        <w:tc>
          <w:tcPr>
            <w:tcW w:w="80" w:type="dxa"/>
            <w:tcBorders>
              <w:top w:val="nil"/>
              <w:left w:val="nil"/>
              <w:bottom w:val="nil"/>
              <w:right w:val="nil"/>
            </w:tcBorders>
            <w:shd w:val="clear" w:color="auto" w:fill="auto"/>
            <w:vAlign w:val="center"/>
            <w:hideMark/>
          </w:tcPr>
          <w:p w14:paraId="7FA4AA74"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6B2C1E7F"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169ADFCE"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4E88AA71" w14:textId="14E076FF"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w:t>
            </w:r>
            <w:r w:rsidRPr="008F6532">
              <w:rPr>
                <w:rFonts w:ascii="Arial" w:eastAsia="Times New Roman" w:hAnsi="Arial" w:cs="Arial"/>
                <w:b/>
                <w:bCs/>
                <w:color w:val="000000"/>
                <w:sz w:val="16"/>
                <w:szCs w:val="16"/>
                <w:lang w:eastAsia="es-CO"/>
              </w:rPr>
              <w:t>15.109.590</w:t>
            </w:r>
            <w:r>
              <w:rPr>
                <w:rFonts w:ascii="Arial" w:eastAsia="Times New Roman" w:hAnsi="Arial" w:cs="Arial"/>
                <w:b/>
                <w:bCs/>
                <w:color w:val="000000"/>
                <w:sz w:val="16"/>
                <w:szCs w:val="16"/>
                <w:lang w:eastAsia="es-CO"/>
              </w:rPr>
              <w:t>)</w:t>
            </w:r>
          </w:p>
        </w:tc>
      </w:tr>
      <w:tr w:rsidR="008F6532" w:rsidRPr="008F6532" w14:paraId="3A3A02CE" w14:textId="77777777" w:rsidTr="008F6532">
        <w:trPr>
          <w:trHeight w:val="227"/>
        </w:trPr>
        <w:tc>
          <w:tcPr>
            <w:tcW w:w="3940" w:type="dxa"/>
            <w:tcBorders>
              <w:top w:val="nil"/>
              <w:left w:val="nil"/>
              <w:bottom w:val="nil"/>
              <w:right w:val="nil"/>
            </w:tcBorders>
            <w:shd w:val="clear" w:color="auto" w:fill="auto"/>
            <w:noWrap/>
            <w:vAlign w:val="center"/>
            <w:hideMark/>
          </w:tcPr>
          <w:p w14:paraId="458E7DDA" w14:textId="77777777" w:rsidR="008F6532" w:rsidRPr="008F6532" w:rsidRDefault="008F6532" w:rsidP="008F6532">
            <w:pPr>
              <w:spacing w:after="0" w:line="240" w:lineRule="auto"/>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Dividendos ordinarios decretados en efectivo</w:t>
            </w:r>
          </w:p>
        </w:tc>
        <w:tc>
          <w:tcPr>
            <w:tcW w:w="200" w:type="dxa"/>
            <w:tcBorders>
              <w:top w:val="nil"/>
              <w:left w:val="nil"/>
              <w:bottom w:val="nil"/>
              <w:right w:val="nil"/>
            </w:tcBorders>
            <w:shd w:val="clear" w:color="auto" w:fill="auto"/>
            <w:vAlign w:val="center"/>
            <w:hideMark/>
          </w:tcPr>
          <w:p w14:paraId="067EFF6C" w14:textId="77777777" w:rsidR="008F6532" w:rsidRPr="008F6532" w:rsidRDefault="008F6532" w:rsidP="008F6532">
            <w:pPr>
              <w:spacing w:after="0" w:line="240" w:lineRule="auto"/>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511982F0"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5AC10D93"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3B3298D1"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1F1D70A8"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477791A1" w14:textId="6F0378AE" w:rsidR="008F6532" w:rsidRPr="008F6532" w:rsidRDefault="008F6532" w:rsidP="008F6532">
            <w:pPr>
              <w:spacing w:after="0" w:line="240" w:lineRule="auto"/>
              <w:jc w:val="right"/>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Pr="008F6532">
              <w:rPr>
                <w:rFonts w:ascii="Arial" w:eastAsia="Times New Roman" w:hAnsi="Arial" w:cs="Arial"/>
                <w:color w:val="000000"/>
                <w:sz w:val="16"/>
                <w:szCs w:val="16"/>
                <w:lang w:eastAsia="es-CO"/>
              </w:rPr>
              <w:t>50.000.000</w:t>
            </w:r>
            <w:r>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511ABAF5"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0983314F"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0907512F"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78C2355D"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4D8620F4"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2DAB0756"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154527CA"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1914370B"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37905F7D"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38AC049E" w14:textId="2CB38893" w:rsidR="008F6532" w:rsidRPr="008F6532" w:rsidRDefault="008F6532" w:rsidP="008F6532">
            <w:pPr>
              <w:spacing w:after="0" w:line="240" w:lineRule="auto"/>
              <w:jc w:val="right"/>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Pr="008F6532">
              <w:rPr>
                <w:rFonts w:ascii="Arial" w:eastAsia="Times New Roman" w:hAnsi="Arial" w:cs="Arial"/>
                <w:color w:val="000000"/>
                <w:sz w:val="16"/>
                <w:szCs w:val="16"/>
                <w:lang w:eastAsia="es-CO"/>
              </w:rPr>
              <w:t>50.000.000</w:t>
            </w:r>
            <w:r>
              <w:rPr>
                <w:rFonts w:ascii="Arial" w:eastAsia="Times New Roman" w:hAnsi="Arial" w:cs="Arial"/>
                <w:color w:val="000000"/>
                <w:sz w:val="16"/>
                <w:szCs w:val="16"/>
                <w:lang w:eastAsia="es-CO"/>
              </w:rPr>
              <w:t>)</w:t>
            </w:r>
          </w:p>
        </w:tc>
      </w:tr>
      <w:tr w:rsidR="008F6532" w:rsidRPr="008F6532" w14:paraId="0D79E49D" w14:textId="77777777" w:rsidTr="008F6532">
        <w:trPr>
          <w:trHeight w:val="227"/>
        </w:trPr>
        <w:tc>
          <w:tcPr>
            <w:tcW w:w="3940" w:type="dxa"/>
            <w:tcBorders>
              <w:top w:val="nil"/>
              <w:left w:val="nil"/>
              <w:bottom w:val="nil"/>
              <w:right w:val="nil"/>
            </w:tcBorders>
            <w:shd w:val="clear" w:color="auto" w:fill="auto"/>
            <w:noWrap/>
            <w:vAlign w:val="center"/>
            <w:hideMark/>
          </w:tcPr>
          <w:p w14:paraId="5E8A77C5" w14:textId="77777777" w:rsidR="008F6532" w:rsidRPr="008F6532" w:rsidRDefault="008F6532" w:rsidP="008F6532">
            <w:pPr>
              <w:spacing w:after="0" w:line="240" w:lineRule="auto"/>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Apropiación de reservas</w:t>
            </w:r>
          </w:p>
        </w:tc>
        <w:tc>
          <w:tcPr>
            <w:tcW w:w="200" w:type="dxa"/>
            <w:tcBorders>
              <w:top w:val="nil"/>
              <w:left w:val="nil"/>
              <w:bottom w:val="nil"/>
              <w:right w:val="nil"/>
            </w:tcBorders>
            <w:shd w:val="clear" w:color="auto" w:fill="auto"/>
            <w:vAlign w:val="center"/>
            <w:hideMark/>
          </w:tcPr>
          <w:p w14:paraId="01219FBB" w14:textId="77777777" w:rsidR="008F6532" w:rsidRPr="008F6532" w:rsidRDefault="008F6532" w:rsidP="008F6532">
            <w:pPr>
              <w:spacing w:after="0" w:line="240" w:lineRule="auto"/>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01F97046"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5954EEC4"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2A58C987"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2B3815FD"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21B04B80"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r w:rsidRPr="008F6532">
              <w:rPr>
                <w:rFonts w:ascii="Arial" w:eastAsia="Times New Roman" w:hAnsi="Arial" w:cs="Arial"/>
                <w:color w:val="000000"/>
                <w:sz w:val="16"/>
                <w:szCs w:val="16"/>
                <w:lang w:eastAsia="es-CO"/>
              </w:rPr>
              <w:t>134.916.918</w:t>
            </w:r>
          </w:p>
        </w:tc>
        <w:tc>
          <w:tcPr>
            <w:tcW w:w="80" w:type="dxa"/>
            <w:tcBorders>
              <w:top w:val="nil"/>
              <w:left w:val="nil"/>
              <w:bottom w:val="nil"/>
              <w:right w:val="nil"/>
            </w:tcBorders>
            <w:shd w:val="clear" w:color="auto" w:fill="auto"/>
            <w:vAlign w:val="center"/>
            <w:hideMark/>
          </w:tcPr>
          <w:p w14:paraId="034D3702"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44440278"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001F9F06"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58246319"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06FA9F96"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57C8F5C3" w14:textId="30E18912" w:rsidR="008F6532" w:rsidRPr="008F6532" w:rsidRDefault="008F6532" w:rsidP="008F6532">
            <w:pPr>
              <w:spacing w:after="0" w:line="240" w:lineRule="auto"/>
              <w:jc w:val="right"/>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Pr="008F6532">
              <w:rPr>
                <w:rFonts w:ascii="Arial" w:eastAsia="Times New Roman" w:hAnsi="Arial" w:cs="Arial"/>
                <w:color w:val="000000"/>
                <w:sz w:val="16"/>
                <w:szCs w:val="16"/>
                <w:lang w:eastAsia="es-CO"/>
              </w:rPr>
              <w:t>134.916.918</w:t>
            </w:r>
            <w:r>
              <w:rPr>
                <w:rFonts w:ascii="Arial" w:eastAsia="Times New Roman" w:hAnsi="Arial" w:cs="Arial"/>
                <w:color w:val="000000"/>
                <w:sz w:val="16"/>
                <w:szCs w:val="16"/>
                <w:lang w:eastAsia="es-CO"/>
              </w:rPr>
              <w:t>)</w:t>
            </w:r>
          </w:p>
        </w:tc>
        <w:tc>
          <w:tcPr>
            <w:tcW w:w="80" w:type="dxa"/>
            <w:tcBorders>
              <w:top w:val="nil"/>
              <w:left w:val="nil"/>
              <w:bottom w:val="nil"/>
              <w:right w:val="nil"/>
            </w:tcBorders>
            <w:shd w:val="clear" w:color="auto" w:fill="auto"/>
            <w:vAlign w:val="center"/>
            <w:hideMark/>
          </w:tcPr>
          <w:p w14:paraId="5389237D" w14:textId="77777777" w:rsidR="008F6532" w:rsidRPr="008F6532" w:rsidRDefault="008F6532" w:rsidP="008F6532">
            <w:pPr>
              <w:spacing w:after="0" w:line="240" w:lineRule="auto"/>
              <w:jc w:val="right"/>
              <w:rPr>
                <w:rFonts w:ascii="Arial" w:eastAsia="Times New Roman" w:hAnsi="Arial" w:cs="Arial"/>
                <w:color w:val="000000"/>
                <w:sz w:val="16"/>
                <w:szCs w:val="16"/>
                <w:lang w:eastAsia="es-CO"/>
              </w:rPr>
            </w:pPr>
          </w:p>
        </w:tc>
        <w:tc>
          <w:tcPr>
            <w:tcW w:w="1240" w:type="dxa"/>
            <w:tcBorders>
              <w:top w:val="nil"/>
              <w:left w:val="nil"/>
              <w:bottom w:val="nil"/>
              <w:right w:val="nil"/>
            </w:tcBorders>
            <w:shd w:val="clear" w:color="auto" w:fill="auto"/>
            <w:vAlign w:val="center"/>
            <w:hideMark/>
          </w:tcPr>
          <w:p w14:paraId="4F235098"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18D7BD6C"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nil"/>
              <w:left w:val="nil"/>
              <w:bottom w:val="nil"/>
              <w:right w:val="nil"/>
            </w:tcBorders>
            <w:shd w:val="clear" w:color="auto" w:fill="auto"/>
            <w:vAlign w:val="center"/>
            <w:hideMark/>
          </w:tcPr>
          <w:p w14:paraId="278AA8C9"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r>
      <w:tr w:rsidR="008F6532" w:rsidRPr="008F6532" w14:paraId="4427BB6D" w14:textId="77777777" w:rsidTr="008F6532">
        <w:trPr>
          <w:trHeight w:val="227"/>
        </w:trPr>
        <w:tc>
          <w:tcPr>
            <w:tcW w:w="3940" w:type="dxa"/>
            <w:tcBorders>
              <w:top w:val="nil"/>
              <w:left w:val="nil"/>
              <w:bottom w:val="nil"/>
              <w:right w:val="nil"/>
            </w:tcBorders>
            <w:shd w:val="clear" w:color="auto" w:fill="auto"/>
            <w:noWrap/>
            <w:vAlign w:val="center"/>
            <w:hideMark/>
          </w:tcPr>
          <w:p w14:paraId="18441A5A" w14:textId="77777777" w:rsidR="008F6532" w:rsidRPr="008F6532" w:rsidRDefault="008F6532" w:rsidP="008F6532">
            <w:pPr>
              <w:spacing w:after="0" w:line="240" w:lineRule="auto"/>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Saldo al 31 de marzo de 2019</w:t>
            </w:r>
          </w:p>
        </w:tc>
        <w:tc>
          <w:tcPr>
            <w:tcW w:w="200" w:type="dxa"/>
            <w:tcBorders>
              <w:top w:val="nil"/>
              <w:left w:val="nil"/>
              <w:bottom w:val="nil"/>
              <w:right w:val="nil"/>
            </w:tcBorders>
            <w:shd w:val="clear" w:color="auto" w:fill="auto"/>
            <w:vAlign w:val="center"/>
            <w:hideMark/>
          </w:tcPr>
          <w:p w14:paraId="07B3B4D5" w14:textId="77777777" w:rsidR="008F6532" w:rsidRPr="008F6532" w:rsidRDefault="008F6532" w:rsidP="008F6532">
            <w:pPr>
              <w:spacing w:after="0" w:line="240" w:lineRule="auto"/>
              <w:jc w:val="center"/>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w:t>
            </w:r>
          </w:p>
        </w:tc>
        <w:tc>
          <w:tcPr>
            <w:tcW w:w="1240" w:type="dxa"/>
            <w:tcBorders>
              <w:top w:val="single" w:sz="4" w:space="0" w:color="auto"/>
              <w:left w:val="nil"/>
              <w:bottom w:val="nil"/>
              <w:right w:val="nil"/>
            </w:tcBorders>
            <w:shd w:val="clear" w:color="auto" w:fill="auto"/>
            <w:vAlign w:val="center"/>
            <w:hideMark/>
          </w:tcPr>
          <w:p w14:paraId="142D0375"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374.133.269</w:t>
            </w:r>
          </w:p>
        </w:tc>
        <w:tc>
          <w:tcPr>
            <w:tcW w:w="80" w:type="dxa"/>
            <w:tcBorders>
              <w:top w:val="nil"/>
              <w:left w:val="nil"/>
              <w:bottom w:val="nil"/>
              <w:right w:val="nil"/>
            </w:tcBorders>
            <w:shd w:val="clear" w:color="auto" w:fill="auto"/>
            <w:vAlign w:val="center"/>
            <w:hideMark/>
          </w:tcPr>
          <w:p w14:paraId="1DEA5C33"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single" w:sz="4" w:space="0" w:color="auto"/>
              <w:left w:val="nil"/>
              <w:bottom w:val="nil"/>
              <w:right w:val="nil"/>
            </w:tcBorders>
            <w:shd w:val="clear" w:color="auto" w:fill="auto"/>
            <w:vAlign w:val="center"/>
            <w:hideMark/>
          </w:tcPr>
          <w:p w14:paraId="42DFC8F3"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78.498.174</w:t>
            </w:r>
          </w:p>
        </w:tc>
        <w:tc>
          <w:tcPr>
            <w:tcW w:w="80" w:type="dxa"/>
            <w:tcBorders>
              <w:top w:val="nil"/>
              <w:left w:val="nil"/>
              <w:bottom w:val="nil"/>
              <w:right w:val="nil"/>
            </w:tcBorders>
            <w:shd w:val="clear" w:color="auto" w:fill="auto"/>
            <w:vAlign w:val="center"/>
            <w:hideMark/>
          </w:tcPr>
          <w:p w14:paraId="1E2CE381"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single" w:sz="4" w:space="0" w:color="auto"/>
              <w:left w:val="nil"/>
              <w:bottom w:val="nil"/>
              <w:right w:val="nil"/>
            </w:tcBorders>
            <w:shd w:val="clear" w:color="auto" w:fill="auto"/>
            <w:vAlign w:val="center"/>
            <w:hideMark/>
          </w:tcPr>
          <w:p w14:paraId="3B207B72" w14:textId="0EF04349"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1.1</w:t>
            </w:r>
            <w:r>
              <w:rPr>
                <w:rFonts w:ascii="Arial" w:eastAsia="Times New Roman" w:hAnsi="Arial" w:cs="Arial"/>
                <w:b/>
                <w:bCs/>
                <w:color w:val="000000"/>
                <w:sz w:val="16"/>
                <w:szCs w:val="16"/>
                <w:lang w:eastAsia="es-CO"/>
              </w:rPr>
              <w:t>2</w:t>
            </w:r>
            <w:r w:rsidRPr="008F6532">
              <w:rPr>
                <w:rFonts w:ascii="Arial" w:eastAsia="Times New Roman" w:hAnsi="Arial" w:cs="Arial"/>
                <w:b/>
                <w:bCs/>
                <w:color w:val="000000"/>
                <w:sz w:val="16"/>
                <w:szCs w:val="16"/>
                <w:lang w:eastAsia="es-CO"/>
              </w:rPr>
              <w:t>4.058.448</w:t>
            </w:r>
            <w:r w:rsidRPr="008F6532">
              <w:rPr>
                <w:rFonts w:ascii="Calibri" w:eastAsia="Times New Roman" w:hAnsi="Calibri" w:cs="Calibri"/>
                <w:color w:val="000000"/>
                <w:sz w:val="16"/>
                <w:szCs w:val="16"/>
                <w:lang w:eastAsia="es-CO"/>
              </w:rPr>
              <w:t> </w:t>
            </w:r>
          </w:p>
        </w:tc>
        <w:tc>
          <w:tcPr>
            <w:tcW w:w="80" w:type="dxa"/>
            <w:tcBorders>
              <w:top w:val="nil"/>
              <w:left w:val="nil"/>
              <w:bottom w:val="nil"/>
              <w:right w:val="nil"/>
            </w:tcBorders>
            <w:shd w:val="clear" w:color="auto" w:fill="auto"/>
            <w:vAlign w:val="center"/>
            <w:hideMark/>
          </w:tcPr>
          <w:p w14:paraId="682C8500"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single" w:sz="4" w:space="0" w:color="auto"/>
              <w:left w:val="nil"/>
              <w:bottom w:val="nil"/>
              <w:right w:val="nil"/>
            </w:tcBorders>
            <w:shd w:val="clear" w:color="auto" w:fill="auto"/>
            <w:vAlign w:val="center"/>
            <w:hideMark/>
          </w:tcPr>
          <w:p w14:paraId="0EF740DF"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184.116.908</w:t>
            </w:r>
          </w:p>
        </w:tc>
        <w:tc>
          <w:tcPr>
            <w:tcW w:w="80" w:type="dxa"/>
            <w:tcBorders>
              <w:top w:val="nil"/>
              <w:left w:val="nil"/>
              <w:bottom w:val="nil"/>
              <w:right w:val="nil"/>
            </w:tcBorders>
            <w:shd w:val="clear" w:color="auto" w:fill="auto"/>
            <w:vAlign w:val="center"/>
            <w:hideMark/>
          </w:tcPr>
          <w:p w14:paraId="3E8065C2"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single" w:sz="4" w:space="0" w:color="auto"/>
              <w:left w:val="nil"/>
              <w:bottom w:val="nil"/>
              <w:right w:val="nil"/>
            </w:tcBorders>
            <w:shd w:val="clear" w:color="auto" w:fill="auto"/>
            <w:vAlign w:val="center"/>
            <w:hideMark/>
          </w:tcPr>
          <w:p w14:paraId="5ECC8689" w14:textId="53558309"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(253.761.263)</w:t>
            </w:r>
          </w:p>
        </w:tc>
        <w:tc>
          <w:tcPr>
            <w:tcW w:w="80" w:type="dxa"/>
            <w:tcBorders>
              <w:top w:val="nil"/>
              <w:left w:val="nil"/>
              <w:bottom w:val="nil"/>
              <w:right w:val="nil"/>
            </w:tcBorders>
            <w:shd w:val="clear" w:color="auto" w:fill="auto"/>
            <w:vAlign w:val="center"/>
            <w:hideMark/>
          </w:tcPr>
          <w:p w14:paraId="67522569"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single" w:sz="4" w:space="0" w:color="auto"/>
              <w:left w:val="nil"/>
              <w:bottom w:val="nil"/>
              <w:right w:val="nil"/>
            </w:tcBorders>
            <w:shd w:val="clear" w:color="auto" w:fill="auto"/>
            <w:vAlign w:val="center"/>
            <w:hideMark/>
          </w:tcPr>
          <w:p w14:paraId="55721FB5"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25.810.575</w:t>
            </w:r>
          </w:p>
        </w:tc>
        <w:tc>
          <w:tcPr>
            <w:tcW w:w="80" w:type="dxa"/>
            <w:tcBorders>
              <w:top w:val="nil"/>
              <w:left w:val="nil"/>
              <w:bottom w:val="nil"/>
              <w:right w:val="nil"/>
            </w:tcBorders>
            <w:shd w:val="clear" w:color="auto" w:fill="auto"/>
            <w:vAlign w:val="center"/>
            <w:hideMark/>
          </w:tcPr>
          <w:p w14:paraId="1637588B"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single" w:sz="4" w:space="0" w:color="auto"/>
              <w:left w:val="nil"/>
              <w:bottom w:val="nil"/>
              <w:right w:val="nil"/>
            </w:tcBorders>
            <w:shd w:val="clear" w:color="auto" w:fill="auto"/>
            <w:vAlign w:val="center"/>
            <w:hideMark/>
          </w:tcPr>
          <w:p w14:paraId="644C94A6" w14:textId="0F7AF91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w:t>
            </w:r>
            <w:r w:rsidRPr="008F6532">
              <w:rPr>
                <w:rFonts w:ascii="Arial" w:eastAsia="Times New Roman" w:hAnsi="Arial" w:cs="Arial"/>
                <w:b/>
                <w:bCs/>
                <w:color w:val="000000"/>
                <w:sz w:val="16"/>
                <w:szCs w:val="16"/>
                <w:lang w:eastAsia="es-CO"/>
              </w:rPr>
              <w:t>7.144.958</w:t>
            </w:r>
            <w:r>
              <w:rPr>
                <w:rFonts w:ascii="Arial" w:eastAsia="Times New Roman" w:hAnsi="Arial" w:cs="Arial"/>
                <w:b/>
                <w:bCs/>
                <w:color w:val="000000"/>
                <w:sz w:val="16"/>
                <w:szCs w:val="16"/>
                <w:lang w:eastAsia="es-CO"/>
              </w:rPr>
              <w:t>)</w:t>
            </w:r>
          </w:p>
        </w:tc>
        <w:tc>
          <w:tcPr>
            <w:tcW w:w="80" w:type="dxa"/>
            <w:tcBorders>
              <w:top w:val="nil"/>
              <w:left w:val="nil"/>
              <w:bottom w:val="nil"/>
              <w:right w:val="nil"/>
            </w:tcBorders>
            <w:shd w:val="clear" w:color="auto" w:fill="auto"/>
            <w:vAlign w:val="center"/>
            <w:hideMark/>
          </w:tcPr>
          <w:p w14:paraId="68EFA16F"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p>
        </w:tc>
        <w:tc>
          <w:tcPr>
            <w:tcW w:w="1240" w:type="dxa"/>
            <w:tcBorders>
              <w:top w:val="single" w:sz="4" w:space="0" w:color="auto"/>
              <w:left w:val="nil"/>
              <w:bottom w:val="nil"/>
              <w:right w:val="nil"/>
            </w:tcBorders>
            <w:shd w:val="clear" w:color="auto" w:fill="auto"/>
            <w:vAlign w:val="center"/>
            <w:hideMark/>
          </w:tcPr>
          <w:p w14:paraId="4C110633" w14:textId="77777777" w:rsidR="008F6532" w:rsidRPr="008F6532" w:rsidRDefault="008F6532" w:rsidP="008F6532">
            <w:pPr>
              <w:spacing w:after="0" w:line="240" w:lineRule="auto"/>
              <w:jc w:val="right"/>
              <w:rPr>
                <w:rFonts w:ascii="Arial" w:eastAsia="Times New Roman" w:hAnsi="Arial" w:cs="Arial"/>
                <w:b/>
                <w:bCs/>
                <w:color w:val="000000"/>
                <w:sz w:val="16"/>
                <w:szCs w:val="16"/>
                <w:lang w:eastAsia="es-CO"/>
              </w:rPr>
            </w:pPr>
            <w:r w:rsidRPr="008F6532">
              <w:rPr>
                <w:rFonts w:ascii="Arial" w:eastAsia="Times New Roman" w:hAnsi="Arial" w:cs="Arial"/>
                <w:b/>
                <w:bCs/>
                <w:color w:val="000000"/>
                <w:sz w:val="16"/>
                <w:szCs w:val="16"/>
                <w:lang w:eastAsia="es-CO"/>
              </w:rPr>
              <w:t>1.525.711.153</w:t>
            </w:r>
          </w:p>
        </w:tc>
      </w:tr>
    </w:tbl>
    <w:p w14:paraId="58A20CD4" w14:textId="0A576F0D" w:rsidR="00C21888" w:rsidRDefault="00C21888" w:rsidP="00C21888">
      <w:pPr>
        <w:spacing w:after="0"/>
        <w:rPr>
          <w:rFonts w:ascii="Arial" w:hAnsi="Arial" w:cs="Arial"/>
          <w:sz w:val="20"/>
        </w:rPr>
      </w:pPr>
    </w:p>
    <w:p w14:paraId="093C22B7" w14:textId="77777777" w:rsidR="00DE66EF" w:rsidRPr="0009028A" w:rsidRDefault="00C82E26" w:rsidP="00963D3C">
      <w:pPr>
        <w:spacing w:after="0" w:line="275" w:lineRule="auto"/>
        <w:ind w:right="2266"/>
        <w:rPr>
          <w:rFonts w:ascii="Arial" w:hAnsi="Arial" w:cs="Arial"/>
          <w:sz w:val="16"/>
          <w:szCs w:val="16"/>
        </w:rPr>
      </w:pPr>
      <w:r w:rsidRPr="0009028A">
        <w:rPr>
          <w:rFonts w:ascii="Arial" w:hAnsi="Arial" w:cs="Arial"/>
          <w:sz w:val="18"/>
          <w:szCs w:val="18"/>
        </w:rPr>
        <w:t>Las notas que se acompañan son parte integral de los estados financieros intermedios condensados separados.</w:t>
      </w:r>
    </w:p>
    <w:p w14:paraId="630C815F" w14:textId="77777777" w:rsidR="00A93C95" w:rsidRDefault="00A93C95" w:rsidP="00963D3C">
      <w:pPr>
        <w:spacing w:after="0" w:line="275" w:lineRule="auto"/>
        <w:ind w:right="2266"/>
        <w:rPr>
          <w:rFonts w:ascii="Arial" w:hAnsi="Arial" w:cs="Arial"/>
          <w:sz w:val="16"/>
          <w:szCs w:val="16"/>
        </w:rPr>
      </w:pPr>
    </w:p>
    <w:p w14:paraId="682BD374" w14:textId="77777777" w:rsidR="00BD2F10" w:rsidRDefault="00BD2F10" w:rsidP="00963D3C">
      <w:pPr>
        <w:spacing w:after="0" w:line="275" w:lineRule="auto"/>
        <w:ind w:right="2266"/>
        <w:rPr>
          <w:rFonts w:ascii="Arial" w:hAnsi="Arial" w:cs="Arial"/>
          <w:sz w:val="16"/>
          <w:szCs w:val="16"/>
        </w:rPr>
      </w:pPr>
    </w:p>
    <w:p w14:paraId="745C0AC4" w14:textId="77777777" w:rsidR="00BD2F10" w:rsidRPr="0009028A" w:rsidRDefault="00BD2F10" w:rsidP="00963D3C">
      <w:pPr>
        <w:spacing w:after="0" w:line="275" w:lineRule="auto"/>
        <w:ind w:right="2266"/>
        <w:rPr>
          <w:rFonts w:ascii="Arial" w:hAnsi="Arial" w:cs="Arial"/>
          <w:sz w:val="16"/>
          <w:szCs w:val="16"/>
        </w:rPr>
      </w:pPr>
    </w:p>
    <w:p w14:paraId="71CC10DF" w14:textId="77777777" w:rsidR="00A93C95" w:rsidRPr="0009028A" w:rsidRDefault="00A93C95" w:rsidP="00963D3C">
      <w:pPr>
        <w:spacing w:after="0" w:line="275" w:lineRule="auto"/>
        <w:ind w:right="2266"/>
        <w:rPr>
          <w:rFonts w:ascii="Arial" w:hAnsi="Arial" w:cs="Arial"/>
          <w:sz w:val="16"/>
          <w:szCs w:val="16"/>
        </w:rPr>
      </w:pPr>
    </w:p>
    <w:p w14:paraId="3CB0226A" w14:textId="0AD62716" w:rsidR="00C82E26" w:rsidRPr="0009028A" w:rsidRDefault="00C52937" w:rsidP="00C82E26">
      <w:pPr>
        <w:tabs>
          <w:tab w:val="center" w:pos="6237"/>
          <w:tab w:val="center" w:pos="11482"/>
        </w:tabs>
        <w:spacing w:after="0" w:line="275" w:lineRule="auto"/>
        <w:ind w:right="-2"/>
        <w:rPr>
          <w:rFonts w:ascii="Arial" w:hAnsi="Arial" w:cs="Arial"/>
          <w:b/>
          <w:sz w:val="18"/>
          <w:szCs w:val="18"/>
        </w:rPr>
      </w:pPr>
      <w:r>
        <w:rPr>
          <w:rFonts w:ascii="Arial" w:hAnsi="Arial" w:cs="Arial"/>
          <w:b/>
          <w:sz w:val="18"/>
          <w:szCs w:val="18"/>
        </w:rPr>
        <w:t>Mauricio Ossa Echeverry</w:t>
      </w:r>
      <w:r w:rsidR="00C82E26" w:rsidRPr="0009028A">
        <w:rPr>
          <w:rFonts w:ascii="Arial" w:hAnsi="Arial" w:cs="Arial"/>
          <w:b/>
          <w:sz w:val="18"/>
          <w:szCs w:val="18"/>
        </w:rPr>
        <w:tab/>
        <w:t>Mario Alonso García Romero</w:t>
      </w:r>
      <w:r w:rsidR="00C82E26" w:rsidRPr="0009028A">
        <w:rPr>
          <w:rFonts w:ascii="Arial" w:hAnsi="Arial" w:cs="Arial"/>
          <w:b/>
          <w:sz w:val="18"/>
          <w:szCs w:val="18"/>
        </w:rPr>
        <w:tab/>
        <w:t>Mario Alberto López Ocampo</w:t>
      </w:r>
      <w:r w:rsidR="00C82E26" w:rsidRPr="0009028A" w:rsidDel="000D02AC">
        <w:rPr>
          <w:rFonts w:ascii="Arial" w:hAnsi="Arial" w:cs="Arial"/>
          <w:b/>
          <w:sz w:val="18"/>
          <w:szCs w:val="18"/>
        </w:rPr>
        <w:t xml:space="preserve"> </w:t>
      </w:r>
    </w:p>
    <w:p w14:paraId="4C250975" w14:textId="037C0901" w:rsidR="00C82E26" w:rsidRPr="0009028A" w:rsidRDefault="00C52937" w:rsidP="00C82E26">
      <w:pPr>
        <w:tabs>
          <w:tab w:val="center" w:pos="6237"/>
          <w:tab w:val="center" w:pos="11482"/>
        </w:tabs>
        <w:spacing w:after="0" w:line="275" w:lineRule="auto"/>
        <w:ind w:right="-2"/>
        <w:rPr>
          <w:rFonts w:ascii="Arial" w:hAnsi="Arial" w:cs="Arial"/>
          <w:sz w:val="18"/>
          <w:szCs w:val="18"/>
        </w:rPr>
      </w:pPr>
      <w:r>
        <w:rPr>
          <w:rFonts w:ascii="Arial" w:hAnsi="Arial" w:cs="Arial"/>
          <w:sz w:val="18"/>
          <w:szCs w:val="18"/>
        </w:rPr>
        <w:t>Presidente</w:t>
      </w:r>
      <w:r w:rsidR="00C82E26" w:rsidRPr="0009028A">
        <w:rPr>
          <w:rFonts w:ascii="Arial" w:hAnsi="Arial" w:cs="Arial"/>
          <w:sz w:val="18"/>
          <w:szCs w:val="18"/>
        </w:rPr>
        <w:t xml:space="preserve"> (*)</w:t>
      </w:r>
      <w:r w:rsidR="00C82E26" w:rsidRPr="0009028A">
        <w:rPr>
          <w:rFonts w:ascii="Arial" w:hAnsi="Arial" w:cs="Arial"/>
          <w:sz w:val="18"/>
          <w:szCs w:val="18"/>
        </w:rPr>
        <w:tab/>
        <w:t>Contador (*)</w:t>
      </w:r>
      <w:r w:rsidR="00C82E26" w:rsidRPr="0009028A">
        <w:rPr>
          <w:rFonts w:ascii="Arial" w:hAnsi="Arial" w:cs="Arial"/>
          <w:sz w:val="18"/>
          <w:szCs w:val="18"/>
        </w:rPr>
        <w:tab/>
        <w:t xml:space="preserve">Revisor Fiscal </w:t>
      </w:r>
    </w:p>
    <w:p w14:paraId="43E8BC3F" w14:textId="77777777" w:rsidR="00C82E26" w:rsidRPr="0009028A" w:rsidRDefault="00C82E26" w:rsidP="00C82E26">
      <w:pPr>
        <w:tabs>
          <w:tab w:val="center" w:pos="6237"/>
          <w:tab w:val="center" w:pos="11482"/>
        </w:tabs>
        <w:spacing w:after="0" w:line="275" w:lineRule="auto"/>
        <w:ind w:right="-2"/>
        <w:rPr>
          <w:rFonts w:ascii="Arial" w:hAnsi="Arial" w:cs="Arial"/>
          <w:sz w:val="18"/>
          <w:szCs w:val="18"/>
        </w:rPr>
      </w:pPr>
      <w:r w:rsidRPr="0009028A">
        <w:rPr>
          <w:rFonts w:ascii="Arial" w:hAnsi="Arial" w:cs="Arial"/>
          <w:sz w:val="18"/>
          <w:szCs w:val="18"/>
        </w:rPr>
        <w:tab/>
        <w:t>T.P. 69852-T</w:t>
      </w:r>
      <w:r w:rsidRPr="0009028A">
        <w:rPr>
          <w:rFonts w:ascii="Arial" w:hAnsi="Arial" w:cs="Arial"/>
          <w:sz w:val="18"/>
          <w:szCs w:val="18"/>
        </w:rPr>
        <w:tab/>
        <w:t>T.P. 110657-T</w:t>
      </w:r>
    </w:p>
    <w:p w14:paraId="528AA88F" w14:textId="77777777" w:rsidR="00C82E26" w:rsidRPr="0009028A" w:rsidRDefault="00C82E26" w:rsidP="00C82E26">
      <w:pPr>
        <w:tabs>
          <w:tab w:val="center" w:pos="6237"/>
          <w:tab w:val="center" w:pos="11482"/>
        </w:tabs>
        <w:spacing w:after="0" w:line="275" w:lineRule="auto"/>
        <w:ind w:right="-2"/>
        <w:rPr>
          <w:rFonts w:ascii="Arial" w:hAnsi="Arial" w:cs="Arial"/>
          <w:sz w:val="18"/>
          <w:szCs w:val="18"/>
        </w:rPr>
      </w:pPr>
      <w:r w:rsidRPr="0009028A">
        <w:rPr>
          <w:rFonts w:ascii="Arial" w:hAnsi="Arial" w:cs="Arial"/>
          <w:sz w:val="18"/>
          <w:szCs w:val="18"/>
        </w:rPr>
        <w:tab/>
      </w:r>
      <w:r w:rsidRPr="0009028A">
        <w:rPr>
          <w:rFonts w:ascii="Arial" w:hAnsi="Arial" w:cs="Arial"/>
          <w:sz w:val="18"/>
          <w:szCs w:val="18"/>
        </w:rPr>
        <w:tab/>
        <w:t>Miembro de KPMG S.A.S.</w:t>
      </w:r>
    </w:p>
    <w:p w14:paraId="2C715077" w14:textId="5A64B643" w:rsidR="00C82E26" w:rsidRPr="0009028A" w:rsidRDefault="003A4CF8" w:rsidP="00C82E26">
      <w:pPr>
        <w:tabs>
          <w:tab w:val="center" w:pos="6237"/>
          <w:tab w:val="center" w:pos="11482"/>
        </w:tabs>
        <w:spacing w:after="0" w:line="275" w:lineRule="auto"/>
        <w:ind w:right="-2"/>
        <w:rPr>
          <w:rFonts w:ascii="Arial" w:hAnsi="Arial" w:cs="Arial"/>
          <w:sz w:val="18"/>
          <w:szCs w:val="18"/>
        </w:rPr>
      </w:pPr>
      <w:r>
        <w:rPr>
          <w:rFonts w:ascii="Arial" w:hAnsi="Arial" w:cs="Arial"/>
          <w:sz w:val="18"/>
          <w:szCs w:val="18"/>
        </w:rPr>
        <w:tab/>
      </w:r>
      <w:r>
        <w:rPr>
          <w:rFonts w:ascii="Arial" w:hAnsi="Arial" w:cs="Arial"/>
          <w:sz w:val="18"/>
          <w:szCs w:val="18"/>
        </w:rPr>
        <w:tab/>
        <w:t>(Véase mi informe del 14</w:t>
      </w:r>
      <w:r w:rsidR="00C82E26" w:rsidRPr="0009028A">
        <w:rPr>
          <w:rFonts w:ascii="Arial" w:hAnsi="Arial" w:cs="Arial"/>
          <w:sz w:val="18"/>
          <w:szCs w:val="18"/>
        </w:rPr>
        <w:t xml:space="preserve"> de mayo de 2019)</w:t>
      </w:r>
    </w:p>
    <w:p w14:paraId="1228A8E5" w14:textId="77777777" w:rsidR="00CD0EC8" w:rsidRPr="0009028A" w:rsidRDefault="00CD0EC8" w:rsidP="00CD0EC8">
      <w:pPr>
        <w:spacing w:after="0" w:line="240" w:lineRule="auto"/>
        <w:rPr>
          <w:rFonts w:ascii="Arial" w:hAnsi="Arial" w:cs="Arial"/>
          <w:sz w:val="18"/>
          <w:szCs w:val="18"/>
        </w:rPr>
      </w:pPr>
    </w:p>
    <w:p w14:paraId="3CE40D7E" w14:textId="77777777" w:rsidR="00CD0EC8" w:rsidRPr="0009028A" w:rsidRDefault="00CD0EC8" w:rsidP="00CD0EC8">
      <w:pPr>
        <w:spacing w:after="0" w:line="240" w:lineRule="auto"/>
        <w:rPr>
          <w:rFonts w:ascii="Arial" w:hAnsi="Arial" w:cs="Arial"/>
          <w:sz w:val="18"/>
          <w:szCs w:val="18"/>
        </w:rPr>
      </w:pPr>
      <w:r w:rsidRPr="0009028A">
        <w:rPr>
          <w:rFonts w:ascii="Arial" w:hAnsi="Arial" w:cs="Arial"/>
          <w:sz w:val="18"/>
          <w:szCs w:val="18"/>
        </w:rPr>
        <w:t>(*) Los suscritos Representante Legal y Contador Público certificamos que hemos verificado previamente las afirmaciones contenidas en estos estados financieros y que los mismos han sido tomados fielmente de los libros de contabilidad de la Compañía.</w:t>
      </w:r>
    </w:p>
    <w:p w14:paraId="13E66C60" w14:textId="77777777" w:rsidR="00633A6D" w:rsidRPr="0009028A" w:rsidRDefault="00633A6D" w:rsidP="00C45BC4">
      <w:pPr>
        <w:spacing w:before="83" w:after="0" w:line="275" w:lineRule="auto"/>
        <w:ind w:right="2266"/>
        <w:rPr>
          <w:rFonts w:ascii="Arial" w:hAnsi="Arial" w:cs="Arial"/>
          <w:sz w:val="10"/>
          <w:szCs w:val="10"/>
        </w:rPr>
      </w:pPr>
    </w:p>
    <w:p w14:paraId="09D84AF0" w14:textId="77777777" w:rsidR="000B6E7C" w:rsidRPr="0009028A" w:rsidRDefault="000B6E7C" w:rsidP="008A43E9">
      <w:pPr>
        <w:spacing w:before="83" w:after="0" w:line="275" w:lineRule="auto"/>
        <w:ind w:right="2266"/>
        <w:jc w:val="center"/>
        <w:rPr>
          <w:rFonts w:ascii="Arial" w:hAnsi="Arial" w:cs="Arial"/>
          <w:sz w:val="16"/>
          <w:szCs w:val="16"/>
        </w:rPr>
        <w:sectPr w:rsidR="000B6E7C" w:rsidRPr="0009028A" w:rsidSect="003B5C10">
          <w:pgSz w:w="15840" w:h="12240" w:orient="landscape"/>
          <w:pgMar w:top="992" w:right="567" w:bottom="1327" w:left="567" w:header="709" w:footer="709" w:gutter="0"/>
          <w:cols w:space="708"/>
          <w:docGrid w:linePitch="360"/>
        </w:sectPr>
      </w:pPr>
    </w:p>
    <w:p w14:paraId="49BF852C" w14:textId="77777777" w:rsidR="00F73574" w:rsidRPr="0009028A" w:rsidRDefault="00212ED7" w:rsidP="00FF2ED8">
      <w:pPr>
        <w:spacing w:after="0" w:line="240" w:lineRule="auto"/>
        <w:ind w:right="4096"/>
        <w:rPr>
          <w:rFonts w:ascii="Arial" w:hAnsi="Arial" w:cs="Arial"/>
          <w:color w:val="0C2D66"/>
          <w:sz w:val="36"/>
          <w:szCs w:val="36"/>
        </w:rPr>
      </w:pPr>
      <w:r w:rsidRPr="0009028A">
        <w:rPr>
          <w:rFonts w:ascii="Arial" w:hAnsi="Arial" w:cs="Arial"/>
          <w:color w:val="0C2D66"/>
          <w:sz w:val="36"/>
          <w:szCs w:val="36"/>
        </w:rPr>
        <w:t>Odinsa</w:t>
      </w:r>
      <w:r w:rsidR="00945832" w:rsidRPr="0009028A">
        <w:rPr>
          <w:rFonts w:ascii="Arial" w:hAnsi="Arial" w:cs="Arial"/>
          <w:color w:val="0C2D66"/>
          <w:sz w:val="36"/>
          <w:szCs w:val="36"/>
        </w:rPr>
        <w:t xml:space="preserve"> S.</w:t>
      </w:r>
      <w:r w:rsidR="00F73574" w:rsidRPr="0009028A">
        <w:rPr>
          <w:rFonts w:ascii="Arial" w:hAnsi="Arial" w:cs="Arial"/>
          <w:color w:val="0C2D66"/>
          <w:sz w:val="36"/>
          <w:szCs w:val="36"/>
        </w:rPr>
        <w:t xml:space="preserve">A. </w:t>
      </w:r>
    </w:p>
    <w:p w14:paraId="5364B45D" w14:textId="77777777" w:rsidR="00F73574" w:rsidRPr="0009028A" w:rsidRDefault="00F73574" w:rsidP="00FF2ED8">
      <w:pPr>
        <w:pStyle w:val="Ttulo1"/>
        <w:spacing w:after="0"/>
      </w:pPr>
      <w:bookmarkStart w:id="13" w:name="_Toc8735029"/>
      <w:bookmarkStart w:id="14" w:name="_Toc506991880"/>
      <w:r w:rsidRPr="0009028A">
        <w:t>Estado</w:t>
      </w:r>
      <w:r w:rsidR="00DA182B" w:rsidRPr="0009028A">
        <w:t>s</w:t>
      </w:r>
      <w:r w:rsidRPr="0009028A">
        <w:t xml:space="preserve"> </w:t>
      </w:r>
      <w:r w:rsidR="00C82E26" w:rsidRPr="0009028A">
        <w:t xml:space="preserve">intermedios </w:t>
      </w:r>
      <w:r w:rsidR="00224611" w:rsidRPr="0009028A">
        <w:t xml:space="preserve">condensados </w:t>
      </w:r>
      <w:r w:rsidR="00DA182B" w:rsidRPr="0009028A">
        <w:t xml:space="preserve">separados </w:t>
      </w:r>
      <w:r w:rsidRPr="0009028A">
        <w:t>de flujos de efectivo</w:t>
      </w:r>
      <w:bookmarkEnd w:id="13"/>
      <w:r w:rsidR="0035502D" w:rsidRPr="0009028A">
        <w:t xml:space="preserve"> </w:t>
      </w:r>
      <w:bookmarkEnd w:id="14"/>
    </w:p>
    <w:p w14:paraId="59682348" w14:textId="77777777" w:rsidR="00DA182B" w:rsidRPr="0009028A" w:rsidRDefault="00DA182B" w:rsidP="00FF2ED8">
      <w:pPr>
        <w:spacing w:after="0" w:line="240" w:lineRule="auto"/>
        <w:rPr>
          <w:rFonts w:ascii="Arial" w:hAnsi="Arial" w:cs="Arial"/>
          <w:sz w:val="20"/>
          <w:szCs w:val="20"/>
        </w:rPr>
      </w:pPr>
      <w:r w:rsidRPr="0009028A">
        <w:rPr>
          <w:rFonts w:ascii="Arial" w:hAnsi="Arial" w:cs="Arial"/>
          <w:sz w:val="20"/>
          <w:szCs w:val="20"/>
        </w:rPr>
        <w:t xml:space="preserve">Por el período de tres meses </w:t>
      </w:r>
      <w:r w:rsidR="00224611" w:rsidRPr="0009028A">
        <w:rPr>
          <w:rFonts w:ascii="Arial" w:hAnsi="Arial" w:cs="Arial"/>
          <w:sz w:val="20"/>
          <w:szCs w:val="20"/>
        </w:rPr>
        <w:t xml:space="preserve">que </w:t>
      </w:r>
      <w:r w:rsidRPr="0009028A">
        <w:rPr>
          <w:rFonts w:ascii="Arial" w:hAnsi="Arial" w:cs="Arial"/>
          <w:sz w:val="20"/>
          <w:szCs w:val="20"/>
        </w:rPr>
        <w:t>termin</w:t>
      </w:r>
      <w:r w:rsidR="00224611" w:rsidRPr="0009028A">
        <w:rPr>
          <w:rFonts w:ascii="Arial" w:hAnsi="Arial" w:cs="Arial"/>
          <w:sz w:val="20"/>
          <w:szCs w:val="20"/>
        </w:rPr>
        <w:t>ó</w:t>
      </w:r>
      <w:r w:rsidRPr="0009028A">
        <w:rPr>
          <w:rFonts w:ascii="Arial" w:hAnsi="Arial" w:cs="Arial"/>
          <w:sz w:val="20"/>
          <w:szCs w:val="20"/>
        </w:rPr>
        <w:t xml:space="preserve"> el 31 de marzo de 2019</w:t>
      </w:r>
    </w:p>
    <w:p w14:paraId="0B1E76A6" w14:textId="77777777" w:rsidR="00DA182B" w:rsidRPr="0009028A" w:rsidRDefault="00DA182B" w:rsidP="00FF2ED8">
      <w:pPr>
        <w:spacing w:after="0" w:line="240" w:lineRule="auto"/>
        <w:rPr>
          <w:rFonts w:ascii="Arial" w:hAnsi="Arial" w:cs="Arial"/>
          <w:sz w:val="20"/>
          <w:szCs w:val="20"/>
        </w:rPr>
      </w:pPr>
      <w:r w:rsidRPr="0009028A">
        <w:rPr>
          <w:rFonts w:ascii="Arial" w:hAnsi="Arial" w:cs="Arial"/>
          <w:sz w:val="20"/>
          <w:szCs w:val="20"/>
        </w:rPr>
        <w:t>(Expresados en miles de pesos</w:t>
      </w:r>
      <w:r w:rsidR="00C82E26" w:rsidRPr="0009028A">
        <w:rPr>
          <w:rFonts w:ascii="Arial" w:hAnsi="Arial" w:cs="Arial"/>
          <w:sz w:val="20"/>
          <w:szCs w:val="20"/>
        </w:rPr>
        <w:t xml:space="preserve"> Colombianos</w:t>
      </w:r>
      <w:r w:rsidRPr="0009028A">
        <w:rPr>
          <w:rFonts w:ascii="Arial" w:hAnsi="Arial" w:cs="Arial"/>
          <w:sz w:val="20"/>
          <w:szCs w:val="20"/>
        </w:rPr>
        <w:t>)</w:t>
      </w:r>
    </w:p>
    <w:p w14:paraId="2ABA6A97" w14:textId="77777777" w:rsidR="00D94145" w:rsidRPr="0009028A" w:rsidRDefault="00D94145" w:rsidP="00C326F8">
      <w:pPr>
        <w:spacing w:after="0"/>
        <w:rPr>
          <w:rFonts w:ascii="Arial" w:hAnsi="Arial" w:cs="Arial"/>
          <w:sz w:val="20"/>
        </w:rPr>
      </w:pPr>
    </w:p>
    <w:tbl>
      <w:tblPr>
        <w:tblW w:w="9921" w:type="dxa"/>
        <w:tblCellMar>
          <w:left w:w="70" w:type="dxa"/>
          <w:right w:w="70" w:type="dxa"/>
        </w:tblCellMar>
        <w:tblLook w:val="04A0" w:firstRow="1" w:lastRow="0" w:firstColumn="1" w:lastColumn="0" w:noHBand="0" w:noVBand="1"/>
      </w:tblPr>
      <w:tblGrid>
        <w:gridCol w:w="6472"/>
        <w:gridCol w:w="241"/>
        <w:gridCol w:w="1508"/>
        <w:gridCol w:w="146"/>
        <w:gridCol w:w="146"/>
        <w:gridCol w:w="1408"/>
      </w:tblGrid>
      <w:tr w:rsidR="00EF1278" w:rsidRPr="0009028A" w14:paraId="4F1D1424" w14:textId="77777777" w:rsidTr="00EF1278">
        <w:trPr>
          <w:trHeight w:val="227"/>
        </w:trPr>
        <w:tc>
          <w:tcPr>
            <w:tcW w:w="6473" w:type="dxa"/>
            <w:shd w:val="clear" w:color="auto" w:fill="auto"/>
            <w:vAlign w:val="center"/>
            <w:hideMark/>
          </w:tcPr>
          <w:p w14:paraId="4C97E3BE" w14:textId="77777777" w:rsidR="00EF1278" w:rsidRPr="0009028A" w:rsidRDefault="00EF1278" w:rsidP="00D94145">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 </w:t>
            </w:r>
          </w:p>
        </w:tc>
        <w:tc>
          <w:tcPr>
            <w:tcW w:w="240" w:type="dxa"/>
          </w:tcPr>
          <w:p w14:paraId="7A08D566" w14:textId="77777777" w:rsidR="00EF1278" w:rsidRPr="0009028A" w:rsidRDefault="00EF1278" w:rsidP="00CA5E2B">
            <w:pPr>
              <w:spacing w:after="0" w:line="240" w:lineRule="auto"/>
              <w:jc w:val="center"/>
              <w:rPr>
                <w:rFonts w:ascii="Arial" w:eastAsia="Times New Roman" w:hAnsi="Arial" w:cs="Arial"/>
                <w:b/>
                <w:bCs/>
                <w:sz w:val="18"/>
                <w:szCs w:val="18"/>
                <w:lang w:eastAsia="es-CO"/>
              </w:rPr>
            </w:pPr>
          </w:p>
        </w:tc>
        <w:tc>
          <w:tcPr>
            <w:tcW w:w="1508" w:type="dxa"/>
            <w:shd w:val="clear" w:color="auto" w:fill="auto"/>
            <w:noWrap/>
            <w:vAlign w:val="center"/>
            <w:hideMark/>
          </w:tcPr>
          <w:p w14:paraId="3FEFA10B" w14:textId="77777777" w:rsidR="00EF1278" w:rsidRPr="0009028A" w:rsidRDefault="00EF1278" w:rsidP="00CA5E2B">
            <w:pPr>
              <w:spacing w:after="0" w:line="240" w:lineRule="auto"/>
              <w:jc w:val="center"/>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2019</w:t>
            </w:r>
          </w:p>
        </w:tc>
        <w:tc>
          <w:tcPr>
            <w:tcW w:w="146" w:type="dxa"/>
          </w:tcPr>
          <w:p w14:paraId="5AD9CB01" w14:textId="77777777" w:rsidR="00EF1278" w:rsidRPr="0009028A" w:rsidRDefault="00EF1278" w:rsidP="00CA5E2B">
            <w:pPr>
              <w:spacing w:after="0" w:line="240" w:lineRule="auto"/>
              <w:jc w:val="center"/>
              <w:rPr>
                <w:rFonts w:ascii="Arial" w:eastAsia="Times New Roman" w:hAnsi="Arial" w:cs="Arial"/>
                <w:b/>
                <w:bCs/>
                <w:sz w:val="18"/>
                <w:szCs w:val="18"/>
                <w:lang w:eastAsia="es-CO"/>
              </w:rPr>
            </w:pPr>
          </w:p>
        </w:tc>
        <w:tc>
          <w:tcPr>
            <w:tcW w:w="146" w:type="dxa"/>
          </w:tcPr>
          <w:p w14:paraId="576C8FB6" w14:textId="77777777" w:rsidR="00EF1278" w:rsidRPr="0009028A" w:rsidRDefault="00EF1278" w:rsidP="00CA5E2B">
            <w:pPr>
              <w:spacing w:after="0" w:line="240" w:lineRule="auto"/>
              <w:jc w:val="center"/>
              <w:rPr>
                <w:rFonts w:ascii="Arial" w:eastAsia="Times New Roman" w:hAnsi="Arial" w:cs="Arial"/>
                <w:b/>
                <w:bCs/>
                <w:sz w:val="18"/>
                <w:szCs w:val="18"/>
                <w:lang w:eastAsia="es-CO"/>
              </w:rPr>
            </w:pPr>
          </w:p>
        </w:tc>
        <w:tc>
          <w:tcPr>
            <w:tcW w:w="1408" w:type="dxa"/>
            <w:shd w:val="clear" w:color="auto" w:fill="auto"/>
            <w:noWrap/>
            <w:vAlign w:val="center"/>
            <w:hideMark/>
          </w:tcPr>
          <w:p w14:paraId="6701E78E" w14:textId="1CF7545F" w:rsidR="00EF1278" w:rsidRPr="0009028A" w:rsidRDefault="00EF1278" w:rsidP="00CA5E2B">
            <w:pPr>
              <w:spacing w:after="0" w:line="240" w:lineRule="auto"/>
              <w:jc w:val="center"/>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2018</w:t>
            </w:r>
          </w:p>
        </w:tc>
      </w:tr>
      <w:tr w:rsidR="00EF1278" w:rsidRPr="0009028A" w14:paraId="309B6D48" w14:textId="77777777" w:rsidTr="00EF1278">
        <w:trPr>
          <w:trHeight w:val="227"/>
        </w:trPr>
        <w:tc>
          <w:tcPr>
            <w:tcW w:w="6473" w:type="dxa"/>
            <w:shd w:val="clear" w:color="auto" w:fill="auto"/>
            <w:noWrap/>
            <w:vAlign w:val="center"/>
            <w:hideMark/>
          </w:tcPr>
          <w:p w14:paraId="299A95F3" w14:textId="77777777" w:rsidR="00EF1278" w:rsidRPr="0009028A" w:rsidRDefault="00EF1278" w:rsidP="00D94145">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Flujos de efectivo por las actividades de operación</w:t>
            </w:r>
          </w:p>
        </w:tc>
        <w:tc>
          <w:tcPr>
            <w:tcW w:w="240" w:type="dxa"/>
          </w:tcPr>
          <w:p w14:paraId="2A776232" w14:textId="77777777" w:rsidR="00EF1278" w:rsidRPr="0009028A" w:rsidRDefault="00EF1278" w:rsidP="00D94145">
            <w:pPr>
              <w:spacing w:after="0" w:line="240" w:lineRule="auto"/>
              <w:jc w:val="right"/>
              <w:rPr>
                <w:rFonts w:ascii="Arial" w:eastAsia="Times New Roman" w:hAnsi="Arial" w:cs="Arial"/>
                <w:sz w:val="18"/>
                <w:szCs w:val="18"/>
                <w:lang w:eastAsia="es-CO"/>
              </w:rPr>
            </w:pPr>
          </w:p>
        </w:tc>
        <w:tc>
          <w:tcPr>
            <w:tcW w:w="1508" w:type="dxa"/>
            <w:shd w:val="clear" w:color="auto" w:fill="auto"/>
            <w:noWrap/>
            <w:vAlign w:val="center"/>
            <w:hideMark/>
          </w:tcPr>
          <w:p w14:paraId="40FEE69D" w14:textId="21176909" w:rsidR="00EF1278" w:rsidRPr="0009028A" w:rsidRDefault="00EF1278" w:rsidP="00376595">
            <w:pPr>
              <w:spacing w:after="0" w:line="240" w:lineRule="auto"/>
              <w:jc w:val="right"/>
              <w:rPr>
                <w:rFonts w:ascii="Arial" w:eastAsia="Times New Roman" w:hAnsi="Arial" w:cs="Arial"/>
                <w:sz w:val="18"/>
                <w:szCs w:val="18"/>
                <w:lang w:eastAsia="es-CO"/>
              </w:rPr>
            </w:pPr>
          </w:p>
        </w:tc>
        <w:tc>
          <w:tcPr>
            <w:tcW w:w="146" w:type="dxa"/>
          </w:tcPr>
          <w:p w14:paraId="71064710" w14:textId="77777777" w:rsidR="00EF1278" w:rsidRPr="0009028A" w:rsidRDefault="00EF1278" w:rsidP="00376595">
            <w:pPr>
              <w:spacing w:after="0" w:line="240" w:lineRule="auto"/>
              <w:jc w:val="right"/>
              <w:rPr>
                <w:rFonts w:ascii="Arial" w:eastAsia="Times New Roman" w:hAnsi="Arial" w:cs="Arial"/>
                <w:sz w:val="18"/>
                <w:szCs w:val="18"/>
                <w:lang w:eastAsia="es-CO"/>
              </w:rPr>
            </w:pPr>
          </w:p>
        </w:tc>
        <w:tc>
          <w:tcPr>
            <w:tcW w:w="146" w:type="dxa"/>
          </w:tcPr>
          <w:p w14:paraId="6B97EB5C" w14:textId="77777777" w:rsidR="00EF1278" w:rsidRPr="0009028A" w:rsidRDefault="00EF1278" w:rsidP="00376595">
            <w:pPr>
              <w:spacing w:after="0" w:line="240" w:lineRule="auto"/>
              <w:jc w:val="right"/>
              <w:rPr>
                <w:rFonts w:ascii="Arial" w:eastAsia="Times New Roman" w:hAnsi="Arial" w:cs="Arial"/>
                <w:sz w:val="18"/>
                <w:szCs w:val="18"/>
                <w:lang w:eastAsia="es-CO"/>
              </w:rPr>
            </w:pPr>
          </w:p>
        </w:tc>
        <w:tc>
          <w:tcPr>
            <w:tcW w:w="1408" w:type="dxa"/>
            <w:shd w:val="clear" w:color="auto" w:fill="auto"/>
            <w:noWrap/>
            <w:vAlign w:val="center"/>
            <w:hideMark/>
          </w:tcPr>
          <w:p w14:paraId="0DE1F5B2" w14:textId="7AD229BB" w:rsidR="00EF1278" w:rsidRPr="0009028A" w:rsidRDefault="00EF1278" w:rsidP="00376595">
            <w:pPr>
              <w:spacing w:after="0" w:line="240" w:lineRule="auto"/>
              <w:jc w:val="right"/>
              <w:rPr>
                <w:rFonts w:ascii="Arial" w:eastAsia="Times New Roman" w:hAnsi="Arial" w:cs="Arial"/>
                <w:sz w:val="18"/>
                <w:szCs w:val="18"/>
                <w:lang w:eastAsia="es-CO"/>
              </w:rPr>
            </w:pPr>
          </w:p>
        </w:tc>
      </w:tr>
      <w:tr w:rsidR="00EF1278" w:rsidRPr="0009028A" w14:paraId="73B9AA2C" w14:textId="77777777" w:rsidTr="00EF1278">
        <w:trPr>
          <w:trHeight w:val="227"/>
        </w:trPr>
        <w:tc>
          <w:tcPr>
            <w:tcW w:w="6473" w:type="dxa"/>
            <w:shd w:val="clear" w:color="auto" w:fill="auto"/>
            <w:noWrap/>
            <w:vAlign w:val="center"/>
            <w:hideMark/>
          </w:tcPr>
          <w:p w14:paraId="55BC1ECC" w14:textId="77777777" w:rsidR="00EF1278" w:rsidRPr="0009028A" w:rsidRDefault="00EF1278" w:rsidP="00D94145">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 xml:space="preserve">Resultado del período </w:t>
            </w:r>
          </w:p>
        </w:tc>
        <w:tc>
          <w:tcPr>
            <w:tcW w:w="240" w:type="dxa"/>
            <w:vAlign w:val="center"/>
          </w:tcPr>
          <w:p w14:paraId="2CF6686E" w14:textId="77777777" w:rsidR="00EF1278" w:rsidRPr="0009028A" w:rsidRDefault="00EF1278" w:rsidP="00677491">
            <w:pPr>
              <w:spacing w:after="0" w:line="240" w:lineRule="auto"/>
              <w:jc w:val="right"/>
              <w:rPr>
                <w:rFonts w:ascii="Arial" w:hAnsi="Arial" w:cs="Arial"/>
                <w:b/>
                <w:bCs/>
                <w:sz w:val="18"/>
                <w:szCs w:val="18"/>
              </w:rPr>
            </w:pPr>
            <w:r w:rsidRPr="0009028A">
              <w:rPr>
                <w:rFonts w:ascii="Arial" w:hAnsi="Arial" w:cs="Arial"/>
                <w:b/>
                <w:bCs/>
                <w:sz w:val="18"/>
                <w:szCs w:val="18"/>
              </w:rPr>
              <w:t>$</w:t>
            </w:r>
          </w:p>
        </w:tc>
        <w:tc>
          <w:tcPr>
            <w:tcW w:w="1508" w:type="dxa"/>
            <w:shd w:val="clear" w:color="auto" w:fill="auto"/>
            <w:vAlign w:val="center"/>
          </w:tcPr>
          <w:p w14:paraId="04110228" w14:textId="6013D46E" w:rsidR="00EF1278" w:rsidRPr="0009028A" w:rsidRDefault="00EF1278" w:rsidP="00677491">
            <w:pPr>
              <w:spacing w:after="0" w:line="240" w:lineRule="auto"/>
              <w:jc w:val="right"/>
              <w:rPr>
                <w:rFonts w:ascii="Arial" w:hAnsi="Arial" w:cs="Arial"/>
                <w:b/>
                <w:bCs/>
                <w:sz w:val="18"/>
                <w:szCs w:val="18"/>
              </w:rPr>
            </w:pPr>
            <w:r w:rsidRPr="0009028A">
              <w:rPr>
                <w:rFonts w:ascii="Arial" w:hAnsi="Arial" w:cs="Arial"/>
                <w:b/>
                <w:bCs/>
                <w:sz w:val="18"/>
                <w:szCs w:val="18"/>
              </w:rPr>
              <w:t>25.810.575</w:t>
            </w:r>
          </w:p>
        </w:tc>
        <w:tc>
          <w:tcPr>
            <w:tcW w:w="146" w:type="dxa"/>
            <w:vAlign w:val="center"/>
          </w:tcPr>
          <w:p w14:paraId="0DA46BEF" w14:textId="77777777" w:rsidR="00EF1278" w:rsidRPr="0009028A" w:rsidRDefault="00EF1278" w:rsidP="00677491">
            <w:pPr>
              <w:spacing w:after="0" w:line="240" w:lineRule="auto"/>
              <w:jc w:val="right"/>
              <w:rPr>
                <w:rFonts w:ascii="Arial" w:eastAsia="Times New Roman" w:hAnsi="Arial" w:cs="Arial"/>
                <w:b/>
                <w:bCs/>
                <w:sz w:val="18"/>
                <w:szCs w:val="18"/>
                <w:lang w:eastAsia="es-CO"/>
              </w:rPr>
            </w:pPr>
          </w:p>
        </w:tc>
        <w:tc>
          <w:tcPr>
            <w:tcW w:w="146" w:type="dxa"/>
          </w:tcPr>
          <w:p w14:paraId="61AAFFD7" w14:textId="77777777" w:rsidR="00EF1278" w:rsidRPr="0009028A" w:rsidRDefault="00EF1278" w:rsidP="00677491">
            <w:pPr>
              <w:spacing w:after="0" w:line="240" w:lineRule="auto"/>
              <w:jc w:val="right"/>
              <w:rPr>
                <w:rFonts w:ascii="Arial" w:eastAsia="Times New Roman" w:hAnsi="Arial" w:cs="Arial"/>
                <w:b/>
                <w:bCs/>
                <w:sz w:val="18"/>
                <w:szCs w:val="18"/>
                <w:lang w:eastAsia="es-CO"/>
              </w:rPr>
            </w:pPr>
          </w:p>
        </w:tc>
        <w:tc>
          <w:tcPr>
            <w:tcW w:w="1408" w:type="dxa"/>
            <w:shd w:val="clear" w:color="auto" w:fill="auto"/>
            <w:vAlign w:val="center"/>
          </w:tcPr>
          <w:p w14:paraId="1B8C62DE" w14:textId="3E2D0F26" w:rsidR="00EF1278" w:rsidRPr="0009028A" w:rsidRDefault="00EF1278" w:rsidP="00677491">
            <w:pPr>
              <w:spacing w:after="0" w:line="240" w:lineRule="auto"/>
              <w:jc w:val="right"/>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20.144.556</w:t>
            </w:r>
          </w:p>
        </w:tc>
      </w:tr>
      <w:tr w:rsidR="00EF1278" w:rsidRPr="0009028A" w14:paraId="04BDF1CE" w14:textId="77777777" w:rsidTr="00EF1278">
        <w:trPr>
          <w:trHeight w:val="227"/>
        </w:trPr>
        <w:tc>
          <w:tcPr>
            <w:tcW w:w="6473" w:type="dxa"/>
            <w:shd w:val="clear" w:color="auto" w:fill="auto"/>
            <w:noWrap/>
            <w:vAlign w:val="center"/>
            <w:hideMark/>
          </w:tcPr>
          <w:p w14:paraId="34C25DC9" w14:textId="77777777" w:rsidR="00EF1278" w:rsidRPr="0009028A" w:rsidRDefault="00EF1278" w:rsidP="003D070E">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 xml:space="preserve">Ajustes para conciliar la utilidad neta con el efectivo neto provisto por las actividades de operación: </w:t>
            </w:r>
          </w:p>
        </w:tc>
        <w:tc>
          <w:tcPr>
            <w:tcW w:w="240" w:type="dxa"/>
            <w:vAlign w:val="center"/>
          </w:tcPr>
          <w:p w14:paraId="1F94AEFB" w14:textId="77777777" w:rsidR="00EF1278" w:rsidRPr="0009028A" w:rsidRDefault="00EF1278" w:rsidP="00677491">
            <w:pPr>
              <w:spacing w:after="0" w:line="240" w:lineRule="auto"/>
              <w:jc w:val="right"/>
              <w:rPr>
                <w:rFonts w:ascii="Arial" w:eastAsia="Times New Roman" w:hAnsi="Arial" w:cs="Arial"/>
                <w:sz w:val="18"/>
                <w:szCs w:val="18"/>
                <w:lang w:eastAsia="es-CO"/>
              </w:rPr>
            </w:pPr>
          </w:p>
        </w:tc>
        <w:tc>
          <w:tcPr>
            <w:tcW w:w="1508" w:type="dxa"/>
            <w:shd w:val="clear" w:color="auto" w:fill="auto"/>
            <w:vAlign w:val="center"/>
          </w:tcPr>
          <w:p w14:paraId="26098730" w14:textId="77777777" w:rsidR="00EF1278" w:rsidRPr="0009028A" w:rsidRDefault="00EF1278" w:rsidP="00677491">
            <w:pPr>
              <w:spacing w:after="0" w:line="240" w:lineRule="auto"/>
              <w:jc w:val="right"/>
              <w:rPr>
                <w:rFonts w:ascii="Arial" w:eastAsia="Times New Roman" w:hAnsi="Arial" w:cs="Arial"/>
                <w:sz w:val="18"/>
                <w:szCs w:val="18"/>
                <w:lang w:eastAsia="es-CO"/>
              </w:rPr>
            </w:pPr>
          </w:p>
        </w:tc>
        <w:tc>
          <w:tcPr>
            <w:tcW w:w="146" w:type="dxa"/>
            <w:vAlign w:val="center"/>
          </w:tcPr>
          <w:p w14:paraId="1E336977" w14:textId="77777777" w:rsidR="00EF1278" w:rsidRPr="0009028A" w:rsidRDefault="00EF1278" w:rsidP="00677491">
            <w:pPr>
              <w:spacing w:after="0" w:line="240" w:lineRule="auto"/>
              <w:jc w:val="right"/>
              <w:rPr>
                <w:rFonts w:ascii="Arial" w:eastAsia="Times New Roman" w:hAnsi="Arial" w:cs="Arial"/>
                <w:sz w:val="18"/>
                <w:szCs w:val="18"/>
                <w:lang w:eastAsia="es-CO"/>
              </w:rPr>
            </w:pPr>
          </w:p>
        </w:tc>
        <w:tc>
          <w:tcPr>
            <w:tcW w:w="146" w:type="dxa"/>
          </w:tcPr>
          <w:p w14:paraId="5D97EBAC" w14:textId="77777777" w:rsidR="00EF1278" w:rsidRPr="0009028A" w:rsidRDefault="00EF1278" w:rsidP="00677491">
            <w:pPr>
              <w:spacing w:after="0" w:line="240" w:lineRule="auto"/>
              <w:jc w:val="right"/>
              <w:rPr>
                <w:rFonts w:ascii="Arial" w:eastAsia="Times New Roman" w:hAnsi="Arial" w:cs="Arial"/>
                <w:sz w:val="18"/>
                <w:szCs w:val="18"/>
                <w:lang w:eastAsia="es-CO"/>
              </w:rPr>
            </w:pPr>
          </w:p>
        </w:tc>
        <w:tc>
          <w:tcPr>
            <w:tcW w:w="1408" w:type="dxa"/>
            <w:shd w:val="clear" w:color="auto" w:fill="auto"/>
            <w:vAlign w:val="center"/>
          </w:tcPr>
          <w:p w14:paraId="5693F229" w14:textId="7825CF8A" w:rsidR="00EF1278" w:rsidRPr="0009028A" w:rsidRDefault="00EF1278" w:rsidP="00677491">
            <w:pPr>
              <w:spacing w:after="0" w:line="240" w:lineRule="auto"/>
              <w:jc w:val="right"/>
              <w:rPr>
                <w:rFonts w:ascii="Arial" w:eastAsia="Times New Roman" w:hAnsi="Arial" w:cs="Arial"/>
                <w:sz w:val="18"/>
                <w:szCs w:val="18"/>
                <w:lang w:eastAsia="es-CO"/>
              </w:rPr>
            </w:pPr>
          </w:p>
        </w:tc>
      </w:tr>
      <w:tr w:rsidR="00EF1278" w:rsidRPr="0009028A" w14:paraId="2D5745B1" w14:textId="77777777" w:rsidTr="00EF1278">
        <w:trPr>
          <w:trHeight w:val="227"/>
        </w:trPr>
        <w:tc>
          <w:tcPr>
            <w:tcW w:w="6473" w:type="dxa"/>
            <w:shd w:val="clear" w:color="auto" w:fill="auto"/>
            <w:noWrap/>
            <w:vAlign w:val="center"/>
          </w:tcPr>
          <w:p w14:paraId="55F2554B" w14:textId="77777777" w:rsidR="00EF1278" w:rsidRPr="0009028A" w:rsidRDefault="00EF1278" w:rsidP="00D94145">
            <w:pPr>
              <w:spacing w:after="0" w:line="240" w:lineRule="auto"/>
              <w:ind w:left="67"/>
              <w:rPr>
                <w:rFonts w:ascii="Arial" w:eastAsia="Times New Roman" w:hAnsi="Arial" w:cs="Arial"/>
                <w:sz w:val="18"/>
                <w:szCs w:val="18"/>
                <w:lang w:eastAsia="es-CO"/>
              </w:rPr>
            </w:pPr>
            <w:r w:rsidRPr="0009028A">
              <w:rPr>
                <w:rFonts w:ascii="Arial" w:hAnsi="Arial" w:cs="Arial"/>
                <w:sz w:val="18"/>
                <w:szCs w:val="18"/>
              </w:rPr>
              <w:t>Gasto por impuesto a la renta reconocido en los resultados del período</w:t>
            </w:r>
          </w:p>
        </w:tc>
        <w:tc>
          <w:tcPr>
            <w:tcW w:w="240" w:type="dxa"/>
            <w:vAlign w:val="center"/>
          </w:tcPr>
          <w:p w14:paraId="4CBF0486" w14:textId="77777777" w:rsidR="00EF1278" w:rsidRPr="0009028A" w:rsidRDefault="00EF1278" w:rsidP="00677491">
            <w:pPr>
              <w:spacing w:after="0" w:line="240" w:lineRule="auto"/>
              <w:jc w:val="right"/>
              <w:rPr>
                <w:rFonts w:ascii="Arial" w:hAnsi="Arial" w:cs="Arial"/>
                <w:sz w:val="18"/>
                <w:szCs w:val="18"/>
              </w:rPr>
            </w:pPr>
          </w:p>
        </w:tc>
        <w:tc>
          <w:tcPr>
            <w:tcW w:w="1508" w:type="dxa"/>
            <w:shd w:val="clear" w:color="auto" w:fill="auto"/>
            <w:vAlign w:val="center"/>
          </w:tcPr>
          <w:p w14:paraId="571D6032" w14:textId="640723B1"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12.313.593</w:t>
            </w:r>
          </w:p>
        </w:tc>
        <w:tc>
          <w:tcPr>
            <w:tcW w:w="146" w:type="dxa"/>
            <w:vAlign w:val="center"/>
          </w:tcPr>
          <w:p w14:paraId="01687260" w14:textId="77777777" w:rsidR="00EF1278" w:rsidRPr="0009028A" w:rsidRDefault="00EF1278" w:rsidP="00677491">
            <w:pPr>
              <w:spacing w:after="0" w:line="240" w:lineRule="auto"/>
              <w:jc w:val="right"/>
              <w:rPr>
                <w:rFonts w:ascii="Arial" w:hAnsi="Arial" w:cs="Arial"/>
                <w:sz w:val="18"/>
                <w:szCs w:val="18"/>
              </w:rPr>
            </w:pPr>
          </w:p>
        </w:tc>
        <w:tc>
          <w:tcPr>
            <w:tcW w:w="146" w:type="dxa"/>
          </w:tcPr>
          <w:p w14:paraId="3292EC2E" w14:textId="77777777" w:rsidR="00EF1278" w:rsidRPr="0009028A" w:rsidRDefault="00EF1278" w:rsidP="00677491">
            <w:pPr>
              <w:spacing w:after="0" w:line="240" w:lineRule="auto"/>
              <w:jc w:val="right"/>
              <w:rPr>
                <w:rFonts w:ascii="Arial" w:hAnsi="Arial" w:cs="Arial"/>
                <w:sz w:val="18"/>
                <w:szCs w:val="18"/>
              </w:rPr>
            </w:pPr>
          </w:p>
        </w:tc>
        <w:tc>
          <w:tcPr>
            <w:tcW w:w="1408" w:type="dxa"/>
            <w:shd w:val="clear" w:color="auto" w:fill="auto"/>
            <w:vAlign w:val="center"/>
          </w:tcPr>
          <w:p w14:paraId="1D003E00" w14:textId="28392025"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14.401.614</w:t>
            </w:r>
          </w:p>
        </w:tc>
      </w:tr>
      <w:tr w:rsidR="00EF1278" w:rsidRPr="0009028A" w14:paraId="763C97C7" w14:textId="77777777" w:rsidTr="00EF1278">
        <w:trPr>
          <w:trHeight w:val="227"/>
        </w:trPr>
        <w:tc>
          <w:tcPr>
            <w:tcW w:w="6473" w:type="dxa"/>
            <w:shd w:val="clear" w:color="auto" w:fill="auto"/>
            <w:noWrap/>
            <w:vAlign w:val="center"/>
          </w:tcPr>
          <w:p w14:paraId="46AA16B3" w14:textId="77777777" w:rsidR="00EF1278" w:rsidRPr="0009028A" w:rsidRDefault="00EF1278" w:rsidP="00D94145">
            <w:pPr>
              <w:spacing w:after="0" w:line="240" w:lineRule="auto"/>
              <w:ind w:left="67"/>
              <w:rPr>
                <w:rFonts w:ascii="Arial" w:hAnsi="Arial" w:cs="Arial"/>
                <w:sz w:val="18"/>
                <w:szCs w:val="18"/>
              </w:rPr>
            </w:pPr>
            <w:r w:rsidRPr="0009028A">
              <w:rPr>
                <w:rFonts w:ascii="Arial" w:hAnsi="Arial" w:cs="Arial"/>
                <w:sz w:val="18"/>
                <w:szCs w:val="18"/>
              </w:rPr>
              <w:t>Participación en el resultado de asociadas y negocios conjuntos</w:t>
            </w:r>
          </w:p>
        </w:tc>
        <w:tc>
          <w:tcPr>
            <w:tcW w:w="240" w:type="dxa"/>
            <w:vAlign w:val="center"/>
          </w:tcPr>
          <w:p w14:paraId="0635A134" w14:textId="77777777" w:rsidR="00EF1278" w:rsidRPr="0009028A" w:rsidRDefault="00EF1278" w:rsidP="00677491">
            <w:pPr>
              <w:spacing w:after="0" w:line="240" w:lineRule="auto"/>
              <w:jc w:val="right"/>
              <w:rPr>
                <w:rFonts w:ascii="Arial" w:hAnsi="Arial" w:cs="Arial"/>
                <w:sz w:val="18"/>
                <w:szCs w:val="18"/>
              </w:rPr>
            </w:pPr>
          </w:p>
        </w:tc>
        <w:tc>
          <w:tcPr>
            <w:tcW w:w="1508" w:type="dxa"/>
            <w:shd w:val="clear" w:color="auto" w:fill="auto"/>
            <w:vAlign w:val="center"/>
          </w:tcPr>
          <w:p w14:paraId="52760901" w14:textId="107BD963"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(62.752.388)</w:t>
            </w:r>
          </w:p>
        </w:tc>
        <w:tc>
          <w:tcPr>
            <w:tcW w:w="146" w:type="dxa"/>
            <w:vAlign w:val="center"/>
          </w:tcPr>
          <w:p w14:paraId="3E6C4DDA" w14:textId="77777777" w:rsidR="00EF1278" w:rsidRPr="0009028A" w:rsidRDefault="00EF1278" w:rsidP="00677491">
            <w:pPr>
              <w:spacing w:after="0" w:line="240" w:lineRule="auto"/>
              <w:jc w:val="right"/>
              <w:rPr>
                <w:rFonts w:ascii="Arial" w:hAnsi="Arial" w:cs="Arial"/>
                <w:sz w:val="18"/>
                <w:szCs w:val="18"/>
              </w:rPr>
            </w:pPr>
          </w:p>
        </w:tc>
        <w:tc>
          <w:tcPr>
            <w:tcW w:w="146" w:type="dxa"/>
          </w:tcPr>
          <w:p w14:paraId="20BD4909" w14:textId="77777777" w:rsidR="00EF1278" w:rsidRPr="0009028A" w:rsidRDefault="00EF1278" w:rsidP="00677491">
            <w:pPr>
              <w:spacing w:after="0" w:line="240" w:lineRule="auto"/>
              <w:jc w:val="right"/>
              <w:rPr>
                <w:rFonts w:ascii="Arial" w:hAnsi="Arial" w:cs="Arial"/>
                <w:sz w:val="18"/>
                <w:szCs w:val="18"/>
              </w:rPr>
            </w:pPr>
          </w:p>
        </w:tc>
        <w:tc>
          <w:tcPr>
            <w:tcW w:w="1408" w:type="dxa"/>
            <w:shd w:val="clear" w:color="auto" w:fill="auto"/>
            <w:vAlign w:val="center"/>
          </w:tcPr>
          <w:p w14:paraId="15443F49" w14:textId="497B7827"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(59.731.721)</w:t>
            </w:r>
          </w:p>
        </w:tc>
      </w:tr>
      <w:tr w:rsidR="00EF1278" w:rsidRPr="0009028A" w14:paraId="1A373755" w14:textId="77777777" w:rsidTr="00EF1278">
        <w:trPr>
          <w:trHeight w:val="227"/>
        </w:trPr>
        <w:tc>
          <w:tcPr>
            <w:tcW w:w="6473" w:type="dxa"/>
            <w:shd w:val="clear" w:color="auto" w:fill="auto"/>
            <w:noWrap/>
            <w:vAlign w:val="center"/>
          </w:tcPr>
          <w:p w14:paraId="7B50387B" w14:textId="77777777" w:rsidR="00EF1278" w:rsidRPr="0009028A" w:rsidRDefault="00EF1278" w:rsidP="00D94145">
            <w:pPr>
              <w:spacing w:after="0" w:line="240" w:lineRule="auto"/>
              <w:ind w:left="67"/>
              <w:rPr>
                <w:rFonts w:ascii="Arial" w:eastAsia="Times New Roman" w:hAnsi="Arial" w:cs="Arial"/>
                <w:sz w:val="18"/>
                <w:szCs w:val="18"/>
                <w:lang w:eastAsia="es-CO"/>
              </w:rPr>
            </w:pPr>
            <w:r w:rsidRPr="0009028A">
              <w:rPr>
                <w:rFonts w:ascii="Arial" w:hAnsi="Arial" w:cs="Arial"/>
                <w:sz w:val="18"/>
                <w:szCs w:val="18"/>
              </w:rPr>
              <w:t>Gastos financieros reconocidos en resultados del período</w:t>
            </w:r>
          </w:p>
        </w:tc>
        <w:tc>
          <w:tcPr>
            <w:tcW w:w="240" w:type="dxa"/>
            <w:vAlign w:val="center"/>
          </w:tcPr>
          <w:p w14:paraId="4F93C5E9" w14:textId="77777777" w:rsidR="00EF1278" w:rsidRPr="0009028A" w:rsidRDefault="00EF1278" w:rsidP="00677491">
            <w:pPr>
              <w:spacing w:after="0" w:line="240" w:lineRule="auto"/>
              <w:jc w:val="right"/>
              <w:rPr>
                <w:rFonts w:ascii="Arial" w:hAnsi="Arial" w:cs="Arial"/>
                <w:sz w:val="18"/>
                <w:szCs w:val="18"/>
              </w:rPr>
            </w:pPr>
          </w:p>
        </w:tc>
        <w:tc>
          <w:tcPr>
            <w:tcW w:w="1508" w:type="dxa"/>
            <w:shd w:val="clear" w:color="auto" w:fill="auto"/>
            <w:vAlign w:val="center"/>
          </w:tcPr>
          <w:p w14:paraId="731C65F7" w14:textId="453CB649"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12.296.734</w:t>
            </w:r>
          </w:p>
        </w:tc>
        <w:tc>
          <w:tcPr>
            <w:tcW w:w="146" w:type="dxa"/>
            <w:vAlign w:val="center"/>
          </w:tcPr>
          <w:p w14:paraId="26668A5B" w14:textId="77777777" w:rsidR="00EF1278" w:rsidRPr="0009028A" w:rsidRDefault="00EF1278" w:rsidP="00677491">
            <w:pPr>
              <w:spacing w:after="0" w:line="240" w:lineRule="auto"/>
              <w:jc w:val="right"/>
              <w:rPr>
                <w:rFonts w:ascii="Arial" w:eastAsia="Times New Roman" w:hAnsi="Arial" w:cs="Arial"/>
                <w:sz w:val="18"/>
                <w:szCs w:val="18"/>
                <w:lang w:eastAsia="es-CO"/>
              </w:rPr>
            </w:pPr>
          </w:p>
        </w:tc>
        <w:tc>
          <w:tcPr>
            <w:tcW w:w="146" w:type="dxa"/>
          </w:tcPr>
          <w:p w14:paraId="7201C1DD" w14:textId="77777777" w:rsidR="00EF1278" w:rsidRPr="0009028A" w:rsidRDefault="00EF1278" w:rsidP="00677491">
            <w:pPr>
              <w:spacing w:after="0" w:line="240" w:lineRule="auto"/>
              <w:jc w:val="right"/>
              <w:rPr>
                <w:rFonts w:ascii="Arial" w:eastAsia="Times New Roman" w:hAnsi="Arial" w:cs="Arial"/>
                <w:sz w:val="18"/>
                <w:szCs w:val="18"/>
                <w:lang w:eastAsia="es-CO"/>
              </w:rPr>
            </w:pPr>
          </w:p>
        </w:tc>
        <w:tc>
          <w:tcPr>
            <w:tcW w:w="1408" w:type="dxa"/>
            <w:shd w:val="clear" w:color="auto" w:fill="auto"/>
            <w:vAlign w:val="center"/>
          </w:tcPr>
          <w:p w14:paraId="2380AB45" w14:textId="18A7A215" w:rsidR="00EF1278" w:rsidRPr="0009028A" w:rsidRDefault="00EF1278" w:rsidP="00677491">
            <w:pPr>
              <w:spacing w:after="0" w:line="240" w:lineRule="auto"/>
              <w:jc w:val="right"/>
              <w:rPr>
                <w:rFonts w:ascii="Arial" w:eastAsia="Times New Roman" w:hAnsi="Arial" w:cs="Arial"/>
                <w:sz w:val="18"/>
                <w:szCs w:val="18"/>
                <w:lang w:eastAsia="es-CO"/>
              </w:rPr>
            </w:pPr>
            <w:r w:rsidRPr="0009028A">
              <w:rPr>
                <w:rFonts w:ascii="Arial" w:eastAsia="Times New Roman" w:hAnsi="Arial" w:cs="Arial"/>
                <w:sz w:val="18"/>
                <w:szCs w:val="18"/>
                <w:lang w:eastAsia="es-CO"/>
              </w:rPr>
              <w:t>12.654.489</w:t>
            </w:r>
          </w:p>
        </w:tc>
      </w:tr>
      <w:tr w:rsidR="00EF1278" w:rsidRPr="0009028A" w14:paraId="35E99579" w14:textId="77777777" w:rsidTr="00EF1278">
        <w:trPr>
          <w:trHeight w:val="227"/>
        </w:trPr>
        <w:tc>
          <w:tcPr>
            <w:tcW w:w="6473" w:type="dxa"/>
            <w:shd w:val="clear" w:color="auto" w:fill="auto"/>
            <w:noWrap/>
            <w:vAlign w:val="center"/>
          </w:tcPr>
          <w:p w14:paraId="5352735F" w14:textId="77777777" w:rsidR="00EF1278" w:rsidRPr="0009028A" w:rsidRDefault="00EF1278" w:rsidP="00D94145">
            <w:pPr>
              <w:spacing w:after="0" w:line="240" w:lineRule="auto"/>
              <w:ind w:left="67"/>
              <w:rPr>
                <w:rFonts w:ascii="Arial" w:eastAsia="Times New Roman" w:hAnsi="Arial" w:cs="Arial"/>
                <w:sz w:val="18"/>
                <w:szCs w:val="18"/>
                <w:lang w:eastAsia="es-CO"/>
              </w:rPr>
            </w:pPr>
            <w:r w:rsidRPr="0009028A">
              <w:rPr>
                <w:rFonts w:ascii="Arial" w:hAnsi="Arial" w:cs="Arial"/>
                <w:sz w:val="18"/>
                <w:szCs w:val="18"/>
              </w:rPr>
              <w:t>Intereses reconocidos en resultados del período</w:t>
            </w:r>
          </w:p>
        </w:tc>
        <w:tc>
          <w:tcPr>
            <w:tcW w:w="240" w:type="dxa"/>
            <w:vAlign w:val="center"/>
          </w:tcPr>
          <w:p w14:paraId="1D20E5E5" w14:textId="77777777" w:rsidR="00EF1278" w:rsidRPr="0009028A" w:rsidRDefault="00EF1278" w:rsidP="00677491">
            <w:pPr>
              <w:spacing w:after="0" w:line="240" w:lineRule="auto"/>
              <w:jc w:val="right"/>
              <w:rPr>
                <w:rFonts w:ascii="Arial" w:hAnsi="Arial" w:cs="Arial"/>
                <w:sz w:val="18"/>
                <w:szCs w:val="18"/>
              </w:rPr>
            </w:pPr>
          </w:p>
        </w:tc>
        <w:tc>
          <w:tcPr>
            <w:tcW w:w="1508" w:type="dxa"/>
            <w:shd w:val="clear" w:color="auto" w:fill="auto"/>
            <w:vAlign w:val="center"/>
          </w:tcPr>
          <w:p w14:paraId="122048A1" w14:textId="3E132AC9"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(7.501.224)</w:t>
            </w:r>
          </w:p>
        </w:tc>
        <w:tc>
          <w:tcPr>
            <w:tcW w:w="146" w:type="dxa"/>
            <w:vAlign w:val="center"/>
          </w:tcPr>
          <w:p w14:paraId="31D73806" w14:textId="77777777" w:rsidR="00EF1278" w:rsidRPr="0009028A" w:rsidRDefault="00EF1278" w:rsidP="00677491">
            <w:pPr>
              <w:spacing w:after="0" w:line="240" w:lineRule="auto"/>
              <w:jc w:val="right"/>
              <w:rPr>
                <w:rFonts w:ascii="Arial" w:eastAsia="Times New Roman" w:hAnsi="Arial" w:cs="Arial"/>
                <w:sz w:val="18"/>
                <w:szCs w:val="18"/>
                <w:lang w:eastAsia="es-CO"/>
              </w:rPr>
            </w:pPr>
          </w:p>
        </w:tc>
        <w:tc>
          <w:tcPr>
            <w:tcW w:w="146" w:type="dxa"/>
          </w:tcPr>
          <w:p w14:paraId="1EB9989C" w14:textId="77777777" w:rsidR="00EF1278" w:rsidRPr="0009028A" w:rsidRDefault="00EF1278" w:rsidP="00677491">
            <w:pPr>
              <w:spacing w:after="0" w:line="240" w:lineRule="auto"/>
              <w:jc w:val="right"/>
              <w:rPr>
                <w:rFonts w:ascii="Arial" w:eastAsia="Times New Roman" w:hAnsi="Arial" w:cs="Arial"/>
                <w:sz w:val="18"/>
                <w:szCs w:val="18"/>
                <w:lang w:eastAsia="es-CO"/>
              </w:rPr>
            </w:pPr>
          </w:p>
        </w:tc>
        <w:tc>
          <w:tcPr>
            <w:tcW w:w="1408" w:type="dxa"/>
            <w:shd w:val="clear" w:color="auto" w:fill="auto"/>
            <w:vAlign w:val="center"/>
          </w:tcPr>
          <w:p w14:paraId="7B8EF212" w14:textId="48772B01" w:rsidR="00EF1278" w:rsidRPr="0009028A" w:rsidRDefault="00EF1278" w:rsidP="00677491">
            <w:pPr>
              <w:spacing w:after="0" w:line="240" w:lineRule="auto"/>
              <w:jc w:val="right"/>
              <w:rPr>
                <w:rFonts w:ascii="Arial" w:eastAsia="Times New Roman" w:hAnsi="Arial" w:cs="Arial"/>
                <w:sz w:val="18"/>
                <w:szCs w:val="18"/>
                <w:lang w:eastAsia="es-CO"/>
              </w:rPr>
            </w:pPr>
            <w:r w:rsidRPr="0009028A">
              <w:rPr>
                <w:rFonts w:ascii="Arial" w:eastAsia="Times New Roman" w:hAnsi="Arial" w:cs="Arial"/>
                <w:sz w:val="18"/>
                <w:szCs w:val="18"/>
                <w:lang w:eastAsia="es-CO"/>
              </w:rPr>
              <w:t>(8.757.766)</w:t>
            </w:r>
          </w:p>
        </w:tc>
      </w:tr>
      <w:tr w:rsidR="00EF1278" w:rsidRPr="0009028A" w14:paraId="4AD6CF31" w14:textId="77777777" w:rsidTr="00EF1278">
        <w:trPr>
          <w:trHeight w:val="227"/>
        </w:trPr>
        <w:tc>
          <w:tcPr>
            <w:tcW w:w="6473" w:type="dxa"/>
            <w:shd w:val="clear" w:color="auto" w:fill="auto"/>
            <w:noWrap/>
            <w:vAlign w:val="center"/>
          </w:tcPr>
          <w:p w14:paraId="30E2AD29" w14:textId="77777777" w:rsidR="00EF1278" w:rsidRPr="0009028A" w:rsidRDefault="00EF1278" w:rsidP="00D94145">
            <w:pPr>
              <w:spacing w:after="0" w:line="240" w:lineRule="auto"/>
              <w:ind w:left="67"/>
              <w:rPr>
                <w:rFonts w:ascii="Arial" w:eastAsia="Times New Roman" w:hAnsi="Arial" w:cs="Arial"/>
                <w:sz w:val="18"/>
                <w:szCs w:val="18"/>
                <w:lang w:eastAsia="es-CO"/>
              </w:rPr>
            </w:pPr>
            <w:r w:rsidRPr="0009028A">
              <w:rPr>
                <w:rFonts w:ascii="Arial" w:hAnsi="Arial" w:cs="Arial"/>
                <w:sz w:val="18"/>
                <w:szCs w:val="18"/>
              </w:rPr>
              <w:t>Pérdida (utilidad) neta por valoración de instrumentos financieros medidos a valor razonable a través de resultados</w:t>
            </w:r>
          </w:p>
        </w:tc>
        <w:tc>
          <w:tcPr>
            <w:tcW w:w="240" w:type="dxa"/>
            <w:vAlign w:val="center"/>
          </w:tcPr>
          <w:p w14:paraId="0319BDFF" w14:textId="77777777" w:rsidR="00EF1278" w:rsidRPr="0009028A" w:rsidRDefault="00EF1278" w:rsidP="00677491">
            <w:pPr>
              <w:spacing w:after="0" w:line="240" w:lineRule="auto"/>
              <w:jc w:val="right"/>
              <w:rPr>
                <w:rFonts w:ascii="Arial" w:hAnsi="Arial" w:cs="Arial"/>
                <w:sz w:val="18"/>
                <w:szCs w:val="18"/>
              </w:rPr>
            </w:pPr>
          </w:p>
        </w:tc>
        <w:tc>
          <w:tcPr>
            <w:tcW w:w="1508" w:type="dxa"/>
            <w:shd w:val="clear" w:color="auto" w:fill="auto"/>
            <w:vAlign w:val="center"/>
          </w:tcPr>
          <w:p w14:paraId="0D9A9E64" w14:textId="63E1A0CE"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(37.303)</w:t>
            </w:r>
          </w:p>
        </w:tc>
        <w:tc>
          <w:tcPr>
            <w:tcW w:w="146" w:type="dxa"/>
            <w:vAlign w:val="center"/>
          </w:tcPr>
          <w:p w14:paraId="43CEB84E" w14:textId="77777777" w:rsidR="00EF1278" w:rsidRPr="0009028A" w:rsidRDefault="00EF1278" w:rsidP="00677491">
            <w:pPr>
              <w:spacing w:after="0" w:line="240" w:lineRule="auto"/>
              <w:jc w:val="right"/>
              <w:rPr>
                <w:rFonts w:ascii="Arial" w:hAnsi="Arial" w:cs="Arial"/>
                <w:sz w:val="18"/>
                <w:szCs w:val="18"/>
              </w:rPr>
            </w:pPr>
          </w:p>
        </w:tc>
        <w:tc>
          <w:tcPr>
            <w:tcW w:w="146" w:type="dxa"/>
          </w:tcPr>
          <w:p w14:paraId="63B38A52" w14:textId="77777777" w:rsidR="00EF1278" w:rsidRPr="0009028A" w:rsidRDefault="00EF1278" w:rsidP="00677491">
            <w:pPr>
              <w:spacing w:after="0" w:line="240" w:lineRule="auto"/>
              <w:jc w:val="right"/>
              <w:rPr>
                <w:rFonts w:ascii="Arial" w:hAnsi="Arial" w:cs="Arial"/>
                <w:sz w:val="18"/>
                <w:szCs w:val="18"/>
              </w:rPr>
            </w:pPr>
          </w:p>
        </w:tc>
        <w:tc>
          <w:tcPr>
            <w:tcW w:w="1408" w:type="dxa"/>
            <w:shd w:val="clear" w:color="auto" w:fill="auto"/>
            <w:vAlign w:val="center"/>
          </w:tcPr>
          <w:p w14:paraId="7FBB2DBE" w14:textId="51206AF1"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54.668</w:t>
            </w:r>
          </w:p>
        </w:tc>
      </w:tr>
      <w:tr w:rsidR="00EF1278" w:rsidRPr="0009028A" w14:paraId="1BCEDA32" w14:textId="77777777" w:rsidTr="00EF1278">
        <w:trPr>
          <w:trHeight w:val="227"/>
        </w:trPr>
        <w:tc>
          <w:tcPr>
            <w:tcW w:w="6473" w:type="dxa"/>
            <w:shd w:val="clear" w:color="auto" w:fill="auto"/>
            <w:noWrap/>
            <w:vAlign w:val="center"/>
          </w:tcPr>
          <w:p w14:paraId="2DD76218" w14:textId="77777777" w:rsidR="00EF1278" w:rsidRPr="0009028A" w:rsidRDefault="00EF1278" w:rsidP="00D94145">
            <w:pPr>
              <w:spacing w:after="0" w:line="240" w:lineRule="auto"/>
              <w:ind w:left="67"/>
              <w:rPr>
                <w:rFonts w:ascii="Arial" w:hAnsi="Arial" w:cs="Arial"/>
                <w:sz w:val="18"/>
                <w:szCs w:val="18"/>
              </w:rPr>
            </w:pPr>
            <w:r w:rsidRPr="0009028A">
              <w:rPr>
                <w:rFonts w:ascii="Arial" w:hAnsi="Arial" w:cs="Arial"/>
                <w:sz w:val="18"/>
                <w:szCs w:val="18"/>
              </w:rPr>
              <w:t>Ineficacia del instrumento sobre la cobertura del flujo de efectivo</w:t>
            </w:r>
          </w:p>
        </w:tc>
        <w:tc>
          <w:tcPr>
            <w:tcW w:w="240" w:type="dxa"/>
            <w:vAlign w:val="center"/>
          </w:tcPr>
          <w:p w14:paraId="3ADAFDA6" w14:textId="77777777" w:rsidR="00EF1278" w:rsidRPr="0009028A" w:rsidRDefault="00EF1278" w:rsidP="00677491">
            <w:pPr>
              <w:spacing w:after="0" w:line="240" w:lineRule="auto"/>
              <w:jc w:val="right"/>
              <w:rPr>
                <w:rFonts w:ascii="Arial" w:hAnsi="Arial" w:cs="Arial"/>
                <w:sz w:val="18"/>
                <w:szCs w:val="18"/>
              </w:rPr>
            </w:pPr>
          </w:p>
        </w:tc>
        <w:tc>
          <w:tcPr>
            <w:tcW w:w="1508" w:type="dxa"/>
            <w:shd w:val="clear" w:color="auto" w:fill="auto"/>
            <w:vAlign w:val="center"/>
          </w:tcPr>
          <w:p w14:paraId="7E41955A" w14:textId="0EACC2F5"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1.257.461</w:t>
            </w:r>
          </w:p>
        </w:tc>
        <w:tc>
          <w:tcPr>
            <w:tcW w:w="146" w:type="dxa"/>
            <w:vAlign w:val="center"/>
          </w:tcPr>
          <w:p w14:paraId="39E8324C" w14:textId="77777777" w:rsidR="00EF1278" w:rsidRPr="0009028A" w:rsidRDefault="00EF1278" w:rsidP="00677491">
            <w:pPr>
              <w:spacing w:after="0" w:line="240" w:lineRule="auto"/>
              <w:jc w:val="right"/>
              <w:rPr>
                <w:rFonts w:ascii="Arial" w:hAnsi="Arial" w:cs="Arial"/>
                <w:sz w:val="18"/>
                <w:szCs w:val="18"/>
              </w:rPr>
            </w:pPr>
          </w:p>
        </w:tc>
        <w:tc>
          <w:tcPr>
            <w:tcW w:w="146" w:type="dxa"/>
          </w:tcPr>
          <w:p w14:paraId="7E232BAD" w14:textId="77777777" w:rsidR="00EF1278" w:rsidRPr="0009028A" w:rsidRDefault="00EF1278" w:rsidP="00677491">
            <w:pPr>
              <w:spacing w:after="0" w:line="240" w:lineRule="auto"/>
              <w:jc w:val="right"/>
              <w:rPr>
                <w:rFonts w:ascii="Arial" w:hAnsi="Arial" w:cs="Arial"/>
                <w:sz w:val="18"/>
                <w:szCs w:val="18"/>
              </w:rPr>
            </w:pPr>
          </w:p>
        </w:tc>
        <w:tc>
          <w:tcPr>
            <w:tcW w:w="1408" w:type="dxa"/>
            <w:shd w:val="clear" w:color="auto" w:fill="auto"/>
            <w:vAlign w:val="center"/>
          </w:tcPr>
          <w:p w14:paraId="350BABE9" w14:textId="79CE65C5"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507.580</w:t>
            </w:r>
          </w:p>
        </w:tc>
      </w:tr>
      <w:tr w:rsidR="00EF1278" w:rsidRPr="0009028A" w14:paraId="13B33668" w14:textId="77777777" w:rsidTr="00EF1278">
        <w:trPr>
          <w:trHeight w:val="227"/>
        </w:trPr>
        <w:tc>
          <w:tcPr>
            <w:tcW w:w="6473" w:type="dxa"/>
            <w:shd w:val="clear" w:color="auto" w:fill="auto"/>
            <w:vAlign w:val="center"/>
          </w:tcPr>
          <w:p w14:paraId="69956DC1" w14:textId="77777777" w:rsidR="00EF1278" w:rsidRPr="0009028A" w:rsidRDefault="00EF1278" w:rsidP="00D94145">
            <w:pPr>
              <w:spacing w:after="0"/>
              <w:ind w:left="67"/>
              <w:rPr>
                <w:rFonts w:ascii="Arial" w:eastAsia="Times New Roman" w:hAnsi="Arial" w:cs="Arial"/>
                <w:sz w:val="18"/>
                <w:szCs w:val="18"/>
                <w:lang w:eastAsia="es-CO"/>
              </w:rPr>
            </w:pPr>
            <w:r w:rsidRPr="0009028A">
              <w:rPr>
                <w:rFonts w:ascii="Arial" w:hAnsi="Arial" w:cs="Arial"/>
                <w:sz w:val="18"/>
                <w:szCs w:val="18"/>
              </w:rPr>
              <w:t>Depreciación y amortización de activos no corrientes</w:t>
            </w:r>
          </w:p>
        </w:tc>
        <w:tc>
          <w:tcPr>
            <w:tcW w:w="240" w:type="dxa"/>
            <w:vAlign w:val="center"/>
          </w:tcPr>
          <w:p w14:paraId="24A06ACB" w14:textId="77777777" w:rsidR="00EF1278" w:rsidRPr="0009028A" w:rsidRDefault="00EF1278" w:rsidP="00677491">
            <w:pPr>
              <w:spacing w:after="0" w:line="240" w:lineRule="auto"/>
              <w:jc w:val="right"/>
              <w:rPr>
                <w:rFonts w:ascii="Arial" w:hAnsi="Arial" w:cs="Arial"/>
                <w:sz w:val="18"/>
                <w:szCs w:val="18"/>
              </w:rPr>
            </w:pPr>
          </w:p>
        </w:tc>
        <w:tc>
          <w:tcPr>
            <w:tcW w:w="1508" w:type="dxa"/>
            <w:shd w:val="clear" w:color="auto" w:fill="auto"/>
            <w:vAlign w:val="center"/>
          </w:tcPr>
          <w:p w14:paraId="392DB3E1" w14:textId="32A06923"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1.032.351</w:t>
            </w:r>
          </w:p>
        </w:tc>
        <w:tc>
          <w:tcPr>
            <w:tcW w:w="146" w:type="dxa"/>
            <w:vAlign w:val="center"/>
          </w:tcPr>
          <w:p w14:paraId="3D70013E" w14:textId="77777777" w:rsidR="00EF1278" w:rsidRPr="0009028A" w:rsidRDefault="00EF1278" w:rsidP="00677491">
            <w:pPr>
              <w:spacing w:after="0" w:line="240" w:lineRule="auto"/>
              <w:jc w:val="right"/>
              <w:rPr>
                <w:rFonts w:ascii="Arial" w:hAnsi="Arial" w:cs="Arial"/>
                <w:sz w:val="18"/>
                <w:szCs w:val="18"/>
              </w:rPr>
            </w:pPr>
          </w:p>
        </w:tc>
        <w:tc>
          <w:tcPr>
            <w:tcW w:w="146" w:type="dxa"/>
          </w:tcPr>
          <w:p w14:paraId="5432A6AD" w14:textId="77777777" w:rsidR="00EF1278" w:rsidRPr="0009028A" w:rsidRDefault="00EF1278" w:rsidP="00677491">
            <w:pPr>
              <w:spacing w:after="0" w:line="240" w:lineRule="auto"/>
              <w:jc w:val="right"/>
              <w:rPr>
                <w:rFonts w:ascii="Arial" w:hAnsi="Arial" w:cs="Arial"/>
                <w:sz w:val="18"/>
                <w:szCs w:val="18"/>
              </w:rPr>
            </w:pPr>
          </w:p>
        </w:tc>
        <w:tc>
          <w:tcPr>
            <w:tcW w:w="1408" w:type="dxa"/>
            <w:shd w:val="clear" w:color="auto" w:fill="auto"/>
            <w:vAlign w:val="center"/>
          </w:tcPr>
          <w:p w14:paraId="295A992E" w14:textId="264F8875"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1.149.230</w:t>
            </w:r>
          </w:p>
        </w:tc>
      </w:tr>
      <w:tr w:rsidR="00EF1278" w:rsidRPr="0009028A" w14:paraId="5F2E2FEF" w14:textId="77777777" w:rsidTr="00EF1278">
        <w:trPr>
          <w:trHeight w:val="227"/>
        </w:trPr>
        <w:tc>
          <w:tcPr>
            <w:tcW w:w="6473" w:type="dxa"/>
            <w:shd w:val="clear" w:color="auto" w:fill="auto"/>
            <w:vAlign w:val="center"/>
          </w:tcPr>
          <w:p w14:paraId="5D3AEC33" w14:textId="50445EF7" w:rsidR="00EF1278" w:rsidRPr="0009028A" w:rsidRDefault="00EF1278" w:rsidP="00D94145">
            <w:pPr>
              <w:spacing w:after="0" w:line="240" w:lineRule="auto"/>
              <w:ind w:left="67"/>
              <w:rPr>
                <w:rFonts w:ascii="Arial" w:eastAsia="Times New Roman" w:hAnsi="Arial" w:cs="Arial"/>
                <w:sz w:val="18"/>
                <w:szCs w:val="18"/>
                <w:lang w:eastAsia="es-CO"/>
              </w:rPr>
            </w:pPr>
            <w:r w:rsidRPr="0009028A">
              <w:rPr>
                <w:rFonts w:ascii="Arial" w:hAnsi="Arial" w:cs="Arial"/>
                <w:sz w:val="18"/>
                <w:szCs w:val="18"/>
              </w:rPr>
              <w:t>Deterioro, neto de activos financieros</w:t>
            </w:r>
          </w:p>
        </w:tc>
        <w:tc>
          <w:tcPr>
            <w:tcW w:w="240" w:type="dxa"/>
            <w:vAlign w:val="center"/>
          </w:tcPr>
          <w:p w14:paraId="3884581D" w14:textId="77777777" w:rsidR="00EF1278" w:rsidRPr="0009028A" w:rsidRDefault="00EF1278" w:rsidP="00677491">
            <w:pPr>
              <w:spacing w:after="0" w:line="240" w:lineRule="auto"/>
              <w:jc w:val="right"/>
              <w:rPr>
                <w:rFonts w:ascii="Arial" w:hAnsi="Arial" w:cs="Arial"/>
                <w:sz w:val="18"/>
                <w:szCs w:val="18"/>
              </w:rPr>
            </w:pPr>
          </w:p>
        </w:tc>
        <w:tc>
          <w:tcPr>
            <w:tcW w:w="1508" w:type="dxa"/>
            <w:shd w:val="clear" w:color="auto" w:fill="auto"/>
            <w:vAlign w:val="center"/>
          </w:tcPr>
          <w:p w14:paraId="4835267A" w14:textId="5C2D5A5C"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(1.968.576)</w:t>
            </w:r>
          </w:p>
        </w:tc>
        <w:tc>
          <w:tcPr>
            <w:tcW w:w="146" w:type="dxa"/>
            <w:vAlign w:val="center"/>
          </w:tcPr>
          <w:p w14:paraId="69DACB0E" w14:textId="77777777" w:rsidR="00EF1278" w:rsidRPr="0009028A" w:rsidRDefault="00EF1278" w:rsidP="00677491">
            <w:pPr>
              <w:spacing w:after="0" w:line="240" w:lineRule="auto"/>
              <w:jc w:val="right"/>
              <w:rPr>
                <w:rFonts w:ascii="Arial" w:hAnsi="Arial" w:cs="Arial"/>
                <w:sz w:val="18"/>
                <w:szCs w:val="18"/>
              </w:rPr>
            </w:pPr>
          </w:p>
        </w:tc>
        <w:tc>
          <w:tcPr>
            <w:tcW w:w="146" w:type="dxa"/>
          </w:tcPr>
          <w:p w14:paraId="15D38004" w14:textId="77777777" w:rsidR="00EF1278" w:rsidRPr="0009028A" w:rsidRDefault="00EF1278" w:rsidP="00677491">
            <w:pPr>
              <w:spacing w:after="0" w:line="240" w:lineRule="auto"/>
              <w:jc w:val="right"/>
              <w:rPr>
                <w:rFonts w:ascii="Arial" w:hAnsi="Arial" w:cs="Arial"/>
                <w:sz w:val="18"/>
                <w:szCs w:val="18"/>
              </w:rPr>
            </w:pPr>
          </w:p>
        </w:tc>
        <w:tc>
          <w:tcPr>
            <w:tcW w:w="1408" w:type="dxa"/>
            <w:shd w:val="clear" w:color="auto" w:fill="auto"/>
            <w:vAlign w:val="center"/>
          </w:tcPr>
          <w:p w14:paraId="3A11FD46" w14:textId="36312133"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w:t>
            </w:r>
          </w:p>
        </w:tc>
      </w:tr>
      <w:tr w:rsidR="00EF1278" w:rsidRPr="0009028A" w14:paraId="7F312747" w14:textId="77777777" w:rsidTr="00EF1278">
        <w:trPr>
          <w:trHeight w:val="227"/>
        </w:trPr>
        <w:tc>
          <w:tcPr>
            <w:tcW w:w="6473" w:type="dxa"/>
            <w:shd w:val="clear" w:color="auto" w:fill="auto"/>
            <w:noWrap/>
            <w:vAlign w:val="center"/>
          </w:tcPr>
          <w:p w14:paraId="09F1C4EF" w14:textId="77777777" w:rsidR="00EF1278" w:rsidRPr="0009028A" w:rsidRDefault="00EF1278" w:rsidP="00D94145">
            <w:pPr>
              <w:spacing w:after="0" w:line="240" w:lineRule="auto"/>
              <w:ind w:left="67"/>
              <w:rPr>
                <w:rFonts w:ascii="Arial" w:eastAsia="Times New Roman" w:hAnsi="Arial" w:cs="Arial"/>
                <w:sz w:val="18"/>
                <w:szCs w:val="18"/>
                <w:lang w:eastAsia="es-CO"/>
              </w:rPr>
            </w:pPr>
            <w:r w:rsidRPr="0009028A">
              <w:rPr>
                <w:rFonts w:ascii="Arial" w:hAnsi="Arial" w:cs="Arial"/>
                <w:sz w:val="18"/>
                <w:szCs w:val="18"/>
              </w:rPr>
              <w:t>Diferencia en cambio no realizada, reconocida en resultados sobre instrumentos financieros</w:t>
            </w:r>
          </w:p>
        </w:tc>
        <w:tc>
          <w:tcPr>
            <w:tcW w:w="240" w:type="dxa"/>
            <w:vAlign w:val="center"/>
          </w:tcPr>
          <w:p w14:paraId="1B1CC7E3" w14:textId="77777777" w:rsidR="00EF1278" w:rsidRPr="0009028A" w:rsidRDefault="00EF1278" w:rsidP="00677491">
            <w:pPr>
              <w:spacing w:after="0" w:line="240" w:lineRule="auto"/>
              <w:jc w:val="right"/>
              <w:rPr>
                <w:rFonts w:ascii="Arial" w:hAnsi="Arial" w:cs="Arial"/>
                <w:sz w:val="18"/>
                <w:szCs w:val="18"/>
              </w:rPr>
            </w:pPr>
          </w:p>
        </w:tc>
        <w:tc>
          <w:tcPr>
            <w:tcW w:w="1508" w:type="dxa"/>
            <w:shd w:val="clear" w:color="auto" w:fill="auto"/>
            <w:vAlign w:val="center"/>
          </w:tcPr>
          <w:p w14:paraId="3A2D18BF" w14:textId="4E554D46"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(382.297)</w:t>
            </w:r>
          </w:p>
        </w:tc>
        <w:tc>
          <w:tcPr>
            <w:tcW w:w="146" w:type="dxa"/>
            <w:vAlign w:val="center"/>
          </w:tcPr>
          <w:p w14:paraId="463A68D5" w14:textId="77777777" w:rsidR="00EF1278" w:rsidRPr="0009028A" w:rsidRDefault="00EF1278" w:rsidP="00677491">
            <w:pPr>
              <w:spacing w:after="0" w:line="240" w:lineRule="auto"/>
              <w:jc w:val="right"/>
              <w:rPr>
                <w:rFonts w:ascii="Arial" w:eastAsia="Times New Roman" w:hAnsi="Arial" w:cs="Arial"/>
                <w:sz w:val="18"/>
                <w:szCs w:val="18"/>
                <w:lang w:eastAsia="es-CO"/>
              </w:rPr>
            </w:pPr>
          </w:p>
        </w:tc>
        <w:tc>
          <w:tcPr>
            <w:tcW w:w="146" w:type="dxa"/>
          </w:tcPr>
          <w:p w14:paraId="312474E7" w14:textId="77777777" w:rsidR="00EF1278" w:rsidRPr="0009028A" w:rsidRDefault="00EF1278" w:rsidP="00677491">
            <w:pPr>
              <w:spacing w:after="0" w:line="240" w:lineRule="auto"/>
              <w:jc w:val="right"/>
              <w:rPr>
                <w:rFonts w:ascii="Arial" w:eastAsia="Times New Roman" w:hAnsi="Arial" w:cs="Arial"/>
                <w:sz w:val="18"/>
                <w:szCs w:val="18"/>
                <w:lang w:eastAsia="es-CO"/>
              </w:rPr>
            </w:pPr>
          </w:p>
        </w:tc>
        <w:tc>
          <w:tcPr>
            <w:tcW w:w="1408" w:type="dxa"/>
            <w:shd w:val="clear" w:color="auto" w:fill="auto"/>
            <w:vAlign w:val="center"/>
          </w:tcPr>
          <w:p w14:paraId="6F1B2396" w14:textId="6DE2CECD" w:rsidR="00EF1278" w:rsidRPr="0009028A" w:rsidRDefault="00EF1278" w:rsidP="00677491">
            <w:pPr>
              <w:spacing w:after="0" w:line="240" w:lineRule="auto"/>
              <w:jc w:val="right"/>
              <w:rPr>
                <w:rFonts w:ascii="Arial" w:eastAsia="Times New Roman" w:hAnsi="Arial" w:cs="Arial"/>
                <w:sz w:val="18"/>
                <w:szCs w:val="18"/>
                <w:lang w:eastAsia="es-CO"/>
              </w:rPr>
            </w:pPr>
            <w:r w:rsidRPr="0009028A">
              <w:rPr>
                <w:rFonts w:ascii="Arial" w:eastAsia="Times New Roman" w:hAnsi="Arial" w:cs="Arial"/>
                <w:sz w:val="18"/>
                <w:szCs w:val="18"/>
                <w:lang w:eastAsia="es-CO"/>
              </w:rPr>
              <w:t>(2.543.159)</w:t>
            </w:r>
          </w:p>
        </w:tc>
      </w:tr>
      <w:tr w:rsidR="00EF1278" w:rsidRPr="0009028A" w14:paraId="6B27AB00" w14:textId="77777777" w:rsidTr="00EF1278">
        <w:trPr>
          <w:trHeight w:val="227"/>
        </w:trPr>
        <w:tc>
          <w:tcPr>
            <w:tcW w:w="6473" w:type="dxa"/>
            <w:shd w:val="clear" w:color="auto" w:fill="auto"/>
            <w:noWrap/>
            <w:vAlign w:val="center"/>
          </w:tcPr>
          <w:p w14:paraId="1BBCBD51" w14:textId="77777777" w:rsidR="00EF1278" w:rsidRPr="0009028A" w:rsidRDefault="00EF1278" w:rsidP="00D94145">
            <w:pPr>
              <w:spacing w:after="0" w:line="240" w:lineRule="auto"/>
              <w:ind w:left="67"/>
              <w:rPr>
                <w:rFonts w:ascii="Arial" w:hAnsi="Arial" w:cs="Arial"/>
                <w:sz w:val="18"/>
                <w:szCs w:val="18"/>
              </w:rPr>
            </w:pPr>
            <w:r w:rsidRPr="0009028A">
              <w:rPr>
                <w:rFonts w:ascii="Arial" w:hAnsi="Arial" w:cs="Arial"/>
                <w:sz w:val="18"/>
                <w:szCs w:val="18"/>
              </w:rPr>
              <w:t>Otros ajustes para conciliar la (ganancia) pérdida</w:t>
            </w:r>
          </w:p>
        </w:tc>
        <w:tc>
          <w:tcPr>
            <w:tcW w:w="240" w:type="dxa"/>
            <w:vAlign w:val="center"/>
          </w:tcPr>
          <w:p w14:paraId="32B77CE8" w14:textId="77777777" w:rsidR="00EF1278" w:rsidRPr="0009028A" w:rsidRDefault="00EF1278" w:rsidP="00677491">
            <w:pPr>
              <w:spacing w:after="0" w:line="240" w:lineRule="auto"/>
              <w:jc w:val="right"/>
              <w:rPr>
                <w:rFonts w:ascii="Arial" w:hAnsi="Arial" w:cs="Arial"/>
                <w:sz w:val="18"/>
                <w:szCs w:val="18"/>
              </w:rPr>
            </w:pPr>
          </w:p>
        </w:tc>
        <w:tc>
          <w:tcPr>
            <w:tcW w:w="1508" w:type="dxa"/>
            <w:tcBorders>
              <w:bottom w:val="single" w:sz="4" w:space="0" w:color="auto"/>
            </w:tcBorders>
            <w:shd w:val="clear" w:color="auto" w:fill="auto"/>
            <w:vAlign w:val="center"/>
          </w:tcPr>
          <w:p w14:paraId="443F97C3" w14:textId="0E3F7991"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w:t>
            </w:r>
          </w:p>
        </w:tc>
        <w:tc>
          <w:tcPr>
            <w:tcW w:w="146" w:type="dxa"/>
            <w:vAlign w:val="center"/>
          </w:tcPr>
          <w:p w14:paraId="79713811" w14:textId="77777777" w:rsidR="00EF1278" w:rsidRPr="0009028A" w:rsidRDefault="00EF1278" w:rsidP="00677491">
            <w:pPr>
              <w:spacing w:after="0" w:line="240" w:lineRule="auto"/>
              <w:jc w:val="right"/>
              <w:rPr>
                <w:rFonts w:ascii="Arial" w:eastAsia="Times New Roman" w:hAnsi="Arial" w:cs="Arial"/>
                <w:sz w:val="18"/>
                <w:szCs w:val="18"/>
                <w:lang w:eastAsia="es-CO"/>
              </w:rPr>
            </w:pPr>
          </w:p>
        </w:tc>
        <w:tc>
          <w:tcPr>
            <w:tcW w:w="146" w:type="dxa"/>
          </w:tcPr>
          <w:p w14:paraId="0E55E131" w14:textId="77777777" w:rsidR="00EF1278" w:rsidRPr="0009028A" w:rsidRDefault="00EF1278" w:rsidP="00677491">
            <w:pPr>
              <w:spacing w:after="0" w:line="240" w:lineRule="auto"/>
              <w:jc w:val="right"/>
              <w:rPr>
                <w:rFonts w:ascii="Arial" w:eastAsia="Times New Roman" w:hAnsi="Arial" w:cs="Arial"/>
                <w:sz w:val="18"/>
                <w:szCs w:val="18"/>
                <w:lang w:eastAsia="es-CO"/>
              </w:rPr>
            </w:pPr>
          </w:p>
        </w:tc>
        <w:tc>
          <w:tcPr>
            <w:tcW w:w="1408" w:type="dxa"/>
            <w:tcBorders>
              <w:bottom w:val="single" w:sz="4" w:space="0" w:color="auto"/>
            </w:tcBorders>
            <w:shd w:val="clear" w:color="auto" w:fill="auto"/>
            <w:vAlign w:val="center"/>
          </w:tcPr>
          <w:p w14:paraId="56ADF89E" w14:textId="5EA58115" w:rsidR="00EF1278" w:rsidRPr="0009028A" w:rsidRDefault="00EF1278" w:rsidP="00677491">
            <w:pPr>
              <w:spacing w:after="0" w:line="240" w:lineRule="auto"/>
              <w:jc w:val="right"/>
              <w:rPr>
                <w:rFonts w:ascii="Arial" w:eastAsia="Times New Roman" w:hAnsi="Arial" w:cs="Arial"/>
                <w:sz w:val="18"/>
                <w:szCs w:val="18"/>
                <w:lang w:eastAsia="es-CO"/>
              </w:rPr>
            </w:pPr>
            <w:r w:rsidRPr="0009028A">
              <w:rPr>
                <w:rFonts w:ascii="Arial" w:eastAsia="Times New Roman" w:hAnsi="Arial" w:cs="Arial"/>
                <w:sz w:val="18"/>
                <w:szCs w:val="18"/>
                <w:lang w:eastAsia="es-CO"/>
              </w:rPr>
              <w:t>(1.378.407)</w:t>
            </w:r>
          </w:p>
        </w:tc>
      </w:tr>
      <w:tr w:rsidR="00EF1278" w:rsidRPr="0009028A" w14:paraId="3ABAEEE2" w14:textId="77777777" w:rsidTr="00EF1278">
        <w:trPr>
          <w:trHeight w:val="227"/>
        </w:trPr>
        <w:tc>
          <w:tcPr>
            <w:tcW w:w="6473" w:type="dxa"/>
            <w:shd w:val="clear" w:color="auto" w:fill="auto"/>
            <w:noWrap/>
            <w:vAlign w:val="center"/>
            <w:hideMark/>
          </w:tcPr>
          <w:p w14:paraId="6BD80487" w14:textId="77777777" w:rsidR="00EF1278" w:rsidRPr="0009028A" w:rsidRDefault="00EF1278" w:rsidP="00D94145">
            <w:pPr>
              <w:spacing w:after="0" w:line="240" w:lineRule="auto"/>
              <w:rPr>
                <w:rFonts w:ascii="Arial" w:eastAsia="Times New Roman" w:hAnsi="Arial" w:cs="Arial"/>
                <w:sz w:val="18"/>
                <w:szCs w:val="18"/>
                <w:lang w:eastAsia="es-CO"/>
              </w:rPr>
            </w:pPr>
          </w:p>
        </w:tc>
        <w:tc>
          <w:tcPr>
            <w:tcW w:w="240" w:type="dxa"/>
            <w:vAlign w:val="center"/>
          </w:tcPr>
          <w:p w14:paraId="59328DAD" w14:textId="77777777" w:rsidR="00EF1278" w:rsidRPr="0009028A" w:rsidRDefault="00EF1278" w:rsidP="00677491">
            <w:pPr>
              <w:spacing w:after="0"/>
              <w:jc w:val="right"/>
              <w:rPr>
                <w:rFonts w:ascii="Arial" w:hAnsi="Arial" w:cs="Arial"/>
                <w:bCs/>
                <w:sz w:val="18"/>
                <w:szCs w:val="18"/>
              </w:rPr>
            </w:pPr>
            <w:r w:rsidRPr="0009028A">
              <w:rPr>
                <w:rFonts w:ascii="Arial" w:hAnsi="Arial" w:cs="Arial"/>
                <w:bCs/>
                <w:sz w:val="18"/>
                <w:szCs w:val="18"/>
              </w:rPr>
              <w:t>$</w:t>
            </w:r>
          </w:p>
        </w:tc>
        <w:tc>
          <w:tcPr>
            <w:tcW w:w="1508" w:type="dxa"/>
            <w:tcBorders>
              <w:top w:val="single" w:sz="4" w:space="0" w:color="auto"/>
            </w:tcBorders>
            <w:shd w:val="clear" w:color="auto" w:fill="auto"/>
            <w:vAlign w:val="center"/>
          </w:tcPr>
          <w:p w14:paraId="03720F93" w14:textId="743B46C8" w:rsidR="00EF1278" w:rsidRPr="0009028A" w:rsidRDefault="00EF1278" w:rsidP="00677491">
            <w:pPr>
              <w:spacing w:after="0"/>
              <w:jc w:val="right"/>
              <w:rPr>
                <w:rFonts w:ascii="Arial" w:hAnsi="Arial" w:cs="Arial"/>
                <w:b/>
                <w:bCs/>
                <w:sz w:val="18"/>
                <w:szCs w:val="18"/>
              </w:rPr>
            </w:pPr>
            <w:r w:rsidRPr="0009028A">
              <w:rPr>
                <w:rFonts w:ascii="Arial" w:hAnsi="Arial" w:cs="Arial"/>
                <w:b/>
                <w:bCs/>
                <w:sz w:val="18"/>
                <w:szCs w:val="18"/>
              </w:rPr>
              <w:t>(19.931.074)</w:t>
            </w:r>
          </w:p>
        </w:tc>
        <w:tc>
          <w:tcPr>
            <w:tcW w:w="146" w:type="dxa"/>
            <w:vAlign w:val="center"/>
          </w:tcPr>
          <w:p w14:paraId="73F1CF93" w14:textId="77777777" w:rsidR="00EF1278" w:rsidRPr="0009028A" w:rsidRDefault="00EF1278" w:rsidP="00677491">
            <w:pPr>
              <w:spacing w:after="0" w:line="240" w:lineRule="auto"/>
              <w:jc w:val="right"/>
              <w:rPr>
                <w:rFonts w:ascii="Arial" w:hAnsi="Arial" w:cs="Arial"/>
                <w:b/>
                <w:bCs/>
                <w:sz w:val="18"/>
                <w:szCs w:val="18"/>
              </w:rPr>
            </w:pPr>
          </w:p>
        </w:tc>
        <w:tc>
          <w:tcPr>
            <w:tcW w:w="146" w:type="dxa"/>
          </w:tcPr>
          <w:p w14:paraId="73DF4E34" w14:textId="77777777" w:rsidR="00EF1278" w:rsidRPr="0009028A" w:rsidRDefault="00EF1278" w:rsidP="00677491">
            <w:pPr>
              <w:spacing w:after="0" w:line="240" w:lineRule="auto"/>
              <w:jc w:val="right"/>
              <w:rPr>
                <w:rFonts w:ascii="Arial" w:hAnsi="Arial" w:cs="Arial"/>
                <w:b/>
                <w:bCs/>
                <w:sz w:val="18"/>
                <w:szCs w:val="18"/>
              </w:rPr>
            </w:pPr>
          </w:p>
        </w:tc>
        <w:tc>
          <w:tcPr>
            <w:tcW w:w="1408" w:type="dxa"/>
            <w:tcBorders>
              <w:top w:val="single" w:sz="4" w:space="0" w:color="auto"/>
            </w:tcBorders>
            <w:shd w:val="clear" w:color="auto" w:fill="auto"/>
            <w:vAlign w:val="center"/>
          </w:tcPr>
          <w:p w14:paraId="49CC3931" w14:textId="0FACD11F" w:rsidR="00EF1278" w:rsidRPr="0009028A" w:rsidRDefault="00EF1278" w:rsidP="00677491">
            <w:pPr>
              <w:spacing w:after="0" w:line="240" w:lineRule="auto"/>
              <w:jc w:val="right"/>
              <w:rPr>
                <w:rFonts w:ascii="Arial" w:eastAsia="Times New Roman" w:hAnsi="Arial" w:cs="Arial"/>
                <w:b/>
                <w:bCs/>
                <w:sz w:val="18"/>
                <w:szCs w:val="18"/>
                <w:lang w:eastAsia="es-CO"/>
              </w:rPr>
            </w:pPr>
            <w:r w:rsidRPr="0009028A">
              <w:rPr>
                <w:rFonts w:ascii="Arial" w:hAnsi="Arial" w:cs="Arial"/>
                <w:b/>
                <w:bCs/>
                <w:sz w:val="18"/>
                <w:szCs w:val="18"/>
              </w:rPr>
              <w:t>(23.498.916)</w:t>
            </w:r>
          </w:p>
        </w:tc>
      </w:tr>
      <w:tr w:rsidR="00EF1278" w:rsidRPr="0009028A" w14:paraId="012CAA8C" w14:textId="77777777" w:rsidTr="00EF1278">
        <w:trPr>
          <w:trHeight w:val="227"/>
        </w:trPr>
        <w:tc>
          <w:tcPr>
            <w:tcW w:w="6473" w:type="dxa"/>
            <w:shd w:val="clear" w:color="auto" w:fill="auto"/>
            <w:noWrap/>
            <w:vAlign w:val="center"/>
            <w:hideMark/>
          </w:tcPr>
          <w:p w14:paraId="306B2507" w14:textId="77777777" w:rsidR="00EF1278" w:rsidRPr="0009028A" w:rsidRDefault="00EF1278" w:rsidP="003D070E">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Cambios en activos y pasivos:</w:t>
            </w:r>
          </w:p>
        </w:tc>
        <w:tc>
          <w:tcPr>
            <w:tcW w:w="240" w:type="dxa"/>
            <w:vAlign w:val="center"/>
          </w:tcPr>
          <w:p w14:paraId="1978379D" w14:textId="77777777" w:rsidR="00EF1278" w:rsidRPr="0009028A" w:rsidRDefault="00EF1278" w:rsidP="00677491">
            <w:pPr>
              <w:spacing w:after="0" w:line="240" w:lineRule="auto"/>
              <w:jc w:val="right"/>
              <w:rPr>
                <w:rFonts w:ascii="Arial" w:hAnsi="Arial" w:cs="Arial"/>
                <w:bCs/>
                <w:sz w:val="18"/>
                <w:szCs w:val="18"/>
              </w:rPr>
            </w:pPr>
          </w:p>
        </w:tc>
        <w:tc>
          <w:tcPr>
            <w:tcW w:w="1508" w:type="dxa"/>
            <w:shd w:val="clear" w:color="auto" w:fill="auto"/>
            <w:vAlign w:val="center"/>
          </w:tcPr>
          <w:p w14:paraId="33FA531C" w14:textId="77777777" w:rsidR="00EF1278" w:rsidRPr="0009028A" w:rsidRDefault="00EF1278" w:rsidP="00677491">
            <w:pPr>
              <w:spacing w:after="0" w:line="240" w:lineRule="auto"/>
              <w:jc w:val="right"/>
              <w:rPr>
                <w:rFonts w:ascii="Arial" w:hAnsi="Arial" w:cs="Arial"/>
                <w:b/>
                <w:bCs/>
                <w:sz w:val="18"/>
                <w:szCs w:val="18"/>
              </w:rPr>
            </w:pPr>
          </w:p>
        </w:tc>
        <w:tc>
          <w:tcPr>
            <w:tcW w:w="146" w:type="dxa"/>
            <w:vAlign w:val="center"/>
          </w:tcPr>
          <w:p w14:paraId="2537F071" w14:textId="77777777" w:rsidR="00EF1278" w:rsidRPr="0009028A" w:rsidRDefault="00EF1278" w:rsidP="00677491">
            <w:pPr>
              <w:spacing w:after="0" w:line="240" w:lineRule="auto"/>
              <w:jc w:val="right"/>
              <w:rPr>
                <w:rFonts w:ascii="Arial" w:hAnsi="Arial" w:cs="Arial"/>
                <w:b/>
                <w:bCs/>
                <w:sz w:val="18"/>
                <w:szCs w:val="18"/>
              </w:rPr>
            </w:pPr>
          </w:p>
        </w:tc>
        <w:tc>
          <w:tcPr>
            <w:tcW w:w="146" w:type="dxa"/>
          </w:tcPr>
          <w:p w14:paraId="0CB694FE" w14:textId="77777777" w:rsidR="00EF1278" w:rsidRPr="0009028A" w:rsidRDefault="00EF1278" w:rsidP="00677491">
            <w:pPr>
              <w:spacing w:after="0" w:line="240" w:lineRule="auto"/>
              <w:jc w:val="right"/>
              <w:rPr>
                <w:rFonts w:ascii="Arial" w:hAnsi="Arial" w:cs="Arial"/>
                <w:b/>
                <w:bCs/>
                <w:sz w:val="18"/>
                <w:szCs w:val="18"/>
              </w:rPr>
            </w:pPr>
          </w:p>
        </w:tc>
        <w:tc>
          <w:tcPr>
            <w:tcW w:w="1408" w:type="dxa"/>
            <w:shd w:val="clear" w:color="auto" w:fill="auto"/>
            <w:vAlign w:val="center"/>
            <w:hideMark/>
          </w:tcPr>
          <w:p w14:paraId="2553212E" w14:textId="58C806B8" w:rsidR="00EF1278" w:rsidRPr="0009028A" w:rsidRDefault="00EF1278" w:rsidP="00677491">
            <w:pPr>
              <w:spacing w:after="0" w:line="240" w:lineRule="auto"/>
              <w:jc w:val="right"/>
              <w:rPr>
                <w:rFonts w:ascii="Arial" w:hAnsi="Arial" w:cs="Arial"/>
                <w:b/>
                <w:bCs/>
                <w:sz w:val="18"/>
                <w:szCs w:val="18"/>
              </w:rPr>
            </w:pPr>
          </w:p>
        </w:tc>
      </w:tr>
      <w:tr w:rsidR="00EF1278" w:rsidRPr="0009028A" w14:paraId="00E24D00" w14:textId="77777777" w:rsidTr="00EF1278">
        <w:trPr>
          <w:trHeight w:val="227"/>
        </w:trPr>
        <w:tc>
          <w:tcPr>
            <w:tcW w:w="6473" w:type="dxa"/>
            <w:shd w:val="clear" w:color="auto" w:fill="auto"/>
            <w:noWrap/>
            <w:vAlign w:val="center"/>
            <w:hideMark/>
          </w:tcPr>
          <w:p w14:paraId="29975F41" w14:textId="77777777" w:rsidR="00EF1278" w:rsidRPr="0009028A" w:rsidRDefault="00EF1278" w:rsidP="00D94145">
            <w:pPr>
              <w:spacing w:after="0" w:line="240" w:lineRule="auto"/>
              <w:ind w:left="67"/>
              <w:rPr>
                <w:rFonts w:ascii="Arial" w:eastAsia="Times New Roman" w:hAnsi="Arial" w:cs="Arial"/>
                <w:sz w:val="18"/>
                <w:szCs w:val="18"/>
                <w:lang w:eastAsia="es-CO"/>
              </w:rPr>
            </w:pPr>
            <w:r w:rsidRPr="0009028A">
              <w:rPr>
                <w:rFonts w:ascii="Arial" w:hAnsi="Arial" w:cs="Arial"/>
                <w:sz w:val="18"/>
                <w:szCs w:val="18"/>
              </w:rPr>
              <w:t>Cuentas comerciales por cobrar y otras cuentas por cobrar</w:t>
            </w:r>
          </w:p>
        </w:tc>
        <w:tc>
          <w:tcPr>
            <w:tcW w:w="240" w:type="dxa"/>
            <w:vAlign w:val="center"/>
          </w:tcPr>
          <w:p w14:paraId="2F2E0267" w14:textId="77777777" w:rsidR="00EF1278" w:rsidRPr="0009028A" w:rsidRDefault="00EF1278" w:rsidP="00677491">
            <w:pPr>
              <w:spacing w:after="0" w:line="240" w:lineRule="auto"/>
              <w:jc w:val="right"/>
              <w:rPr>
                <w:rFonts w:ascii="Arial" w:hAnsi="Arial" w:cs="Arial"/>
                <w:sz w:val="18"/>
                <w:szCs w:val="18"/>
              </w:rPr>
            </w:pPr>
          </w:p>
        </w:tc>
        <w:tc>
          <w:tcPr>
            <w:tcW w:w="1508" w:type="dxa"/>
            <w:shd w:val="clear" w:color="auto" w:fill="auto"/>
            <w:vAlign w:val="center"/>
          </w:tcPr>
          <w:p w14:paraId="131EFAD5" w14:textId="2461500E"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420.690</w:t>
            </w:r>
          </w:p>
        </w:tc>
        <w:tc>
          <w:tcPr>
            <w:tcW w:w="146" w:type="dxa"/>
            <w:vAlign w:val="center"/>
          </w:tcPr>
          <w:p w14:paraId="70D86D88" w14:textId="77777777" w:rsidR="00EF1278" w:rsidRPr="0009028A" w:rsidRDefault="00EF1278" w:rsidP="00677491">
            <w:pPr>
              <w:spacing w:after="0" w:line="240" w:lineRule="auto"/>
              <w:jc w:val="right"/>
              <w:rPr>
                <w:rFonts w:ascii="Arial" w:hAnsi="Arial" w:cs="Arial"/>
                <w:sz w:val="18"/>
                <w:szCs w:val="18"/>
              </w:rPr>
            </w:pPr>
          </w:p>
        </w:tc>
        <w:tc>
          <w:tcPr>
            <w:tcW w:w="146" w:type="dxa"/>
          </w:tcPr>
          <w:p w14:paraId="3810C396" w14:textId="77777777" w:rsidR="00EF1278" w:rsidRPr="0009028A" w:rsidRDefault="00EF1278" w:rsidP="00677491">
            <w:pPr>
              <w:spacing w:after="0" w:line="240" w:lineRule="auto"/>
              <w:jc w:val="right"/>
              <w:rPr>
                <w:rFonts w:ascii="Arial" w:hAnsi="Arial" w:cs="Arial"/>
                <w:sz w:val="18"/>
                <w:szCs w:val="18"/>
              </w:rPr>
            </w:pPr>
          </w:p>
        </w:tc>
        <w:tc>
          <w:tcPr>
            <w:tcW w:w="1408" w:type="dxa"/>
            <w:shd w:val="clear" w:color="auto" w:fill="auto"/>
            <w:vAlign w:val="center"/>
          </w:tcPr>
          <w:p w14:paraId="26896B33" w14:textId="537E8713"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520.287</w:t>
            </w:r>
          </w:p>
        </w:tc>
      </w:tr>
      <w:tr w:rsidR="00EF1278" w:rsidRPr="0009028A" w14:paraId="4927EA71" w14:textId="77777777" w:rsidTr="00EF1278">
        <w:trPr>
          <w:trHeight w:val="227"/>
        </w:trPr>
        <w:tc>
          <w:tcPr>
            <w:tcW w:w="6473" w:type="dxa"/>
            <w:shd w:val="clear" w:color="auto" w:fill="auto"/>
            <w:noWrap/>
            <w:vAlign w:val="center"/>
            <w:hideMark/>
          </w:tcPr>
          <w:p w14:paraId="5C7974CA" w14:textId="77777777" w:rsidR="00EF1278" w:rsidRPr="0009028A" w:rsidRDefault="00EF1278" w:rsidP="00D94145">
            <w:pPr>
              <w:spacing w:after="0" w:line="240" w:lineRule="auto"/>
              <w:ind w:left="67"/>
              <w:rPr>
                <w:rFonts w:ascii="Arial" w:eastAsia="Times New Roman" w:hAnsi="Arial" w:cs="Arial"/>
                <w:sz w:val="18"/>
                <w:szCs w:val="18"/>
                <w:lang w:eastAsia="es-CO"/>
              </w:rPr>
            </w:pPr>
            <w:r w:rsidRPr="0009028A">
              <w:rPr>
                <w:rFonts w:ascii="Arial" w:hAnsi="Arial" w:cs="Arial"/>
                <w:sz w:val="18"/>
                <w:szCs w:val="18"/>
              </w:rPr>
              <w:t>Otros activos</w:t>
            </w:r>
          </w:p>
        </w:tc>
        <w:tc>
          <w:tcPr>
            <w:tcW w:w="240" w:type="dxa"/>
            <w:vAlign w:val="center"/>
          </w:tcPr>
          <w:p w14:paraId="3A825189" w14:textId="77777777" w:rsidR="00EF1278" w:rsidRPr="0009028A" w:rsidRDefault="00EF1278" w:rsidP="00677491">
            <w:pPr>
              <w:spacing w:after="0" w:line="240" w:lineRule="auto"/>
              <w:jc w:val="right"/>
              <w:rPr>
                <w:rFonts w:ascii="Arial" w:hAnsi="Arial" w:cs="Arial"/>
                <w:sz w:val="18"/>
                <w:szCs w:val="18"/>
              </w:rPr>
            </w:pPr>
          </w:p>
        </w:tc>
        <w:tc>
          <w:tcPr>
            <w:tcW w:w="1508" w:type="dxa"/>
            <w:shd w:val="clear" w:color="auto" w:fill="auto"/>
            <w:vAlign w:val="center"/>
          </w:tcPr>
          <w:p w14:paraId="347EBAAE" w14:textId="1748ECAC"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(6.907.225)</w:t>
            </w:r>
          </w:p>
        </w:tc>
        <w:tc>
          <w:tcPr>
            <w:tcW w:w="146" w:type="dxa"/>
            <w:vAlign w:val="center"/>
          </w:tcPr>
          <w:p w14:paraId="454E4870" w14:textId="77777777" w:rsidR="00EF1278" w:rsidRPr="0009028A" w:rsidRDefault="00EF1278" w:rsidP="00677491">
            <w:pPr>
              <w:spacing w:after="0" w:line="240" w:lineRule="auto"/>
              <w:jc w:val="right"/>
              <w:rPr>
                <w:rFonts w:ascii="Arial" w:hAnsi="Arial" w:cs="Arial"/>
                <w:sz w:val="18"/>
                <w:szCs w:val="18"/>
              </w:rPr>
            </w:pPr>
          </w:p>
        </w:tc>
        <w:tc>
          <w:tcPr>
            <w:tcW w:w="146" w:type="dxa"/>
          </w:tcPr>
          <w:p w14:paraId="17451087" w14:textId="77777777" w:rsidR="00EF1278" w:rsidRPr="0009028A" w:rsidRDefault="00EF1278" w:rsidP="00677491">
            <w:pPr>
              <w:spacing w:after="0" w:line="240" w:lineRule="auto"/>
              <w:jc w:val="right"/>
              <w:rPr>
                <w:rFonts w:ascii="Arial" w:hAnsi="Arial" w:cs="Arial"/>
                <w:sz w:val="18"/>
                <w:szCs w:val="18"/>
              </w:rPr>
            </w:pPr>
          </w:p>
        </w:tc>
        <w:tc>
          <w:tcPr>
            <w:tcW w:w="1408" w:type="dxa"/>
            <w:shd w:val="clear" w:color="auto" w:fill="auto"/>
            <w:vAlign w:val="center"/>
          </w:tcPr>
          <w:p w14:paraId="7CCC6ABE" w14:textId="762C299B"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(829.267)</w:t>
            </w:r>
          </w:p>
        </w:tc>
      </w:tr>
      <w:tr w:rsidR="00EF1278" w:rsidRPr="0009028A" w14:paraId="1C706E07" w14:textId="77777777" w:rsidTr="00EF1278">
        <w:trPr>
          <w:trHeight w:val="227"/>
        </w:trPr>
        <w:tc>
          <w:tcPr>
            <w:tcW w:w="6473" w:type="dxa"/>
            <w:shd w:val="clear" w:color="auto" w:fill="auto"/>
            <w:noWrap/>
            <w:vAlign w:val="center"/>
            <w:hideMark/>
          </w:tcPr>
          <w:p w14:paraId="1B59CECA" w14:textId="77777777" w:rsidR="00EF1278" w:rsidRPr="0009028A" w:rsidRDefault="00EF1278" w:rsidP="00D94145">
            <w:pPr>
              <w:spacing w:after="0" w:line="240" w:lineRule="auto"/>
              <w:ind w:left="67"/>
              <w:rPr>
                <w:rFonts w:ascii="Arial" w:eastAsia="Times New Roman" w:hAnsi="Arial" w:cs="Arial"/>
                <w:sz w:val="18"/>
                <w:szCs w:val="18"/>
                <w:lang w:eastAsia="es-CO"/>
              </w:rPr>
            </w:pPr>
            <w:r w:rsidRPr="0009028A">
              <w:rPr>
                <w:rFonts w:ascii="Arial" w:hAnsi="Arial" w:cs="Arial"/>
                <w:sz w:val="18"/>
                <w:szCs w:val="18"/>
              </w:rPr>
              <w:t>Cuentas comerciales por pagar y otras cuentas por pagar</w:t>
            </w:r>
          </w:p>
        </w:tc>
        <w:tc>
          <w:tcPr>
            <w:tcW w:w="240" w:type="dxa"/>
            <w:vAlign w:val="center"/>
          </w:tcPr>
          <w:p w14:paraId="5F5ED7C6" w14:textId="77777777" w:rsidR="00EF1278" w:rsidRPr="0009028A" w:rsidRDefault="00EF1278" w:rsidP="00677491">
            <w:pPr>
              <w:spacing w:after="0" w:line="240" w:lineRule="auto"/>
              <w:jc w:val="right"/>
              <w:rPr>
                <w:rFonts w:ascii="Arial" w:hAnsi="Arial" w:cs="Arial"/>
                <w:sz w:val="18"/>
                <w:szCs w:val="18"/>
              </w:rPr>
            </w:pPr>
          </w:p>
        </w:tc>
        <w:tc>
          <w:tcPr>
            <w:tcW w:w="1508" w:type="dxa"/>
            <w:shd w:val="clear" w:color="auto" w:fill="auto"/>
            <w:vAlign w:val="center"/>
          </w:tcPr>
          <w:p w14:paraId="5488B034" w14:textId="336DF914"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1.620.502</w:t>
            </w:r>
          </w:p>
        </w:tc>
        <w:tc>
          <w:tcPr>
            <w:tcW w:w="146" w:type="dxa"/>
            <w:vAlign w:val="center"/>
          </w:tcPr>
          <w:p w14:paraId="46142B4C" w14:textId="77777777" w:rsidR="00EF1278" w:rsidRPr="0009028A" w:rsidRDefault="00EF1278" w:rsidP="00677491">
            <w:pPr>
              <w:spacing w:after="0" w:line="240" w:lineRule="auto"/>
              <w:jc w:val="right"/>
              <w:rPr>
                <w:rFonts w:ascii="Arial" w:hAnsi="Arial" w:cs="Arial"/>
                <w:sz w:val="18"/>
                <w:szCs w:val="18"/>
              </w:rPr>
            </w:pPr>
          </w:p>
        </w:tc>
        <w:tc>
          <w:tcPr>
            <w:tcW w:w="146" w:type="dxa"/>
          </w:tcPr>
          <w:p w14:paraId="0E1B2779" w14:textId="77777777" w:rsidR="00EF1278" w:rsidRPr="0009028A" w:rsidRDefault="00EF1278" w:rsidP="00677491">
            <w:pPr>
              <w:spacing w:after="0" w:line="240" w:lineRule="auto"/>
              <w:jc w:val="right"/>
              <w:rPr>
                <w:rFonts w:ascii="Arial" w:hAnsi="Arial" w:cs="Arial"/>
                <w:sz w:val="18"/>
                <w:szCs w:val="18"/>
              </w:rPr>
            </w:pPr>
          </w:p>
        </w:tc>
        <w:tc>
          <w:tcPr>
            <w:tcW w:w="1408" w:type="dxa"/>
            <w:shd w:val="clear" w:color="auto" w:fill="auto"/>
            <w:vAlign w:val="center"/>
          </w:tcPr>
          <w:p w14:paraId="1ADC9C9A" w14:textId="4F97D033"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5.342.339</w:t>
            </w:r>
          </w:p>
        </w:tc>
      </w:tr>
      <w:tr w:rsidR="00EF1278" w:rsidRPr="0009028A" w14:paraId="73843B57" w14:textId="77777777" w:rsidTr="00EF1278">
        <w:trPr>
          <w:trHeight w:val="227"/>
        </w:trPr>
        <w:tc>
          <w:tcPr>
            <w:tcW w:w="6473" w:type="dxa"/>
            <w:shd w:val="clear" w:color="auto" w:fill="auto"/>
            <w:noWrap/>
            <w:vAlign w:val="center"/>
          </w:tcPr>
          <w:p w14:paraId="39DC19C0" w14:textId="77777777" w:rsidR="00EF1278" w:rsidRPr="0009028A" w:rsidRDefault="00EF1278" w:rsidP="00D94145">
            <w:pPr>
              <w:spacing w:after="0" w:line="240" w:lineRule="auto"/>
              <w:ind w:left="67"/>
              <w:rPr>
                <w:rFonts w:ascii="Arial" w:eastAsia="Times New Roman" w:hAnsi="Arial" w:cs="Arial"/>
                <w:sz w:val="18"/>
                <w:szCs w:val="18"/>
                <w:lang w:eastAsia="es-CO"/>
              </w:rPr>
            </w:pPr>
            <w:r w:rsidRPr="0009028A">
              <w:rPr>
                <w:rFonts w:ascii="Arial" w:hAnsi="Arial" w:cs="Arial"/>
                <w:sz w:val="18"/>
                <w:szCs w:val="18"/>
              </w:rPr>
              <w:t>Otros pasivos</w:t>
            </w:r>
          </w:p>
        </w:tc>
        <w:tc>
          <w:tcPr>
            <w:tcW w:w="240" w:type="dxa"/>
            <w:vAlign w:val="center"/>
          </w:tcPr>
          <w:p w14:paraId="4BD4AEF8" w14:textId="77777777" w:rsidR="00EF1278" w:rsidRPr="0009028A" w:rsidRDefault="00EF1278" w:rsidP="00677491">
            <w:pPr>
              <w:spacing w:after="0" w:line="240" w:lineRule="auto"/>
              <w:jc w:val="right"/>
              <w:rPr>
                <w:rFonts w:ascii="Arial" w:hAnsi="Arial" w:cs="Arial"/>
                <w:sz w:val="18"/>
                <w:szCs w:val="18"/>
              </w:rPr>
            </w:pPr>
          </w:p>
        </w:tc>
        <w:tc>
          <w:tcPr>
            <w:tcW w:w="1508" w:type="dxa"/>
            <w:tcBorders>
              <w:bottom w:val="single" w:sz="4" w:space="0" w:color="auto"/>
            </w:tcBorders>
            <w:shd w:val="clear" w:color="auto" w:fill="auto"/>
            <w:vAlign w:val="center"/>
          </w:tcPr>
          <w:p w14:paraId="3949403A" w14:textId="261F9CD9"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(4.847.392)</w:t>
            </w:r>
          </w:p>
        </w:tc>
        <w:tc>
          <w:tcPr>
            <w:tcW w:w="146" w:type="dxa"/>
            <w:vAlign w:val="center"/>
          </w:tcPr>
          <w:p w14:paraId="40C5D5A9" w14:textId="77777777" w:rsidR="00EF1278" w:rsidRPr="0009028A" w:rsidRDefault="00EF1278" w:rsidP="00677491">
            <w:pPr>
              <w:spacing w:after="0" w:line="240" w:lineRule="auto"/>
              <w:jc w:val="right"/>
              <w:rPr>
                <w:rFonts w:ascii="Arial" w:hAnsi="Arial" w:cs="Arial"/>
                <w:sz w:val="18"/>
                <w:szCs w:val="18"/>
                <w:u w:val="single"/>
              </w:rPr>
            </w:pPr>
          </w:p>
        </w:tc>
        <w:tc>
          <w:tcPr>
            <w:tcW w:w="146" w:type="dxa"/>
          </w:tcPr>
          <w:p w14:paraId="3EF4CC0D" w14:textId="77777777" w:rsidR="00EF1278" w:rsidRPr="0009028A" w:rsidRDefault="00EF1278" w:rsidP="00677491">
            <w:pPr>
              <w:spacing w:after="0" w:line="240" w:lineRule="auto"/>
              <w:jc w:val="right"/>
              <w:rPr>
                <w:rFonts w:ascii="Arial" w:hAnsi="Arial" w:cs="Arial"/>
                <w:sz w:val="18"/>
                <w:szCs w:val="18"/>
              </w:rPr>
            </w:pPr>
          </w:p>
        </w:tc>
        <w:tc>
          <w:tcPr>
            <w:tcW w:w="1408" w:type="dxa"/>
            <w:tcBorders>
              <w:bottom w:val="single" w:sz="4" w:space="0" w:color="auto"/>
            </w:tcBorders>
            <w:shd w:val="clear" w:color="auto" w:fill="auto"/>
            <w:vAlign w:val="center"/>
          </w:tcPr>
          <w:p w14:paraId="4A31CCA2" w14:textId="42C5F27F"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1.805.078</w:t>
            </w:r>
          </w:p>
        </w:tc>
      </w:tr>
      <w:tr w:rsidR="00EF1278" w:rsidRPr="0009028A" w14:paraId="05776CA1" w14:textId="77777777" w:rsidTr="00EF1278">
        <w:trPr>
          <w:trHeight w:val="227"/>
        </w:trPr>
        <w:tc>
          <w:tcPr>
            <w:tcW w:w="6473" w:type="dxa"/>
            <w:shd w:val="clear" w:color="auto" w:fill="auto"/>
            <w:noWrap/>
            <w:vAlign w:val="center"/>
            <w:hideMark/>
          </w:tcPr>
          <w:p w14:paraId="32E5664D" w14:textId="77777777" w:rsidR="00EF1278" w:rsidRPr="0009028A" w:rsidRDefault="00EF1278" w:rsidP="003D070E">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Efectivo usado en las actividades de operación</w:t>
            </w:r>
          </w:p>
        </w:tc>
        <w:tc>
          <w:tcPr>
            <w:tcW w:w="240" w:type="dxa"/>
            <w:vAlign w:val="center"/>
          </w:tcPr>
          <w:p w14:paraId="25926ED1" w14:textId="77777777"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w:t>
            </w:r>
          </w:p>
        </w:tc>
        <w:tc>
          <w:tcPr>
            <w:tcW w:w="1508" w:type="dxa"/>
            <w:tcBorders>
              <w:top w:val="single" w:sz="4" w:space="0" w:color="auto"/>
            </w:tcBorders>
            <w:shd w:val="clear" w:color="auto" w:fill="auto"/>
            <w:vAlign w:val="center"/>
          </w:tcPr>
          <w:p w14:paraId="7DB20F67" w14:textId="1F41BEC0" w:rsidR="00EF1278" w:rsidRPr="0009028A" w:rsidRDefault="00EF1278" w:rsidP="00677491">
            <w:pPr>
              <w:spacing w:after="0" w:line="240" w:lineRule="auto"/>
              <w:jc w:val="right"/>
              <w:rPr>
                <w:rFonts w:ascii="Arial" w:hAnsi="Arial" w:cs="Arial"/>
                <w:b/>
                <w:sz w:val="18"/>
                <w:szCs w:val="18"/>
              </w:rPr>
            </w:pPr>
            <w:r w:rsidRPr="0009028A">
              <w:rPr>
                <w:rFonts w:ascii="Arial" w:hAnsi="Arial" w:cs="Arial"/>
                <w:b/>
                <w:sz w:val="18"/>
                <w:szCs w:val="18"/>
              </w:rPr>
              <w:t>(29.644.499)</w:t>
            </w:r>
          </w:p>
        </w:tc>
        <w:tc>
          <w:tcPr>
            <w:tcW w:w="146" w:type="dxa"/>
            <w:vAlign w:val="center"/>
          </w:tcPr>
          <w:p w14:paraId="79792B79" w14:textId="77777777" w:rsidR="00EF1278" w:rsidRPr="0009028A" w:rsidRDefault="00EF1278" w:rsidP="00677491">
            <w:pPr>
              <w:spacing w:after="0" w:line="240" w:lineRule="auto"/>
              <w:jc w:val="right"/>
              <w:rPr>
                <w:rFonts w:ascii="Arial" w:hAnsi="Arial" w:cs="Arial"/>
                <w:b/>
                <w:bCs/>
                <w:sz w:val="18"/>
                <w:szCs w:val="18"/>
                <w:u w:val="double"/>
              </w:rPr>
            </w:pPr>
          </w:p>
        </w:tc>
        <w:tc>
          <w:tcPr>
            <w:tcW w:w="146" w:type="dxa"/>
          </w:tcPr>
          <w:p w14:paraId="7E6CB00D" w14:textId="77777777" w:rsidR="00EF1278" w:rsidRPr="0009028A" w:rsidRDefault="00EF1278" w:rsidP="00677491">
            <w:pPr>
              <w:spacing w:after="0" w:line="240" w:lineRule="auto"/>
              <w:jc w:val="right"/>
              <w:rPr>
                <w:rFonts w:ascii="Arial" w:hAnsi="Arial" w:cs="Arial"/>
                <w:b/>
                <w:bCs/>
                <w:sz w:val="18"/>
                <w:szCs w:val="18"/>
              </w:rPr>
            </w:pPr>
          </w:p>
        </w:tc>
        <w:tc>
          <w:tcPr>
            <w:tcW w:w="1408" w:type="dxa"/>
            <w:tcBorders>
              <w:top w:val="single" w:sz="4" w:space="0" w:color="auto"/>
            </w:tcBorders>
            <w:shd w:val="clear" w:color="auto" w:fill="auto"/>
            <w:vAlign w:val="center"/>
          </w:tcPr>
          <w:p w14:paraId="3305ED90" w14:textId="5044E75D" w:rsidR="00EF1278" w:rsidRPr="0009028A" w:rsidRDefault="00EF1278" w:rsidP="00677491">
            <w:pPr>
              <w:spacing w:after="0" w:line="240" w:lineRule="auto"/>
              <w:jc w:val="right"/>
              <w:rPr>
                <w:rFonts w:ascii="Arial" w:hAnsi="Arial" w:cs="Arial"/>
                <w:b/>
                <w:bCs/>
                <w:sz w:val="18"/>
                <w:szCs w:val="18"/>
              </w:rPr>
            </w:pPr>
            <w:r w:rsidRPr="0009028A">
              <w:rPr>
                <w:rFonts w:ascii="Arial" w:hAnsi="Arial" w:cs="Arial"/>
                <w:b/>
                <w:bCs/>
                <w:sz w:val="18"/>
                <w:szCs w:val="18"/>
              </w:rPr>
              <w:t>(16.660.479)</w:t>
            </w:r>
          </w:p>
        </w:tc>
      </w:tr>
      <w:tr w:rsidR="00EF1278" w:rsidRPr="0009028A" w14:paraId="2B422949" w14:textId="77777777" w:rsidTr="00EF1278">
        <w:trPr>
          <w:trHeight w:val="227"/>
        </w:trPr>
        <w:tc>
          <w:tcPr>
            <w:tcW w:w="6473" w:type="dxa"/>
            <w:shd w:val="clear" w:color="auto" w:fill="auto"/>
            <w:noWrap/>
            <w:vAlign w:val="center"/>
          </w:tcPr>
          <w:p w14:paraId="5510A7B3" w14:textId="77777777" w:rsidR="00EF1278" w:rsidRPr="0009028A" w:rsidRDefault="00EF1278" w:rsidP="003D070E">
            <w:pPr>
              <w:spacing w:after="0" w:line="240" w:lineRule="auto"/>
              <w:rPr>
                <w:rFonts w:ascii="Arial" w:eastAsia="Times New Roman" w:hAnsi="Arial" w:cs="Arial"/>
                <w:b/>
                <w:bCs/>
                <w:sz w:val="18"/>
                <w:szCs w:val="18"/>
                <w:lang w:eastAsia="es-CO"/>
              </w:rPr>
            </w:pPr>
          </w:p>
        </w:tc>
        <w:tc>
          <w:tcPr>
            <w:tcW w:w="240" w:type="dxa"/>
            <w:vAlign w:val="center"/>
          </w:tcPr>
          <w:p w14:paraId="7AFE699F" w14:textId="77777777" w:rsidR="00EF1278" w:rsidRPr="0009028A" w:rsidRDefault="00EF1278" w:rsidP="00677491">
            <w:pPr>
              <w:spacing w:after="0" w:line="240" w:lineRule="auto"/>
              <w:jc w:val="right"/>
              <w:rPr>
                <w:rFonts w:ascii="Arial" w:hAnsi="Arial" w:cs="Arial"/>
                <w:sz w:val="18"/>
                <w:szCs w:val="18"/>
              </w:rPr>
            </w:pPr>
          </w:p>
        </w:tc>
        <w:tc>
          <w:tcPr>
            <w:tcW w:w="1508" w:type="dxa"/>
            <w:shd w:val="clear" w:color="auto" w:fill="auto"/>
            <w:vAlign w:val="center"/>
          </w:tcPr>
          <w:p w14:paraId="0D26F2AC" w14:textId="77777777" w:rsidR="00EF1278" w:rsidRPr="0009028A" w:rsidRDefault="00EF1278" w:rsidP="00677491">
            <w:pPr>
              <w:spacing w:after="0" w:line="240" w:lineRule="auto"/>
              <w:jc w:val="right"/>
              <w:rPr>
                <w:rFonts w:ascii="Arial" w:hAnsi="Arial" w:cs="Arial"/>
                <w:b/>
                <w:sz w:val="18"/>
                <w:szCs w:val="18"/>
              </w:rPr>
            </w:pPr>
          </w:p>
        </w:tc>
        <w:tc>
          <w:tcPr>
            <w:tcW w:w="146" w:type="dxa"/>
            <w:vAlign w:val="center"/>
          </w:tcPr>
          <w:p w14:paraId="2A387858" w14:textId="77777777" w:rsidR="00EF1278" w:rsidRPr="0009028A" w:rsidRDefault="00EF1278" w:rsidP="00677491">
            <w:pPr>
              <w:spacing w:after="0" w:line="240" w:lineRule="auto"/>
              <w:jc w:val="right"/>
              <w:rPr>
                <w:rFonts w:ascii="Arial" w:hAnsi="Arial" w:cs="Arial"/>
                <w:b/>
                <w:bCs/>
                <w:sz w:val="18"/>
                <w:szCs w:val="18"/>
                <w:u w:val="double"/>
              </w:rPr>
            </w:pPr>
          </w:p>
        </w:tc>
        <w:tc>
          <w:tcPr>
            <w:tcW w:w="146" w:type="dxa"/>
          </w:tcPr>
          <w:p w14:paraId="7721433E" w14:textId="77777777" w:rsidR="00EF1278" w:rsidRPr="0009028A" w:rsidRDefault="00EF1278" w:rsidP="00677491">
            <w:pPr>
              <w:spacing w:after="0" w:line="240" w:lineRule="auto"/>
              <w:jc w:val="right"/>
              <w:rPr>
                <w:rFonts w:ascii="Arial" w:hAnsi="Arial" w:cs="Arial"/>
                <w:b/>
                <w:bCs/>
                <w:sz w:val="18"/>
                <w:szCs w:val="18"/>
              </w:rPr>
            </w:pPr>
          </w:p>
        </w:tc>
        <w:tc>
          <w:tcPr>
            <w:tcW w:w="1408" w:type="dxa"/>
            <w:shd w:val="clear" w:color="auto" w:fill="auto"/>
            <w:vAlign w:val="center"/>
          </w:tcPr>
          <w:p w14:paraId="536D82DD" w14:textId="2AAAD7B0" w:rsidR="00EF1278" w:rsidRPr="0009028A" w:rsidRDefault="00EF1278" w:rsidP="00677491">
            <w:pPr>
              <w:spacing w:after="0" w:line="240" w:lineRule="auto"/>
              <w:jc w:val="right"/>
              <w:rPr>
                <w:rFonts w:ascii="Arial" w:hAnsi="Arial" w:cs="Arial"/>
                <w:b/>
                <w:bCs/>
                <w:sz w:val="18"/>
                <w:szCs w:val="18"/>
              </w:rPr>
            </w:pPr>
          </w:p>
        </w:tc>
      </w:tr>
      <w:tr w:rsidR="00EF1278" w:rsidRPr="0009028A" w14:paraId="39AA6DE0" w14:textId="77777777" w:rsidTr="00EF1278">
        <w:trPr>
          <w:trHeight w:val="227"/>
        </w:trPr>
        <w:tc>
          <w:tcPr>
            <w:tcW w:w="6473" w:type="dxa"/>
            <w:shd w:val="clear" w:color="auto" w:fill="auto"/>
            <w:noWrap/>
            <w:vAlign w:val="center"/>
            <w:hideMark/>
          </w:tcPr>
          <w:p w14:paraId="476FE807" w14:textId="77777777" w:rsidR="00EF1278" w:rsidRPr="0009028A" w:rsidRDefault="00EF1278" w:rsidP="00D94145">
            <w:pPr>
              <w:spacing w:after="0" w:line="240" w:lineRule="auto"/>
              <w:rPr>
                <w:rFonts w:ascii="Arial" w:eastAsia="Times New Roman" w:hAnsi="Arial" w:cs="Arial"/>
                <w:sz w:val="18"/>
                <w:szCs w:val="18"/>
                <w:lang w:eastAsia="es-CO"/>
              </w:rPr>
            </w:pPr>
            <w:r w:rsidRPr="0009028A">
              <w:rPr>
                <w:rFonts w:ascii="Arial" w:hAnsi="Arial" w:cs="Arial"/>
                <w:sz w:val="18"/>
                <w:szCs w:val="18"/>
              </w:rPr>
              <w:t>Impuestos a la renta y a la riqueza, pagados</w:t>
            </w:r>
          </w:p>
        </w:tc>
        <w:tc>
          <w:tcPr>
            <w:tcW w:w="240" w:type="dxa"/>
            <w:vAlign w:val="center"/>
          </w:tcPr>
          <w:p w14:paraId="2B253820" w14:textId="77777777" w:rsidR="00EF1278" w:rsidRPr="0009028A" w:rsidRDefault="00EF1278" w:rsidP="00677491">
            <w:pPr>
              <w:spacing w:after="0" w:line="240" w:lineRule="auto"/>
              <w:jc w:val="right"/>
              <w:rPr>
                <w:rFonts w:ascii="Arial" w:hAnsi="Arial" w:cs="Arial"/>
                <w:sz w:val="18"/>
                <w:szCs w:val="18"/>
              </w:rPr>
            </w:pPr>
          </w:p>
        </w:tc>
        <w:tc>
          <w:tcPr>
            <w:tcW w:w="1508" w:type="dxa"/>
            <w:tcBorders>
              <w:bottom w:val="single" w:sz="4" w:space="0" w:color="auto"/>
            </w:tcBorders>
            <w:shd w:val="clear" w:color="auto" w:fill="auto"/>
            <w:vAlign w:val="center"/>
          </w:tcPr>
          <w:p w14:paraId="4DE6E676" w14:textId="2272F945" w:rsidR="00EF1278" w:rsidRPr="0009028A" w:rsidRDefault="00EF1278" w:rsidP="00677491">
            <w:pPr>
              <w:spacing w:after="0" w:line="240" w:lineRule="auto"/>
              <w:jc w:val="right"/>
              <w:rPr>
                <w:rFonts w:ascii="Arial" w:hAnsi="Arial" w:cs="Arial"/>
                <w:sz w:val="18"/>
                <w:szCs w:val="18"/>
              </w:rPr>
            </w:pPr>
            <w:r w:rsidRPr="0009028A">
              <w:rPr>
                <w:rFonts w:ascii="Arial" w:hAnsi="Arial" w:cs="Arial"/>
                <w:sz w:val="18"/>
                <w:szCs w:val="18"/>
              </w:rPr>
              <w:t>(910.127)</w:t>
            </w:r>
          </w:p>
        </w:tc>
        <w:tc>
          <w:tcPr>
            <w:tcW w:w="146" w:type="dxa"/>
            <w:vAlign w:val="center"/>
          </w:tcPr>
          <w:p w14:paraId="6BBBEE0E" w14:textId="77777777" w:rsidR="00EF1278" w:rsidRPr="0009028A" w:rsidRDefault="00EF1278" w:rsidP="00677491">
            <w:pPr>
              <w:spacing w:after="0" w:line="240" w:lineRule="auto"/>
              <w:jc w:val="right"/>
              <w:rPr>
                <w:rFonts w:ascii="Arial" w:hAnsi="Arial" w:cs="Arial"/>
                <w:sz w:val="18"/>
                <w:szCs w:val="18"/>
                <w:u w:val="single"/>
              </w:rPr>
            </w:pPr>
          </w:p>
        </w:tc>
        <w:tc>
          <w:tcPr>
            <w:tcW w:w="146" w:type="dxa"/>
          </w:tcPr>
          <w:p w14:paraId="51B33DB4" w14:textId="77777777" w:rsidR="00EF1278" w:rsidRPr="0009028A" w:rsidRDefault="00EF1278" w:rsidP="00677491">
            <w:pPr>
              <w:spacing w:after="0" w:line="240" w:lineRule="auto"/>
              <w:jc w:val="right"/>
              <w:rPr>
                <w:rFonts w:ascii="Arial" w:hAnsi="Arial" w:cs="Arial"/>
                <w:sz w:val="18"/>
                <w:szCs w:val="18"/>
              </w:rPr>
            </w:pPr>
          </w:p>
        </w:tc>
        <w:tc>
          <w:tcPr>
            <w:tcW w:w="1408" w:type="dxa"/>
            <w:tcBorders>
              <w:bottom w:val="single" w:sz="4" w:space="0" w:color="auto"/>
            </w:tcBorders>
            <w:shd w:val="clear" w:color="auto" w:fill="auto"/>
            <w:vAlign w:val="center"/>
          </w:tcPr>
          <w:p w14:paraId="2E24179B" w14:textId="521D863A" w:rsidR="00EF1278" w:rsidRPr="0009028A" w:rsidRDefault="00EF1278" w:rsidP="00677491">
            <w:pPr>
              <w:spacing w:after="0" w:line="240" w:lineRule="auto"/>
              <w:jc w:val="right"/>
              <w:rPr>
                <w:rFonts w:ascii="Arial" w:eastAsia="Times New Roman" w:hAnsi="Arial" w:cs="Arial"/>
                <w:sz w:val="18"/>
                <w:szCs w:val="18"/>
                <w:lang w:eastAsia="es-CO"/>
              </w:rPr>
            </w:pPr>
            <w:r w:rsidRPr="0009028A">
              <w:rPr>
                <w:rFonts w:ascii="Arial" w:hAnsi="Arial" w:cs="Arial"/>
                <w:sz w:val="18"/>
                <w:szCs w:val="18"/>
              </w:rPr>
              <w:t>(1.054.449)</w:t>
            </w:r>
          </w:p>
        </w:tc>
      </w:tr>
      <w:tr w:rsidR="00EF1278" w:rsidRPr="0009028A" w14:paraId="4CCE51C6" w14:textId="77777777" w:rsidTr="00EF1278">
        <w:trPr>
          <w:trHeight w:val="227"/>
        </w:trPr>
        <w:tc>
          <w:tcPr>
            <w:tcW w:w="6473" w:type="dxa"/>
            <w:shd w:val="clear" w:color="auto" w:fill="auto"/>
            <w:noWrap/>
            <w:vAlign w:val="center"/>
            <w:hideMark/>
          </w:tcPr>
          <w:p w14:paraId="5A45F8AC" w14:textId="77777777" w:rsidR="00EF1278" w:rsidRPr="0009028A" w:rsidRDefault="00EF1278" w:rsidP="00710F32">
            <w:pPr>
              <w:spacing w:after="0"/>
              <w:rPr>
                <w:rFonts w:ascii="Arial" w:hAnsi="Arial" w:cs="Arial"/>
                <w:b/>
                <w:bCs/>
                <w:sz w:val="18"/>
                <w:szCs w:val="18"/>
              </w:rPr>
            </w:pPr>
            <w:r w:rsidRPr="0009028A">
              <w:rPr>
                <w:rFonts w:ascii="Arial" w:hAnsi="Arial" w:cs="Arial"/>
                <w:b/>
                <w:bCs/>
                <w:sz w:val="18"/>
                <w:szCs w:val="18"/>
              </w:rPr>
              <w:t>Efectivo neto usado en las actividades de operación</w:t>
            </w:r>
          </w:p>
        </w:tc>
        <w:tc>
          <w:tcPr>
            <w:tcW w:w="240" w:type="dxa"/>
            <w:vAlign w:val="center"/>
          </w:tcPr>
          <w:p w14:paraId="4961D791" w14:textId="77777777" w:rsidR="00EF1278" w:rsidRPr="0009028A" w:rsidRDefault="00EF1278" w:rsidP="00677491">
            <w:pPr>
              <w:spacing w:after="0" w:line="240" w:lineRule="auto"/>
              <w:jc w:val="right"/>
              <w:rPr>
                <w:rFonts w:ascii="Arial" w:hAnsi="Arial" w:cs="Arial"/>
                <w:bCs/>
                <w:sz w:val="18"/>
                <w:szCs w:val="18"/>
              </w:rPr>
            </w:pPr>
            <w:r w:rsidRPr="0009028A">
              <w:rPr>
                <w:rFonts w:ascii="Arial" w:hAnsi="Arial" w:cs="Arial"/>
                <w:bCs/>
                <w:sz w:val="18"/>
                <w:szCs w:val="18"/>
              </w:rPr>
              <w:t>$</w:t>
            </w:r>
          </w:p>
        </w:tc>
        <w:tc>
          <w:tcPr>
            <w:tcW w:w="1508" w:type="dxa"/>
            <w:tcBorders>
              <w:top w:val="single" w:sz="4" w:space="0" w:color="auto"/>
              <w:bottom w:val="double" w:sz="4" w:space="0" w:color="auto"/>
            </w:tcBorders>
            <w:shd w:val="clear" w:color="auto" w:fill="auto"/>
            <w:vAlign w:val="center"/>
          </w:tcPr>
          <w:p w14:paraId="4997C3E5" w14:textId="6AAE710D" w:rsidR="00EF1278" w:rsidRPr="0009028A" w:rsidRDefault="00EF1278" w:rsidP="00677491">
            <w:pPr>
              <w:spacing w:after="0" w:line="240" w:lineRule="auto"/>
              <w:jc w:val="right"/>
              <w:rPr>
                <w:rFonts w:ascii="Arial" w:hAnsi="Arial" w:cs="Arial"/>
                <w:b/>
                <w:bCs/>
                <w:sz w:val="18"/>
                <w:szCs w:val="18"/>
              </w:rPr>
            </w:pPr>
            <w:r w:rsidRPr="0009028A">
              <w:rPr>
                <w:rFonts w:ascii="Arial" w:hAnsi="Arial" w:cs="Arial"/>
                <w:b/>
                <w:bCs/>
                <w:sz w:val="18"/>
                <w:szCs w:val="18"/>
              </w:rPr>
              <w:t>(30.554.626)</w:t>
            </w:r>
          </w:p>
        </w:tc>
        <w:tc>
          <w:tcPr>
            <w:tcW w:w="146" w:type="dxa"/>
            <w:vAlign w:val="center"/>
          </w:tcPr>
          <w:p w14:paraId="13C784A2" w14:textId="77777777" w:rsidR="00EF1278" w:rsidRPr="0009028A" w:rsidRDefault="00EF1278" w:rsidP="00677491">
            <w:pPr>
              <w:spacing w:after="0" w:line="240" w:lineRule="auto"/>
              <w:jc w:val="right"/>
              <w:rPr>
                <w:rFonts w:ascii="Arial" w:hAnsi="Arial" w:cs="Arial"/>
                <w:b/>
                <w:bCs/>
                <w:sz w:val="18"/>
                <w:szCs w:val="18"/>
                <w:u w:val="double"/>
              </w:rPr>
            </w:pPr>
          </w:p>
        </w:tc>
        <w:tc>
          <w:tcPr>
            <w:tcW w:w="146" w:type="dxa"/>
          </w:tcPr>
          <w:p w14:paraId="6101B9D1" w14:textId="77777777" w:rsidR="00EF1278" w:rsidRPr="0009028A" w:rsidRDefault="00EF1278" w:rsidP="00677491">
            <w:pPr>
              <w:spacing w:after="0" w:line="240" w:lineRule="auto"/>
              <w:jc w:val="right"/>
              <w:rPr>
                <w:rFonts w:ascii="Arial" w:hAnsi="Arial" w:cs="Arial"/>
                <w:b/>
                <w:bCs/>
                <w:sz w:val="18"/>
                <w:szCs w:val="18"/>
              </w:rPr>
            </w:pPr>
          </w:p>
        </w:tc>
        <w:tc>
          <w:tcPr>
            <w:tcW w:w="1408" w:type="dxa"/>
            <w:tcBorders>
              <w:top w:val="single" w:sz="4" w:space="0" w:color="auto"/>
              <w:bottom w:val="double" w:sz="4" w:space="0" w:color="auto"/>
            </w:tcBorders>
            <w:shd w:val="clear" w:color="auto" w:fill="auto"/>
            <w:vAlign w:val="center"/>
          </w:tcPr>
          <w:p w14:paraId="5E430972" w14:textId="64530C0A" w:rsidR="00EF1278" w:rsidRPr="0009028A" w:rsidRDefault="00EF1278" w:rsidP="00677491">
            <w:pPr>
              <w:spacing w:after="0" w:line="240" w:lineRule="auto"/>
              <w:jc w:val="right"/>
              <w:rPr>
                <w:rFonts w:ascii="Arial" w:hAnsi="Arial" w:cs="Arial"/>
                <w:b/>
                <w:bCs/>
                <w:sz w:val="18"/>
                <w:szCs w:val="18"/>
              </w:rPr>
            </w:pPr>
            <w:r w:rsidRPr="0009028A">
              <w:rPr>
                <w:rFonts w:ascii="Arial" w:hAnsi="Arial" w:cs="Arial"/>
                <w:b/>
                <w:bCs/>
                <w:sz w:val="18"/>
                <w:szCs w:val="18"/>
              </w:rPr>
              <w:t>(17.714.928)</w:t>
            </w:r>
          </w:p>
        </w:tc>
      </w:tr>
    </w:tbl>
    <w:p w14:paraId="22240055" w14:textId="77777777" w:rsidR="00C21888" w:rsidRPr="0009028A" w:rsidRDefault="00C21888" w:rsidP="00C21888">
      <w:pPr>
        <w:spacing w:after="0" w:line="275" w:lineRule="auto"/>
        <w:ind w:right="4096"/>
        <w:rPr>
          <w:rFonts w:ascii="Arial" w:eastAsia="Arial" w:hAnsi="Arial" w:cs="Arial"/>
          <w:b/>
          <w:spacing w:val="-1"/>
          <w:sz w:val="20"/>
          <w:szCs w:val="20"/>
        </w:rPr>
      </w:pPr>
    </w:p>
    <w:p w14:paraId="5A2D89D4" w14:textId="77777777" w:rsidR="00C21888" w:rsidRPr="0009028A" w:rsidRDefault="00C21888" w:rsidP="00C21888">
      <w:pPr>
        <w:spacing w:after="0" w:line="275" w:lineRule="auto"/>
        <w:ind w:right="4096"/>
        <w:rPr>
          <w:rFonts w:ascii="Arial" w:eastAsia="Arial" w:hAnsi="Arial" w:cs="Arial"/>
          <w:b/>
          <w:spacing w:val="-1"/>
          <w:sz w:val="20"/>
          <w:szCs w:val="20"/>
        </w:rPr>
      </w:pPr>
    </w:p>
    <w:p w14:paraId="3FDE9626" w14:textId="77777777" w:rsidR="00DA182B" w:rsidRPr="0009028A" w:rsidRDefault="00DA182B" w:rsidP="00525587">
      <w:pPr>
        <w:rPr>
          <w:rFonts w:ascii="Arial" w:hAnsi="Arial" w:cs="Arial"/>
        </w:rPr>
      </w:pPr>
      <w:r w:rsidRPr="0009028A">
        <w:rPr>
          <w:rFonts w:ascii="Arial" w:hAnsi="Arial" w:cs="Arial"/>
        </w:rPr>
        <w:br w:type="page"/>
      </w:r>
    </w:p>
    <w:p w14:paraId="59330A51" w14:textId="77777777" w:rsidR="00DE66EF" w:rsidRPr="0009028A" w:rsidRDefault="00212ED7" w:rsidP="00DE66EF">
      <w:pPr>
        <w:spacing w:after="0" w:line="275" w:lineRule="auto"/>
        <w:ind w:right="4096"/>
        <w:rPr>
          <w:rFonts w:ascii="Arial" w:hAnsi="Arial" w:cs="Arial"/>
          <w:color w:val="0C2D66"/>
          <w:sz w:val="36"/>
          <w:szCs w:val="36"/>
        </w:rPr>
      </w:pPr>
      <w:r w:rsidRPr="0009028A">
        <w:rPr>
          <w:rFonts w:ascii="Arial" w:hAnsi="Arial" w:cs="Arial"/>
          <w:color w:val="0C2D66"/>
          <w:sz w:val="36"/>
          <w:szCs w:val="36"/>
        </w:rPr>
        <w:t>Odinsa</w:t>
      </w:r>
      <w:r w:rsidR="00DE66EF" w:rsidRPr="0009028A">
        <w:rPr>
          <w:rFonts w:ascii="Arial" w:hAnsi="Arial" w:cs="Arial"/>
          <w:color w:val="0C2D66"/>
          <w:sz w:val="36"/>
          <w:szCs w:val="36"/>
        </w:rPr>
        <w:t xml:space="preserve"> S.A. </w:t>
      </w:r>
    </w:p>
    <w:p w14:paraId="1EB513BD" w14:textId="77777777" w:rsidR="002D178D" w:rsidRPr="0009028A" w:rsidRDefault="002D178D" w:rsidP="002D178D">
      <w:pPr>
        <w:pStyle w:val="Ttulo1"/>
        <w:spacing w:after="0"/>
      </w:pPr>
      <w:r w:rsidRPr="0009028A">
        <w:t xml:space="preserve">Estados intermedios condensados separados de flujos de efectivo </w:t>
      </w:r>
    </w:p>
    <w:p w14:paraId="589AA970" w14:textId="7BFF402E" w:rsidR="00A441BF" w:rsidRPr="0009028A" w:rsidRDefault="00A441BF" w:rsidP="00A441BF">
      <w:pPr>
        <w:spacing w:after="0"/>
        <w:rPr>
          <w:rFonts w:ascii="Arial" w:hAnsi="Arial" w:cs="Arial"/>
          <w:sz w:val="20"/>
          <w:szCs w:val="20"/>
        </w:rPr>
      </w:pPr>
      <w:r w:rsidRPr="0009028A">
        <w:rPr>
          <w:rFonts w:ascii="Arial" w:hAnsi="Arial" w:cs="Arial"/>
          <w:sz w:val="20"/>
          <w:szCs w:val="20"/>
        </w:rPr>
        <w:t>Por el</w:t>
      </w:r>
      <w:r w:rsidR="002D178D">
        <w:rPr>
          <w:rFonts w:ascii="Arial" w:hAnsi="Arial" w:cs="Arial"/>
          <w:sz w:val="20"/>
          <w:szCs w:val="20"/>
        </w:rPr>
        <w:t xml:space="preserve"> período de tres meses que terminó el 31 de marzo de </w:t>
      </w:r>
      <w:r w:rsidRPr="0009028A">
        <w:rPr>
          <w:rFonts w:ascii="Arial" w:hAnsi="Arial" w:cs="Arial"/>
          <w:sz w:val="20"/>
          <w:szCs w:val="20"/>
        </w:rPr>
        <w:t>2019</w:t>
      </w:r>
    </w:p>
    <w:p w14:paraId="406325A6" w14:textId="77777777" w:rsidR="00A441BF" w:rsidRPr="0009028A" w:rsidRDefault="00A441BF" w:rsidP="00A441BF">
      <w:pPr>
        <w:spacing w:after="0"/>
        <w:rPr>
          <w:rFonts w:ascii="Arial" w:hAnsi="Arial" w:cs="Arial"/>
          <w:sz w:val="20"/>
          <w:szCs w:val="20"/>
        </w:rPr>
      </w:pPr>
      <w:r w:rsidRPr="0009028A">
        <w:rPr>
          <w:rFonts w:ascii="Arial" w:hAnsi="Arial" w:cs="Arial"/>
          <w:sz w:val="20"/>
          <w:szCs w:val="20"/>
        </w:rPr>
        <w:t>(Expresados en miles de pesos</w:t>
      </w:r>
      <w:r w:rsidR="00C82E26" w:rsidRPr="0009028A">
        <w:rPr>
          <w:rFonts w:ascii="Arial" w:hAnsi="Arial" w:cs="Arial"/>
          <w:sz w:val="20"/>
          <w:szCs w:val="20"/>
        </w:rPr>
        <w:t xml:space="preserve"> Colombianos</w:t>
      </w:r>
      <w:r w:rsidRPr="0009028A">
        <w:rPr>
          <w:rFonts w:ascii="Arial" w:hAnsi="Arial" w:cs="Arial"/>
          <w:sz w:val="20"/>
          <w:szCs w:val="20"/>
        </w:rPr>
        <w:t>)</w:t>
      </w:r>
    </w:p>
    <w:p w14:paraId="36A823BA" w14:textId="77777777" w:rsidR="00210C5C" w:rsidRPr="0009028A" w:rsidRDefault="00210C5C" w:rsidP="00C21888">
      <w:pPr>
        <w:spacing w:after="0" w:line="275" w:lineRule="auto"/>
        <w:ind w:right="4096"/>
        <w:rPr>
          <w:rFonts w:ascii="Arial" w:eastAsia="Arial" w:hAnsi="Arial" w:cs="Arial"/>
          <w:b/>
          <w:spacing w:val="-1"/>
          <w:sz w:val="20"/>
          <w:szCs w:val="20"/>
        </w:rPr>
      </w:pPr>
    </w:p>
    <w:tbl>
      <w:tblPr>
        <w:tblW w:w="9884" w:type="dxa"/>
        <w:tblCellMar>
          <w:left w:w="70" w:type="dxa"/>
          <w:right w:w="70" w:type="dxa"/>
        </w:tblCellMar>
        <w:tblLook w:val="04A0" w:firstRow="1" w:lastRow="0" w:firstColumn="1" w:lastColumn="0" w:noHBand="0" w:noVBand="1"/>
      </w:tblPr>
      <w:tblGrid>
        <w:gridCol w:w="6521"/>
        <w:gridCol w:w="246"/>
        <w:gridCol w:w="1417"/>
        <w:gridCol w:w="283"/>
        <w:gridCol w:w="1417"/>
      </w:tblGrid>
      <w:tr w:rsidR="00677491" w:rsidRPr="0009028A" w14:paraId="0BE2064E" w14:textId="77777777" w:rsidTr="00677491">
        <w:trPr>
          <w:trHeight w:val="227"/>
        </w:trPr>
        <w:tc>
          <w:tcPr>
            <w:tcW w:w="6521" w:type="dxa"/>
            <w:shd w:val="clear" w:color="auto" w:fill="auto"/>
            <w:vAlign w:val="center"/>
            <w:hideMark/>
          </w:tcPr>
          <w:p w14:paraId="6B6F68EA" w14:textId="3AEB6F16" w:rsidR="00677491" w:rsidRPr="0009028A" w:rsidRDefault="00677491" w:rsidP="00677491">
            <w:pPr>
              <w:spacing w:after="0" w:line="240" w:lineRule="auto"/>
              <w:jc w:val="center"/>
              <w:rPr>
                <w:rFonts w:ascii="Arial" w:eastAsia="Times New Roman" w:hAnsi="Arial" w:cs="Arial"/>
                <w:b/>
                <w:bCs/>
                <w:sz w:val="18"/>
                <w:szCs w:val="18"/>
                <w:lang w:eastAsia="es-CO"/>
              </w:rPr>
            </w:pPr>
          </w:p>
        </w:tc>
        <w:tc>
          <w:tcPr>
            <w:tcW w:w="246" w:type="dxa"/>
            <w:vAlign w:val="center"/>
          </w:tcPr>
          <w:p w14:paraId="2C18CAC0" w14:textId="77777777" w:rsidR="00677491" w:rsidRPr="0009028A" w:rsidRDefault="00677491" w:rsidP="00677491">
            <w:pPr>
              <w:spacing w:after="0" w:line="240" w:lineRule="auto"/>
              <w:jc w:val="center"/>
              <w:rPr>
                <w:rFonts w:ascii="Arial" w:eastAsia="Times New Roman" w:hAnsi="Arial" w:cs="Arial"/>
                <w:b/>
                <w:bCs/>
                <w:sz w:val="18"/>
                <w:szCs w:val="18"/>
                <w:lang w:eastAsia="es-CO"/>
              </w:rPr>
            </w:pPr>
          </w:p>
        </w:tc>
        <w:tc>
          <w:tcPr>
            <w:tcW w:w="1417" w:type="dxa"/>
            <w:shd w:val="clear" w:color="auto" w:fill="auto"/>
            <w:noWrap/>
            <w:vAlign w:val="center"/>
            <w:hideMark/>
          </w:tcPr>
          <w:p w14:paraId="4E26F766" w14:textId="77777777" w:rsidR="00677491" w:rsidRPr="0009028A" w:rsidRDefault="00677491" w:rsidP="00677491">
            <w:pPr>
              <w:spacing w:after="0" w:line="240" w:lineRule="auto"/>
              <w:jc w:val="center"/>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2019</w:t>
            </w:r>
          </w:p>
        </w:tc>
        <w:tc>
          <w:tcPr>
            <w:tcW w:w="283" w:type="dxa"/>
            <w:vAlign w:val="center"/>
          </w:tcPr>
          <w:p w14:paraId="204D1E83" w14:textId="77777777" w:rsidR="00677491" w:rsidRPr="0009028A" w:rsidRDefault="00677491" w:rsidP="00677491">
            <w:pPr>
              <w:spacing w:after="0" w:line="240" w:lineRule="auto"/>
              <w:jc w:val="center"/>
              <w:rPr>
                <w:rFonts w:ascii="Arial" w:eastAsia="Times New Roman" w:hAnsi="Arial" w:cs="Arial"/>
                <w:b/>
                <w:bCs/>
                <w:sz w:val="18"/>
                <w:szCs w:val="18"/>
                <w:lang w:eastAsia="es-CO"/>
              </w:rPr>
            </w:pPr>
          </w:p>
        </w:tc>
        <w:tc>
          <w:tcPr>
            <w:tcW w:w="1417" w:type="dxa"/>
            <w:shd w:val="clear" w:color="auto" w:fill="auto"/>
            <w:noWrap/>
            <w:vAlign w:val="center"/>
            <w:hideMark/>
          </w:tcPr>
          <w:p w14:paraId="47EDE11E" w14:textId="770545A1" w:rsidR="00677491" w:rsidRPr="0009028A" w:rsidRDefault="00677491" w:rsidP="00677491">
            <w:pPr>
              <w:spacing w:after="0" w:line="240" w:lineRule="auto"/>
              <w:jc w:val="center"/>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2018</w:t>
            </w:r>
          </w:p>
        </w:tc>
      </w:tr>
      <w:tr w:rsidR="00677491" w:rsidRPr="0009028A" w14:paraId="55137424" w14:textId="77777777" w:rsidTr="00677491">
        <w:trPr>
          <w:trHeight w:val="227"/>
        </w:trPr>
        <w:tc>
          <w:tcPr>
            <w:tcW w:w="6521" w:type="dxa"/>
            <w:shd w:val="clear" w:color="auto" w:fill="auto"/>
            <w:noWrap/>
            <w:vAlign w:val="center"/>
            <w:hideMark/>
          </w:tcPr>
          <w:p w14:paraId="79189FF8" w14:textId="77777777" w:rsidR="00677491" w:rsidRPr="0009028A" w:rsidRDefault="00677491" w:rsidP="00677491">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Flujos de efectivo por las actividades de inversión</w:t>
            </w:r>
          </w:p>
        </w:tc>
        <w:tc>
          <w:tcPr>
            <w:tcW w:w="246" w:type="dxa"/>
            <w:vAlign w:val="center"/>
          </w:tcPr>
          <w:p w14:paraId="40BDF1CB" w14:textId="77777777" w:rsidR="00677491" w:rsidRPr="0009028A" w:rsidRDefault="00677491" w:rsidP="00677491">
            <w:pPr>
              <w:spacing w:after="0" w:line="240" w:lineRule="auto"/>
              <w:ind w:left="-296"/>
              <w:jc w:val="right"/>
              <w:rPr>
                <w:rFonts w:ascii="Arial" w:eastAsia="Times New Roman" w:hAnsi="Arial" w:cs="Arial"/>
                <w:b/>
                <w:bCs/>
                <w:sz w:val="18"/>
                <w:szCs w:val="18"/>
                <w:lang w:eastAsia="es-CO"/>
              </w:rPr>
            </w:pPr>
          </w:p>
        </w:tc>
        <w:tc>
          <w:tcPr>
            <w:tcW w:w="1417" w:type="dxa"/>
            <w:shd w:val="clear" w:color="auto" w:fill="auto"/>
            <w:vAlign w:val="center"/>
            <w:hideMark/>
          </w:tcPr>
          <w:p w14:paraId="51F1C699" w14:textId="1830230A" w:rsidR="00677491" w:rsidRPr="0009028A" w:rsidRDefault="00677491" w:rsidP="00677491">
            <w:pPr>
              <w:spacing w:after="0" w:line="240" w:lineRule="auto"/>
              <w:ind w:left="-296"/>
              <w:jc w:val="right"/>
              <w:rPr>
                <w:rFonts w:ascii="Arial" w:eastAsia="Times New Roman" w:hAnsi="Arial" w:cs="Arial"/>
                <w:b/>
                <w:bCs/>
                <w:sz w:val="18"/>
                <w:szCs w:val="18"/>
                <w:lang w:eastAsia="es-CO"/>
              </w:rPr>
            </w:pPr>
          </w:p>
        </w:tc>
        <w:tc>
          <w:tcPr>
            <w:tcW w:w="283" w:type="dxa"/>
            <w:vAlign w:val="center"/>
          </w:tcPr>
          <w:p w14:paraId="71C839B4" w14:textId="77777777" w:rsidR="00677491" w:rsidRPr="0009028A" w:rsidRDefault="00677491" w:rsidP="00677491">
            <w:pPr>
              <w:spacing w:after="0" w:line="240" w:lineRule="auto"/>
              <w:jc w:val="right"/>
              <w:rPr>
                <w:rFonts w:ascii="Arial" w:eastAsia="Times New Roman" w:hAnsi="Arial" w:cs="Arial"/>
                <w:sz w:val="18"/>
                <w:szCs w:val="18"/>
                <w:lang w:eastAsia="es-CO"/>
              </w:rPr>
            </w:pPr>
          </w:p>
        </w:tc>
        <w:tc>
          <w:tcPr>
            <w:tcW w:w="1417" w:type="dxa"/>
            <w:shd w:val="clear" w:color="auto" w:fill="auto"/>
            <w:vAlign w:val="center"/>
            <w:hideMark/>
          </w:tcPr>
          <w:p w14:paraId="435CAADB" w14:textId="49984628" w:rsidR="00677491" w:rsidRPr="0009028A" w:rsidRDefault="00677491" w:rsidP="00677491">
            <w:pPr>
              <w:spacing w:after="0" w:line="240" w:lineRule="auto"/>
              <w:jc w:val="right"/>
              <w:rPr>
                <w:rFonts w:ascii="Arial" w:eastAsia="Times New Roman" w:hAnsi="Arial" w:cs="Arial"/>
                <w:sz w:val="18"/>
                <w:szCs w:val="18"/>
                <w:lang w:eastAsia="es-CO"/>
              </w:rPr>
            </w:pPr>
          </w:p>
        </w:tc>
      </w:tr>
      <w:tr w:rsidR="00677491" w:rsidRPr="0009028A" w14:paraId="59104639" w14:textId="77777777" w:rsidTr="00677491">
        <w:trPr>
          <w:trHeight w:val="227"/>
        </w:trPr>
        <w:tc>
          <w:tcPr>
            <w:tcW w:w="6521" w:type="dxa"/>
            <w:shd w:val="clear" w:color="auto" w:fill="auto"/>
            <w:noWrap/>
            <w:vAlign w:val="center"/>
            <w:hideMark/>
          </w:tcPr>
          <w:p w14:paraId="26E5251C" w14:textId="77777777" w:rsidR="00677491" w:rsidRPr="0009028A" w:rsidRDefault="00677491" w:rsidP="00677491">
            <w:pPr>
              <w:spacing w:after="0" w:line="240" w:lineRule="auto"/>
              <w:rPr>
                <w:rFonts w:ascii="Arial" w:eastAsia="Times New Roman" w:hAnsi="Arial" w:cs="Arial"/>
                <w:sz w:val="18"/>
                <w:szCs w:val="18"/>
                <w:lang w:eastAsia="es-CO"/>
              </w:rPr>
            </w:pPr>
            <w:r w:rsidRPr="0009028A">
              <w:rPr>
                <w:rFonts w:ascii="Arial" w:hAnsi="Arial" w:cs="Arial"/>
                <w:sz w:val="18"/>
                <w:szCs w:val="18"/>
              </w:rPr>
              <w:t>Adquisición de propiedades, planta y equipo</w:t>
            </w:r>
          </w:p>
        </w:tc>
        <w:tc>
          <w:tcPr>
            <w:tcW w:w="246" w:type="dxa"/>
            <w:vAlign w:val="center"/>
          </w:tcPr>
          <w:p w14:paraId="3FCD6BDA" w14:textId="77777777" w:rsidR="00677491" w:rsidRPr="0009028A" w:rsidRDefault="00677491" w:rsidP="00677491">
            <w:pPr>
              <w:spacing w:after="0" w:line="240" w:lineRule="auto"/>
              <w:jc w:val="right"/>
              <w:rPr>
                <w:rFonts w:ascii="Arial" w:hAnsi="Arial" w:cs="Arial"/>
                <w:sz w:val="18"/>
                <w:szCs w:val="16"/>
              </w:rPr>
            </w:pPr>
          </w:p>
        </w:tc>
        <w:tc>
          <w:tcPr>
            <w:tcW w:w="1417" w:type="dxa"/>
            <w:shd w:val="clear" w:color="auto" w:fill="auto"/>
            <w:vAlign w:val="center"/>
          </w:tcPr>
          <w:p w14:paraId="46AF6B61" w14:textId="3FCA2E0E" w:rsidR="00677491" w:rsidRPr="0009028A" w:rsidRDefault="00677491" w:rsidP="00677491">
            <w:pPr>
              <w:spacing w:after="0" w:line="240" w:lineRule="auto"/>
              <w:jc w:val="right"/>
              <w:rPr>
                <w:rFonts w:ascii="Arial" w:hAnsi="Arial" w:cs="Arial"/>
                <w:sz w:val="18"/>
                <w:szCs w:val="16"/>
              </w:rPr>
            </w:pPr>
            <w:r w:rsidRPr="0009028A">
              <w:rPr>
                <w:rFonts w:ascii="Arial" w:hAnsi="Arial" w:cs="Arial"/>
                <w:sz w:val="18"/>
                <w:szCs w:val="16"/>
              </w:rPr>
              <w:t>(14.071)</w:t>
            </w:r>
          </w:p>
        </w:tc>
        <w:tc>
          <w:tcPr>
            <w:tcW w:w="283" w:type="dxa"/>
            <w:vAlign w:val="center"/>
          </w:tcPr>
          <w:p w14:paraId="176D0905" w14:textId="77777777" w:rsidR="00677491" w:rsidRPr="0009028A" w:rsidRDefault="00677491" w:rsidP="00677491">
            <w:pPr>
              <w:spacing w:after="0" w:line="240" w:lineRule="auto"/>
              <w:jc w:val="right"/>
              <w:rPr>
                <w:rFonts w:ascii="Arial" w:hAnsi="Arial" w:cs="Arial"/>
                <w:sz w:val="18"/>
                <w:szCs w:val="16"/>
              </w:rPr>
            </w:pPr>
          </w:p>
        </w:tc>
        <w:tc>
          <w:tcPr>
            <w:tcW w:w="1417" w:type="dxa"/>
            <w:shd w:val="clear" w:color="auto" w:fill="auto"/>
            <w:vAlign w:val="center"/>
          </w:tcPr>
          <w:p w14:paraId="52B73244" w14:textId="295AB20B" w:rsidR="00677491" w:rsidRPr="0009028A" w:rsidRDefault="00677491" w:rsidP="00677491">
            <w:pPr>
              <w:spacing w:after="0" w:line="240" w:lineRule="auto"/>
              <w:jc w:val="right"/>
              <w:rPr>
                <w:rFonts w:ascii="Arial" w:hAnsi="Arial" w:cs="Arial"/>
                <w:sz w:val="18"/>
                <w:szCs w:val="16"/>
              </w:rPr>
            </w:pPr>
            <w:r w:rsidRPr="0009028A">
              <w:rPr>
                <w:rFonts w:ascii="Arial" w:hAnsi="Arial" w:cs="Arial"/>
                <w:sz w:val="18"/>
                <w:szCs w:val="16"/>
              </w:rPr>
              <w:t>(3.245.737)</w:t>
            </w:r>
          </w:p>
        </w:tc>
      </w:tr>
      <w:tr w:rsidR="00677491" w:rsidRPr="0009028A" w14:paraId="7C53267F" w14:textId="77777777" w:rsidTr="00677491">
        <w:trPr>
          <w:trHeight w:val="227"/>
        </w:trPr>
        <w:tc>
          <w:tcPr>
            <w:tcW w:w="6521" w:type="dxa"/>
            <w:shd w:val="clear" w:color="auto" w:fill="auto"/>
            <w:noWrap/>
            <w:vAlign w:val="center"/>
          </w:tcPr>
          <w:p w14:paraId="10713E46" w14:textId="77777777" w:rsidR="00677491" w:rsidRPr="0009028A" w:rsidRDefault="00677491" w:rsidP="00677491">
            <w:pPr>
              <w:spacing w:after="0" w:line="240" w:lineRule="auto"/>
              <w:rPr>
                <w:rFonts w:ascii="Arial" w:hAnsi="Arial" w:cs="Arial"/>
                <w:sz w:val="18"/>
                <w:szCs w:val="18"/>
              </w:rPr>
            </w:pPr>
            <w:r w:rsidRPr="0009028A">
              <w:rPr>
                <w:rFonts w:ascii="Arial" w:hAnsi="Arial" w:cs="Arial"/>
                <w:sz w:val="18"/>
                <w:szCs w:val="18"/>
              </w:rPr>
              <w:t>Dividendos recibidos de las asociadas y negocios conjuntos</w:t>
            </w:r>
          </w:p>
        </w:tc>
        <w:tc>
          <w:tcPr>
            <w:tcW w:w="246" w:type="dxa"/>
            <w:vAlign w:val="center"/>
          </w:tcPr>
          <w:p w14:paraId="636ECBBC" w14:textId="77777777" w:rsidR="00677491" w:rsidRPr="0009028A" w:rsidRDefault="00677491" w:rsidP="00677491">
            <w:pPr>
              <w:spacing w:after="0" w:line="240" w:lineRule="auto"/>
              <w:jc w:val="right"/>
              <w:rPr>
                <w:rFonts w:ascii="Arial" w:hAnsi="Arial" w:cs="Arial"/>
                <w:sz w:val="18"/>
                <w:szCs w:val="16"/>
              </w:rPr>
            </w:pPr>
          </w:p>
        </w:tc>
        <w:tc>
          <w:tcPr>
            <w:tcW w:w="1417" w:type="dxa"/>
            <w:shd w:val="clear" w:color="auto" w:fill="auto"/>
            <w:vAlign w:val="center"/>
          </w:tcPr>
          <w:p w14:paraId="2C8AD001" w14:textId="4563BF94" w:rsidR="00677491" w:rsidRPr="0009028A" w:rsidRDefault="003E2F57" w:rsidP="00677491">
            <w:pPr>
              <w:spacing w:after="0" w:line="240" w:lineRule="auto"/>
              <w:jc w:val="right"/>
              <w:rPr>
                <w:rFonts w:ascii="Arial" w:hAnsi="Arial" w:cs="Arial"/>
                <w:sz w:val="18"/>
                <w:szCs w:val="16"/>
              </w:rPr>
            </w:pPr>
            <w:r w:rsidRPr="0009028A">
              <w:rPr>
                <w:rFonts w:ascii="Arial" w:hAnsi="Arial" w:cs="Arial"/>
                <w:sz w:val="18"/>
                <w:szCs w:val="16"/>
              </w:rPr>
              <w:t>26.542.042</w:t>
            </w:r>
          </w:p>
        </w:tc>
        <w:tc>
          <w:tcPr>
            <w:tcW w:w="283" w:type="dxa"/>
            <w:vAlign w:val="center"/>
          </w:tcPr>
          <w:p w14:paraId="0A9E37CA" w14:textId="77777777" w:rsidR="00677491" w:rsidRPr="0009028A" w:rsidRDefault="00677491" w:rsidP="00677491">
            <w:pPr>
              <w:spacing w:after="0" w:line="240" w:lineRule="auto"/>
              <w:jc w:val="right"/>
              <w:rPr>
                <w:rFonts w:ascii="Arial" w:hAnsi="Arial" w:cs="Arial"/>
                <w:sz w:val="18"/>
                <w:szCs w:val="16"/>
              </w:rPr>
            </w:pPr>
          </w:p>
        </w:tc>
        <w:tc>
          <w:tcPr>
            <w:tcW w:w="1417" w:type="dxa"/>
            <w:shd w:val="clear" w:color="auto" w:fill="auto"/>
            <w:vAlign w:val="center"/>
          </w:tcPr>
          <w:p w14:paraId="645A6EA2" w14:textId="4CFFC10F" w:rsidR="00677491" w:rsidRPr="0009028A" w:rsidRDefault="00677491" w:rsidP="00677491">
            <w:pPr>
              <w:spacing w:after="0" w:line="240" w:lineRule="auto"/>
              <w:jc w:val="right"/>
              <w:rPr>
                <w:rFonts w:ascii="Arial" w:hAnsi="Arial" w:cs="Arial"/>
                <w:sz w:val="18"/>
                <w:szCs w:val="16"/>
              </w:rPr>
            </w:pPr>
            <w:r w:rsidRPr="0009028A">
              <w:rPr>
                <w:rFonts w:ascii="Arial" w:hAnsi="Arial" w:cs="Arial"/>
                <w:sz w:val="18"/>
                <w:szCs w:val="16"/>
              </w:rPr>
              <w:t>17.630.432</w:t>
            </w:r>
          </w:p>
        </w:tc>
      </w:tr>
      <w:tr w:rsidR="00677491" w:rsidRPr="0009028A" w14:paraId="07D56855" w14:textId="77777777" w:rsidTr="00677491">
        <w:trPr>
          <w:trHeight w:val="227"/>
        </w:trPr>
        <w:tc>
          <w:tcPr>
            <w:tcW w:w="6521" w:type="dxa"/>
            <w:shd w:val="clear" w:color="auto" w:fill="auto"/>
            <w:noWrap/>
            <w:vAlign w:val="center"/>
            <w:hideMark/>
          </w:tcPr>
          <w:p w14:paraId="1CF8DAB0" w14:textId="77777777" w:rsidR="00677491" w:rsidRPr="0009028A" w:rsidRDefault="00677491" w:rsidP="00677491">
            <w:pPr>
              <w:spacing w:after="0" w:line="240" w:lineRule="auto"/>
              <w:rPr>
                <w:rFonts w:ascii="Arial" w:eastAsia="Times New Roman" w:hAnsi="Arial" w:cs="Arial"/>
                <w:sz w:val="18"/>
                <w:szCs w:val="18"/>
                <w:lang w:eastAsia="es-CO"/>
              </w:rPr>
            </w:pPr>
            <w:r w:rsidRPr="0009028A">
              <w:rPr>
                <w:rFonts w:ascii="Arial" w:hAnsi="Arial" w:cs="Arial"/>
                <w:sz w:val="18"/>
                <w:szCs w:val="18"/>
              </w:rPr>
              <w:t>Adquisición de activos intangibles</w:t>
            </w:r>
          </w:p>
        </w:tc>
        <w:tc>
          <w:tcPr>
            <w:tcW w:w="246" w:type="dxa"/>
            <w:vAlign w:val="center"/>
          </w:tcPr>
          <w:p w14:paraId="11EA51DB" w14:textId="77777777" w:rsidR="00677491" w:rsidRPr="0009028A" w:rsidRDefault="00677491" w:rsidP="00677491">
            <w:pPr>
              <w:spacing w:after="0" w:line="240" w:lineRule="auto"/>
              <w:jc w:val="right"/>
              <w:rPr>
                <w:rFonts w:ascii="Arial" w:hAnsi="Arial" w:cs="Arial"/>
                <w:sz w:val="18"/>
                <w:szCs w:val="16"/>
              </w:rPr>
            </w:pPr>
          </w:p>
        </w:tc>
        <w:tc>
          <w:tcPr>
            <w:tcW w:w="1417" w:type="dxa"/>
            <w:shd w:val="clear" w:color="auto" w:fill="auto"/>
            <w:vAlign w:val="center"/>
          </w:tcPr>
          <w:p w14:paraId="6552EFB6" w14:textId="2D3C0A2E" w:rsidR="00677491" w:rsidRPr="0009028A" w:rsidRDefault="00677491" w:rsidP="00677491">
            <w:pPr>
              <w:spacing w:after="0" w:line="240" w:lineRule="auto"/>
              <w:jc w:val="right"/>
              <w:rPr>
                <w:rFonts w:ascii="Arial" w:hAnsi="Arial" w:cs="Arial"/>
                <w:sz w:val="18"/>
                <w:szCs w:val="16"/>
              </w:rPr>
            </w:pPr>
            <w:r w:rsidRPr="0009028A">
              <w:rPr>
                <w:rFonts w:ascii="Arial" w:hAnsi="Arial" w:cs="Arial"/>
                <w:sz w:val="18"/>
                <w:szCs w:val="16"/>
              </w:rPr>
              <w:t>(2.687.382)</w:t>
            </w:r>
          </w:p>
        </w:tc>
        <w:tc>
          <w:tcPr>
            <w:tcW w:w="283" w:type="dxa"/>
            <w:vAlign w:val="center"/>
          </w:tcPr>
          <w:p w14:paraId="0AD814CB" w14:textId="77777777" w:rsidR="00677491" w:rsidRPr="0009028A" w:rsidRDefault="00677491" w:rsidP="00677491">
            <w:pPr>
              <w:spacing w:after="0" w:line="240" w:lineRule="auto"/>
              <w:jc w:val="right"/>
              <w:rPr>
                <w:rFonts w:ascii="Arial" w:hAnsi="Arial" w:cs="Arial"/>
                <w:sz w:val="18"/>
                <w:szCs w:val="16"/>
              </w:rPr>
            </w:pPr>
          </w:p>
        </w:tc>
        <w:tc>
          <w:tcPr>
            <w:tcW w:w="1417" w:type="dxa"/>
            <w:shd w:val="clear" w:color="auto" w:fill="auto"/>
            <w:vAlign w:val="center"/>
          </w:tcPr>
          <w:p w14:paraId="39C2F8F4" w14:textId="72CF03F7" w:rsidR="00677491" w:rsidRPr="0009028A" w:rsidRDefault="00677491" w:rsidP="00677491">
            <w:pPr>
              <w:spacing w:after="0" w:line="240" w:lineRule="auto"/>
              <w:jc w:val="right"/>
              <w:rPr>
                <w:rFonts w:ascii="Arial" w:hAnsi="Arial" w:cs="Arial"/>
                <w:sz w:val="18"/>
                <w:szCs w:val="16"/>
              </w:rPr>
            </w:pPr>
            <w:r w:rsidRPr="0009028A">
              <w:rPr>
                <w:rFonts w:ascii="Arial" w:hAnsi="Arial" w:cs="Arial"/>
                <w:sz w:val="18"/>
                <w:szCs w:val="16"/>
              </w:rPr>
              <w:t>(1.323.210)</w:t>
            </w:r>
          </w:p>
        </w:tc>
      </w:tr>
      <w:tr w:rsidR="00677491" w:rsidRPr="0009028A" w14:paraId="49894D29" w14:textId="77777777" w:rsidTr="00677491">
        <w:trPr>
          <w:trHeight w:val="227"/>
        </w:trPr>
        <w:tc>
          <w:tcPr>
            <w:tcW w:w="6521" w:type="dxa"/>
            <w:shd w:val="clear" w:color="auto" w:fill="auto"/>
            <w:noWrap/>
            <w:vAlign w:val="center"/>
          </w:tcPr>
          <w:p w14:paraId="7A049111" w14:textId="77777777" w:rsidR="00677491" w:rsidRPr="0009028A" w:rsidRDefault="00677491" w:rsidP="00677491">
            <w:pPr>
              <w:spacing w:after="0" w:line="240" w:lineRule="auto"/>
              <w:rPr>
                <w:rFonts w:ascii="Arial" w:hAnsi="Arial" w:cs="Arial"/>
                <w:sz w:val="18"/>
                <w:szCs w:val="18"/>
              </w:rPr>
            </w:pPr>
            <w:r w:rsidRPr="0009028A">
              <w:rPr>
                <w:rFonts w:ascii="Arial" w:hAnsi="Arial" w:cs="Arial"/>
                <w:sz w:val="18"/>
                <w:szCs w:val="18"/>
              </w:rPr>
              <w:t>Adquisición de participaciones en asociadas y negocios conjuntos</w:t>
            </w:r>
          </w:p>
        </w:tc>
        <w:tc>
          <w:tcPr>
            <w:tcW w:w="246" w:type="dxa"/>
            <w:vAlign w:val="center"/>
          </w:tcPr>
          <w:p w14:paraId="1C3E2DD7" w14:textId="77777777" w:rsidR="00677491" w:rsidRPr="0009028A" w:rsidRDefault="00677491" w:rsidP="00677491">
            <w:pPr>
              <w:spacing w:after="0" w:line="240" w:lineRule="auto"/>
              <w:jc w:val="right"/>
              <w:rPr>
                <w:rFonts w:ascii="Arial" w:hAnsi="Arial" w:cs="Arial"/>
                <w:sz w:val="18"/>
                <w:szCs w:val="16"/>
              </w:rPr>
            </w:pPr>
          </w:p>
        </w:tc>
        <w:tc>
          <w:tcPr>
            <w:tcW w:w="1417" w:type="dxa"/>
            <w:shd w:val="clear" w:color="auto" w:fill="auto"/>
            <w:vAlign w:val="center"/>
          </w:tcPr>
          <w:p w14:paraId="187163E7" w14:textId="07E1493C" w:rsidR="00677491" w:rsidRPr="0009028A" w:rsidRDefault="00677491" w:rsidP="00677491">
            <w:pPr>
              <w:spacing w:after="0" w:line="240" w:lineRule="auto"/>
              <w:jc w:val="right"/>
              <w:rPr>
                <w:rFonts w:ascii="Arial" w:hAnsi="Arial" w:cs="Arial"/>
                <w:sz w:val="18"/>
                <w:szCs w:val="16"/>
              </w:rPr>
            </w:pPr>
            <w:r w:rsidRPr="0009028A">
              <w:rPr>
                <w:rFonts w:ascii="Arial" w:hAnsi="Arial" w:cs="Arial"/>
                <w:sz w:val="18"/>
                <w:szCs w:val="16"/>
              </w:rPr>
              <w:t>(32.733.656)</w:t>
            </w:r>
          </w:p>
        </w:tc>
        <w:tc>
          <w:tcPr>
            <w:tcW w:w="283" w:type="dxa"/>
            <w:vAlign w:val="center"/>
          </w:tcPr>
          <w:p w14:paraId="562A1A5D" w14:textId="77777777" w:rsidR="00677491" w:rsidRPr="0009028A" w:rsidRDefault="00677491" w:rsidP="00677491">
            <w:pPr>
              <w:spacing w:after="0" w:line="240" w:lineRule="auto"/>
              <w:jc w:val="right"/>
              <w:rPr>
                <w:rFonts w:ascii="Arial" w:hAnsi="Arial" w:cs="Arial"/>
                <w:sz w:val="18"/>
                <w:szCs w:val="16"/>
              </w:rPr>
            </w:pPr>
          </w:p>
        </w:tc>
        <w:tc>
          <w:tcPr>
            <w:tcW w:w="1417" w:type="dxa"/>
            <w:shd w:val="clear" w:color="auto" w:fill="auto"/>
            <w:vAlign w:val="center"/>
          </w:tcPr>
          <w:p w14:paraId="511263BE" w14:textId="1EA25F2E" w:rsidR="00677491" w:rsidRPr="0009028A" w:rsidRDefault="00677491" w:rsidP="00677491">
            <w:pPr>
              <w:spacing w:after="0" w:line="240" w:lineRule="auto"/>
              <w:jc w:val="right"/>
              <w:rPr>
                <w:rFonts w:ascii="Arial" w:hAnsi="Arial" w:cs="Arial"/>
                <w:sz w:val="18"/>
                <w:szCs w:val="16"/>
              </w:rPr>
            </w:pPr>
            <w:r w:rsidRPr="0009028A">
              <w:rPr>
                <w:rFonts w:ascii="Arial" w:hAnsi="Arial" w:cs="Arial"/>
                <w:sz w:val="18"/>
                <w:szCs w:val="16"/>
              </w:rPr>
              <w:t>-</w:t>
            </w:r>
          </w:p>
        </w:tc>
      </w:tr>
      <w:tr w:rsidR="00677491" w:rsidRPr="0009028A" w14:paraId="067D227D" w14:textId="77777777" w:rsidTr="00677491">
        <w:trPr>
          <w:trHeight w:val="227"/>
        </w:trPr>
        <w:tc>
          <w:tcPr>
            <w:tcW w:w="6521" w:type="dxa"/>
            <w:shd w:val="clear" w:color="auto" w:fill="auto"/>
            <w:noWrap/>
            <w:vAlign w:val="center"/>
            <w:hideMark/>
          </w:tcPr>
          <w:p w14:paraId="3361EF45" w14:textId="77777777" w:rsidR="00677491" w:rsidRPr="0009028A" w:rsidRDefault="00677491" w:rsidP="00677491">
            <w:pPr>
              <w:spacing w:after="0" w:line="240" w:lineRule="auto"/>
              <w:rPr>
                <w:rFonts w:ascii="Arial" w:eastAsia="Times New Roman" w:hAnsi="Arial" w:cs="Arial"/>
                <w:sz w:val="18"/>
                <w:szCs w:val="18"/>
                <w:lang w:eastAsia="es-CO"/>
              </w:rPr>
            </w:pPr>
            <w:r w:rsidRPr="0009028A">
              <w:rPr>
                <w:rFonts w:ascii="Arial" w:hAnsi="Arial" w:cs="Arial"/>
                <w:sz w:val="18"/>
                <w:szCs w:val="18"/>
              </w:rPr>
              <w:t>Producto de la venta de participaciones en asociadas y negocios conjuntos</w:t>
            </w:r>
          </w:p>
        </w:tc>
        <w:tc>
          <w:tcPr>
            <w:tcW w:w="246" w:type="dxa"/>
            <w:vAlign w:val="center"/>
          </w:tcPr>
          <w:p w14:paraId="4F24E795" w14:textId="77777777" w:rsidR="00677491" w:rsidRPr="0009028A" w:rsidRDefault="00677491" w:rsidP="00677491">
            <w:pPr>
              <w:spacing w:after="0" w:line="240" w:lineRule="auto"/>
              <w:jc w:val="right"/>
              <w:rPr>
                <w:rFonts w:ascii="Arial" w:hAnsi="Arial" w:cs="Arial"/>
                <w:sz w:val="18"/>
                <w:szCs w:val="16"/>
              </w:rPr>
            </w:pPr>
          </w:p>
        </w:tc>
        <w:tc>
          <w:tcPr>
            <w:tcW w:w="1417" w:type="dxa"/>
            <w:tcBorders>
              <w:bottom w:val="single" w:sz="4" w:space="0" w:color="auto"/>
            </w:tcBorders>
            <w:shd w:val="clear" w:color="auto" w:fill="auto"/>
            <w:vAlign w:val="center"/>
          </w:tcPr>
          <w:p w14:paraId="55D51DD6" w14:textId="14E97CE7" w:rsidR="00677491" w:rsidRPr="0009028A" w:rsidRDefault="00677491" w:rsidP="00677491">
            <w:pPr>
              <w:spacing w:after="0" w:line="240" w:lineRule="auto"/>
              <w:jc w:val="right"/>
              <w:rPr>
                <w:rFonts w:ascii="Arial" w:hAnsi="Arial" w:cs="Arial"/>
                <w:sz w:val="18"/>
                <w:szCs w:val="16"/>
              </w:rPr>
            </w:pPr>
            <w:r w:rsidRPr="0009028A">
              <w:rPr>
                <w:rFonts w:ascii="Arial" w:hAnsi="Arial" w:cs="Arial"/>
                <w:sz w:val="18"/>
                <w:szCs w:val="16"/>
              </w:rPr>
              <w:t>41.487.361</w:t>
            </w:r>
          </w:p>
        </w:tc>
        <w:tc>
          <w:tcPr>
            <w:tcW w:w="283" w:type="dxa"/>
            <w:vAlign w:val="center"/>
          </w:tcPr>
          <w:p w14:paraId="0EBFC8C4" w14:textId="77777777" w:rsidR="00677491" w:rsidRPr="0009028A" w:rsidRDefault="00677491" w:rsidP="00677491">
            <w:pPr>
              <w:spacing w:after="0" w:line="240" w:lineRule="auto"/>
              <w:jc w:val="right"/>
              <w:rPr>
                <w:rFonts w:ascii="Arial" w:hAnsi="Arial" w:cs="Arial"/>
                <w:sz w:val="18"/>
                <w:szCs w:val="16"/>
              </w:rPr>
            </w:pPr>
          </w:p>
        </w:tc>
        <w:tc>
          <w:tcPr>
            <w:tcW w:w="1417" w:type="dxa"/>
            <w:tcBorders>
              <w:bottom w:val="single" w:sz="4" w:space="0" w:color="auto"/>
            </w:tcBorders>
            <w:shd w:val="clear" w:color="auto" w:fill="auto"/>
            <w:vAlign w:val="center"/>
          </w:tcPr>
          <w:p w14:paraId="6BE68B5B" w14:textId="28423389" w:rsidR="00677491" w:rsidRPr="0009028A" w:rsidRDefault="00677491" w:rsidP="00677491">
            <w:pPr>
              <w:spacing w:after="0" w:line="240" w:lineRule="auto"/>
              <w:jc w:val="right"/>
              <w:rPr>
                <w:rFonts w:ascii="Arial" w:hAnsi="Arial" w:cs="Arial"/>
                <w:sz w:val="18"/>
                <w:szCs w:val="16"/>
              </w:rPr>
            </w:pPr>
            <w:r w:rsidRPr="0009028A">
              <w:rPr>
                <w:rFonts w:ascii="Arial" w:hAnsi="Arial" w:cs="Arial"/>
                <w:sz w:val="18"/>
                <w:szCs w:val="16"/>
              </w:rPr>
              <w:t>(8.436.950)</w:t>
            </w:r>
          </w:p>
        </w:tc>
      </w:tr>
      <w:tr w:rsidR="00677491" w:rsidRPr="0009028A" w14:paraId="7F9DA49A" w14:textId="77777777" w:rsidTr="00677491">
        <w:trPr>
          <w:trHeight w:val="227"/>
        </w:trPr>
        <w:tc>
          <w:tcPr>
            <w:tcW w:w="6521" w:type="dxa"/>
            <w:shd w:val="clear" w:color="auto" w:fill="auto"/>
            <w:vAlign w:val="center"/>
            <w:hideMark/>
          </w:tcPr>
          <w:p w14:paraId="5A5EC649" w14:textId="77777777" w:rsidR="00677491" w:rsidRPr="0009028A" w:rsidRDefault="00677491" w:rsidP="00677491">
            <w:pPr>
              <w:spacing w:after="0"/>
              <w:rPr>
                <w:rFonts w:ascii="Arial" w:hAnsi="Arial" w:cs="Arial"/>
                <w:b/>
                <w:bCs/>
                <w:sz w:val="18"/>
                <w:szCs w:val="18"/>
              </w:rPr>
            </w:pPr>
            <w:r w:rsidRPr="0009028A">
              <w:rPr>
                <w:rFonts w:ascii="Arial" w:hAnsi="Arial" w:cs="Arial"/>
                <w:b/>
                <w:bCs/>
                <w:sz w:val="18"/>
                <w:szCs w:val="18"/>
              </w:rPr>
              <w:t>Efectivo neto provisto por las actividades de inversión</w:t>
            </w:r>
          </w:p>
        </w:tc>
        <w:tc>
          <w:tcPr>
            <w:tcW w:w="246" w:type="dxa"/>
            <w:vAlign w:val="center"/>
          </w:tcPr>
          <w:p w14:paraId="00E9CB78" w14:textId="77777777" w:rsidR="00677491" w:rsidRPr="0009028A" w:rsidRDefault="00677491" w:rsidP="00677491">
            <w:pPr>
              <w:spacing w:after="0"/>
              <w:jc w:val="right"/>
              <w:rPr>
                <w:rFonts w:ascii="Arial" w:hAnsi="Arial" w:cs="Arial"/>
                <w:b/>
                <w:bCs/>
                <w:sz w:val="18"/>
                <w:szCs w:val="18"/>
              </w:rPr>
            </w:pPr>
            <w:r w:rsidRPr="0009028A">
              <w:rPr>
                <w:rFonts w:ascii="Arial" w:hAnsi="Arial" w:cs="Arial"/>
                <w:b/>
                <w:bCs/>
                <w:sz w:val="18"/>
                <w:szCs w:val="18"/>
              </w:rPr>
              <w:t>$</w:t>
            </w:r>
          </w:p>
        </w:tc>
        <w:tc>
          <w:tcPr>
            <w:tcW w:w="1417" w:type="dxa"/>
            <w:tcBorders>
              <w:top w:val="single" w:sz="4" w:space="0" w:color="auto"/>
              <w:bottom w:val="double" w:sz="4" w:space="0" w:color="auto"/>
            </w:tcBorders>
            <w:shd w:val="clear" w:color="auto" w:fill="auto"/>
            <w:vAlign w:val="center"/>
          </w:tcPr>
          <w:p w14:paraId="242F721E" w14:textId="57B277A9" w:rsidR="00677491" w:rsidRPr="0009028A" w:rsidRDefault="00754542" w:rsidP="00677491">
            <w:pPr>
              <w:spacing w:after="0"/>
              <w:jc w:val="right"/>
              <w:rPr>
                <w:rFonts w:ascii="Arial" w:hAnsi="Arial" w:cs="Arial"/>
                <w:b/>
                <w:bCs/>
                <w:sz w:val="18"/>
                <w:szCs w:val="18"/>
              </w:rPr>
            </w:pPr>
            <w:r w:rsidRPr="0009028A">
              <w:rPr>
                <w:rFonts w:ascii="Arial" w:hAnsi="Arial" w:cs="Arial"/>
                <w:b/>
                <w:bCs/>
                <w:sz w:val="18"/>
                <w:szCs w:val="18"/>
              </w:rPr>
              <w:t>32.594.294</w:t>
            </w:r>
          </w:p>
        </w:tc>
        <w:tc>
          <w:tcPr>
            <w:tcW w:w="283" w:type="dxa"/>
            <w:vAlign w:val="center"/>
          </w:tcPr>
          <w:p w14:paraId="1EBB8FD4" w14:textId="77777777" w:rsidR="00677491" w:rsidRPr="0009028A" w:rsidRDefault="00677491" w:rsidP="00677491">
            <w:pPr>
              <w:spacing w:after="0" w:line="240" w:lineRule="auto"/>
              <w:jc w:val="right"/>
              <w:rPr>
                <w:rFonts w:ascii="Arial" w:hAnsi="Arial" w:cs="Arial"/>
                <w:b/>
                <w:bCs/>
                <w:sz w:val="18"/>
                <w:szCs w:val="18"/>
              </w:rPr>
            </w:pPr>
          </w:p>
        </w:tc>
        <w:tc>
          <w:tcPr>
            <w:tcW w:w="1417" w:type="dxa"/>
            <w:tcBorders>
              <w:top w:val="single" w:sz="4" w:space="0" w:color="auto"/>
              <w:bottom w:val="double" w:sz="4" w:space="0" w:color="auto"/>
            </w:tcBorders>
            <w:shd w:val="clear" w:color="auto" w:fill="auto"/>
            <w:vAlign w:val="center"/>
          </w:tcPr>
          <w:p w14:paraId="4B39B33A" w14:textId="6E85D14E" w:rsidR="00677491" w:rsidRPr="0009028A" w:rsidRDefault="00677491" w:rsidP="00677491">
            <w:pPr>
              <w:spacing w:after="0" w:line="240" w:lineRule="auto"/>
              <w:jc w:val="right"/>
              <w:rPr>
                <w:rFonts w:ascii="Arial" w:hAnsi="Arial" w:cs="Arial"/>
                <w:b/>
                <w:bCs/>
                <w:sz w:val="18"/>
                <w:szCs w:val="18"/>
              </w:rPr>
            </w:pPr>
            <w:r w:rsidRPr="0009028A">
              <w:rPr>
                <w:rFonts w:ascii="Arial" w:hAnsi="Arial" w:cs="Arial"/>
                <w:b/>
                <w:bCs/>
                <w:sz w:val="18"/>
                <w:szCs w:val="18"/>
              </w:rPr>
              <w:t>4.624.535</w:t>
            </w:r>
          </w:p>
        </w:tc>
      </w:tr>
      <w:tr w:rsidR="00677491" w:rsidRPr="0009028A" w14:paraId="285466F6" w14:textId="77777777" w:rsidTr="00677491">
        <w:trPr>
          <w:trHeight w:val="227"/>
        </w:trPr>
        <w:tc>
          <w:tcPr>
            <w:tcW w:w="6521" w:type="dxa"/>
            <w:shd w:val="clear" w:color="auto" w:fill="auto"/>
            <w:noWrap/>
            <w:vAlign w:val="center"/>
            <w:hideMark/>
          </w:tcPr>
          <w:p w14:paraId="5DC09916" w14:textId="77777777" w:rsidR="00677491" w:rsidRPr="0009028A" w:rsidRDefault="00677491" w:rsidP="00677491">
            <w:pPr>
              <w:spacing w:after="0" w:line="240" w:lineRule="auto"/>
              <w:rPr>
                <w:rFonts w:ascii="Arial" w:eastAsia="Times New Roman" w:hAnsi="Arial" w:cs="Arial"/>
                <w:b/>
                <w:bCs/>
                <w:sz w:val="18"/>
                <w:szCs w:val="18"/>
                <w:lang w:eastAsia="es-CO"/>
              </w:rPr>
            </w:pPr>
          </w:p>
        </w:tc>
        <w:tc>
          <w:tcPr>
            <w:tcW w:w="246" w:type="dxa"/>
            <w:vAlign w:val="center"/>
          </w:tcPr>
          <w:p w14:paraId="40BDC59F" w14:textId="77777777" w:rsidR="00677491" w:rsidRPr="0009028A" w:rsidRDefault="00677491" w:rsidP="00677491">
            <w:pPr>
              <w:spacing w:after="0" w:line="240" w:lineRule="auto"/>
              <w:jc w:val="right"/>
              <w:rPr>
                <w:rFonts w:ascii="Arial" w:eastAsia="Times New Roman" w:hAnsi="Arial" w:cs="Arial"/>
                <w:sz w:val="18"/>
                <w:szCs w:val="18"/>
                <w:lang w:eastAsia="es-CO"/>
              </w:rPr>
            </w:pPr>
          </w:p>
        </w:tc>
        <w:tc>
          <w:tcPr>
            <w:tcW w:w="1417" w:type="dxa"/>
            <w:tcBorders>
              <w:top w:val="double" w:sz="4" w:space="0" w:color="auto"/>
            </w:tcBorders>
            <w:shd w:val="clear" w:color="auto" w:fill="auto"/>
            <w:vAlign w:val="center"/>
          </w:tcPr>
          <w:p w14:paraId="4B533C6D" w14:textId="77777777" w:rsidR="00677491" w:rsidRPr="0009028A" w:rsidRDefault="00677491" w:rsidP="00677491">
            <w:pPr>
              <w:spacing w:after="0" w:line="240" w:lineRule="auto"/>
              <w:jc w:val="right"/>
              <w:rPr>
                <w:rFonts w:ascii="Arial" w:eastAsia="Times New Roman" w:hAnsi="Arial" w:cs="Arial"/>
                <w:sz w:val="18"/>
                <w:szCs w:val="18"/>
                <w:lang w:eastAsia="es-CO"/>
              </w:rPr>
            </w:pPr>
          </w:p>
        </w:tc>
        <w:tc>
          <w:tcPr>
            <w:tcW w:w="283" w:type="dxa"/>
            <w:vAlign w:val="center"/>
          </w:tcPr>
          <w:p w14:paraId="62126E3B" w14:textId="77777777" w:rsidR="00677491" w:rsidRPr="0009028A" w:rsidRDefault="00677491" w:rsidP="00677491">
            <w:pPr>
              <w:spacing w:after="0" w:line="240" w:lineRule="auto"/>
              <w:jc w:val="right"/>
              <w:rPr>
                <w:rFonts w:ascii="Arial" w:eastAsia="Times New Roman" w:hAnsi="Arial" w:cs="Arial"/>
                <w:sz w:val="18"/>
                <w:szCs w:val="18"/>
                <w:lang w:eastAsia="es-CO"/>
              </w:rPr>
            </w:pPr>
          </w:p>
        </w:tc>
        <w:tc>
          <w:tcPr>
            <w:tcW w:w="1417" w:type="dxa"/>
            <w:tcBorders>
              <w:top w:val="double" w:sz="4" w:space="0" w:color="auto"/>
            </w:tcBorders>
            <w:shd w:val="clear" w:color="auto" w:fill="auto"/>
            <w:vAlign w:val="center"/>
          </w:tcPr>
          <w:p w14:paraId="53420F5E" w14:textId="1C898079" w:rsidR="00677491" w:rsidRPr="0009028A" w:rsidRDefault="00677491" w:rsidP="00677491">
            <w:pPr>
              <w:spacing w:after="0" w:line="240" w:lineRule="auto"/>
              <w:jc w:val="right"/>
              <w:rPr>
                <w:rFonts w:ascii="Arial" w:eastAsia="Times New Roman" w:hAnsi="Arial" w:cs="Arial"/>
                <w:sz w:val="18"/>
                <w:szCs w:val="18"/>
                <w:lang w:eastAsia="es-CO"/>
              </w:rPr>
            </w:pPr>
          </w:p>
        </w:tc>
      </w:tr>
      <w:tr w:rsidR="00677491" w:rsidRPr="0009028A" w14:paraId="2E521F24" w14:textId="77777777" w:rsidTr="00677491">
        <w:trPr>
          <w:trHeight w:val="227"/>
        </w:trPr>
        <w:tc>
          <w:tcPr>
            <w:tcW w:w="6521" w:type="dxa"/>
            <w:shd w:val="clear" w:color="auto" w:fill="auto"/>
            <w:noWrap/>
            <w:vAlign w:val="center"/>
            <w:hideMark/>
          </w:tcPr>
          <w:p w14:paraId="48FEAEBA" w14:textId="77777777" w:rsidR="00677491" w:rsidRPr="0009028A" w:rsidRDefault="00677491" w:rsidP="00677491">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Flujos de efectivo por las actividades de financiación</w:t>
            </w:r>
          </w:p>
        </w:tc>
        <w:tc>
          <w:tcPr>
            <w:tcW w:w="246" w:type="dxa"/>
            <w:vAlign w:val="center"/>
          </w:tcPr>
          <w:p w14:paraId="6D81FAB9" w14:textId="77777777" w:rsidR="00677491" w:rsidRPr="0009028A" w:rsidRDefault="00677491" w:rsidP="00677491">
            <w:pPr>
              <w:spacing w:after="0" w:line="240" w:lineRule="auto"/>
              <w:jc w:val="right"/>
              <w:rPr>
                <w:rFonts w:ascii="Arial" w:eastAsia="Times New Roman" w:hAnsi="Arial" w:cs="Arial"/>
                <w:sz w:val="18"/>
                <w:szCs w:val="18"/>
                <w:lang w:eastAsia="es-CO"/>
              </w:rPr>
            </w:pPr>
          </w:p>
        </w:tc>
        <w:tc>
          <w:tcPr>
            <w:tcW w:w="1417" w:type="dxa"/>
            <w:shd w:val="clear" w:color="auto" w:fill="auto"/>
            <w:vAlign w:val="center"/>
          </w:tcPr>
          <w:p w14:paraId="2E7C6D4A" w14:textId="77777777" w:rsidR="00677491" w:rsidRPr="0009028A" w:rsidRDefault="00677491" w:rsidP="00677491">
            <w:pPr>
              <w:spacing w:after="0" w:line="240" w:lineRule="auto"/>
              <w:jc w:val="right"/>
              <w:rPr>
                <w:rFonts w:ascii="Arial" w:eastAsia="Times New Roman" w:hAnsi="Arial" w:cs="Arial"/>
                <w:sz w:val="18"/>
                <w:szCs w:val="18"/>
                <w:lang w:eastAsia="es-CO"/>
              </w:rPr>
            </w:pPr>
          </w:p>
        </w:tc>
        <w:tc>
          <w:tcPr>
            <w:tcW w:w="283" w:type="dxa"/>
            <w:vAlign w:val="center"/>
          </w:tcPr>
          <w:p w14:paraId="5D287DD6" w14:textId="77777777" w:rsidR="00677491" w:rsidRPr="0009028A" w:rsidRDefault="00677491" w:rsidP="00677491">
            <w:pPr>
              <w:spacing w:after="0" w:line="240" w:lineRule="auto"/>
              <w:jc w:val="right"/>
              <w:rPr>
                <w:rFonts w:ascii="Arial" w:eastAsia="Times New Roman" w:hAnsi="Arial" w:cs="Arial"/>
                <w:sz w:val="18"/>
                <w:szCs w:val="18"/>
                <w:lang w:eastAsia="es-CO"/>
              </w:rPr>
            </w:pPr>
          </w:p>
        </w:tc>
        <w:tc>
          <w:tcPr>
            <w:tcW w:w="1417" w:type="dxa"/>
            <w:shd w:val="clear" w:color="auto" w:fill="auto"/>
            <w:vAlign w:val="center"/>
          </w:tcPr>
          <w:p w14:paraId="767980E1" w14:textId="781BCA30" w:rsidR="00677491" w:rsidRPr="0009028A" w:rsidRDefault="00677491" w:rsidP="00677491">
            <w:pPr>
              <w:spacing w:after="0" w:line="240" w:lineRule="auto"/>
              <w:jc w:val="right"/>
              <w:rPr>
                <w:rFonts w:ascii="Arial" w:eastAsia="Times New Roman" w:hAnsi="Arial" w:cs="Arial"/>
                <w:sz w:val="18"/>
                <w:szCs w:val="18"/>
                <w:lang w:eastAsia="es-CO"/>
              </w:rPr>
            </w:pPr>
          </w:p>
        </w:tc>
      </w:tr>
      <w:tr w:rsidR="00677491" w:rsidRPr="0009028A" w14:paraId="2AAE18E7" w14:textId="77777777" w:rsidTr="00677491">
        <w:trPr>
          <w:trHeight w:val="227"/>
        </w:trPr>
        <w:tc>
          <w:tcPr>
            <w:tcW w:w="6521" w:type="dxa"/>
            <w:shd w:val="clear" w:color="auto" w:fill="auto"/>
            <w:noWrap/>
            <w:vAlign w:val="center"/>
          </w:tcPr>
          <w:p w14:paraId="77AEDBA8" w14:textId="77777777" w:rsidR="00677491" w:rsidRPr="0009028A" w:rsidRDefault="00677491" w:rsidP="00677491">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Pago de bonos y papeles comerciales</w:t>
            </w:r>
          </w:p>
        </w:tc>
        <w:tc>
          <w:tcPr>
            <w:tcW w:w="246" w:type="dxa"/>
            <w:vAlign w:val="center"/>
          </w:tcPr>
          <w:p w14:paraId="0A2DA4A2" w14:textId="77777777" w:rsidR="00677491" w:rsidRPr="0009028A" w:rsidRDefault="00677491" w:rsidP="00677491">
            <w:pPr>
              <w:spacing w:after="0" w:line="240" w:lineRule="auto"/>
              <w:jc w:val="right"/>
              <w:rPr>
                <w:rFonts w:ascii="Arial" w:hAnsi="Arial" w:cs="Arial"/>
                <w:sz w:val="18"/>
                <w:szCs w:val="18"/>
              </w:rPr>
            </w:pPr>
          </w:p>
        </w:tc>
        <w:tc>
          <w:tcPr>
            <w:tcW w:w="1417" w:type="dxa"/>
            <w:shd w:val="clear" w:color="auto" w:fill="auto"/>
            <w:vAlign w:val="center"/>
          </w:tcPr>
          <w:p w14:paraId="1411A436" w14:textId="33A4F944" w:rsidR="00677491" w:rsidRPr="0009028A" w:rsidRDefault="00677491" w:rsidP="00677491">
            <w:pPr>
              <w:spacing w:after="0" w:line="240" w:lineRule="auto"/>
              <w:jc w:val="right"/>
              <w:rPr>
                <w:rFonts w:ascii="Arial" w:hAnsi="Arial" w:cs="Arial"/>
                <w:sz w:val="18"/>
                <w:szCs w:val="18"/>
              </w:rPr>
            </w:pPr>
            <w:r w:rsidRPr="0009028A">
              <w:rPr>
                <w:rFonts w:ascii="Arial" w:hAnsi="Arial" w:cs="Arial"/>
                <w:sz w:val="18"/>
                <w:szCs w:val="18"/>
              </w:rPr>
              <w:t>-</w:t>
            </w:r>
          </w:p>
        </w:tc>
        <w:tc>
          <w:tcPr>
            <w:tcW w:w="283" w:type="dxa"/>
            <w:vAlign w:val="center"/>
          </w:tcPr>
          <w:p w14:paraId="1F8CC307" w14:textId="77777777" w:rsidR="00677491" w:rsidRPr="0009028A" w:rsidRDefault="00677491" w:rsidP="00677491">
            <w:pPr>
              <w:spacing w:after="0" w:line="240" w:lineRule="auto"/>
              <w:jc w:val="right"/>
              <w:rPr>
                <w:rFonts w:ascii="Arial" w:hAnsi="Arial" w:cs="Arial"/>
                <w:sz w:val="18"/>
                <w:szCs w:val="18"/>
              </w:rPr>
            </w:pPr>
          </w:p>
        </w:tc>
        <w:tc>
          <w:tcPr>
            <w:tcW w:w="1417" w:type="dxa"/>
            <w:shd w:val="clear" w:color="auto" w:fill="auto"/>
            <w:vAlign w:val="center"/>
          </w:tcPr>
          <w:p w14:paraId="03D5586E" w14:textId="7BBD12F2" w:rsidR="00677491" w:rsidRPr="0009028A" w:rsidRDefault="00677491" w:rsidP="00677491">
            <w:pPr>
              <w:spacing w:after="0" w:line="240" w:lineRule="auto"/>
              <w:jc w:val="right"/>
              <w:rPr>
                <w:rFonts w:ascii="Arial" w:hAnsi="Arial" w:cs="Arial"/>
                <w:sz w:val="18"/>
                <w:szCs w:val="18"/>
              </w:rPr>
            </w:pPr>
            <w:r w:rsidRPr="0009028A">
              <w:rPr>
                <w:rFonts w:ascii="Arial" w:hAnsi="Arial" w:cs="Arial"/>
                <w:sz w:val="18"/>
                <w:szCs w:val="18"/>
              </w:rPr>
              <w:t>9.943.909</w:t>
            </w:r>
          </w:p>
        </w:tc>
      </w:tr>
      <w:tr w:rsidR="00677491" w:rsidRPr="0009028A" w14:paraId="7922CC60" w14:textId="77777777" w:rsidTr="00677491">
        <w:trPr>
          <w:trHeight w:val="227"/>
        </w:trPr>
        <w:tc>
          <w:tcPr>
            <w:tcW w:w="6521" w:type="dxa"/>
            <w:shd w:val="clear" w:color="auto" w:fill="auto"/>
            <w:noWrap/>
            <w:vAlign w:val="center"/>
          </w:tcPr>
          <w:p w14:paraId="3F9609DD" w14:textId="75115FBA" w:rsidR="00677491" w:rsidRPr="0009028A" w:rsidRDefault="00677491" w:rsidP="00677491">
            <w:pPr>
              <w:spacing w:after="0" w:line="240" w:lineRule="auto"/>
              <w:rPr>
                <w:rFonts w:ascii="Arial" w:hAnsi="Arial" w:cs="Arial"/>
                <w:sz w:val="18"/>
                <w:szCs w:val="18"/>
              </w:rPr>
            </w:pPr>
            <w:r w:rsidRPr="0009028A">
              <w:rPr>
                <w:rFonts w:ascii="Arial" w:hAnsi="Arial" w:cs="Arial"/>
                <w:sz w:val="18"/>
                <w:szCs w:val="18"/>
              </w:rPr>
              <w:t>Intereses pagados</w:t>
            </w:r>
          </w:p>
        </w:tc>
        <w:tc>
          <w:tcPr>
            <w:tcW w:w="246" w:type="dxa"/>
            <w:vAlign w:val="center"/>
          </w:tcPr>
          <w:p w14:paraId="7A053F4C" w14:textId="77777777" w:rsidR="00677491" w:rsidRPr="0009028A" w:rsidRDefault="00677491" w:rsidP="00677491">
            <w:pPr>
              <w:spacing w:after="0" w:line="240" w:lineRule="auto"/>
              <w:jc w:val="right"/>
              <w:rPr>
                <w:rFonts w:ascii="Arial" w:hAnsi="Arial" w:cs="Arial"/>
                <w:sz w:val="18"/>
                <w:szCs w:val="18"/>
              </w:rPr>
            </w:pPr>
          </w:p>
        </w:tc>
        <w:tc>
          <w:tcPr>
            <w:tcW w:w="1417" w:type="dxa"/>
            <w:tcBorders>
              <w:bottom w:val="single" w:sz="4" w:space="0" w:color="auto"/>
            </w:tcBorders>
            <w:shd w:val="clear" w:color="auto" w:fill="auto"/>
            <w:vAlign w:val="center"/>
          </w:tcPr>
          <w:p w14:paraId="365A2E03" w14:textId="6B5827C9" w:rsidR="00677491" w:rsidRPr="0009028A" w:rsidRDefault="00677491" w:rsidP="00677491">
            <w:pPr>
              <w:spacing w:after="0" w:line="240" w:lineRule="auto"/>
              <w:jc w:val="right"/>
              <w:rPr>
                <w:rFonts w:ascii="Arial" w:hAnsi="Arial" w:cs="Arial"/>
                <w:sz w:val="18"/>
                <w:szCs w:val="18"/>
              </w:rPr>
            </w:pPr>
            <w:r w:rsidRPr="0009028A">
              <w:rPr>
                <w:rFonts w:ascii="Arial" w:hAnsi="Arial" w:cs="Arial"/>
                <w:sz w:val="18"/>
                <w:szCs w:val="18"/>
              </w:rPr>
              <w:t>(9.412.475)</w:t>
            </w:r>
          </w:p>
        </w:tc>
        <w:tc>
          <w:tcPr>
            <w:tcW w:w="283" w:type="dxa"/>
            <w:vAlign w:val="center"/>
          </w:tcPr>
          <w:p w14:paraId="4CA155A1" w14:textId="77777777" w:rsidR="00677491" w:rsidRPr="0009028A" w:rsidRDefault="00677491" w:rsidP="00677491">
            <w:pPr>
              <w:spacing w:after="0" w:line="240" w:lineRule="auto"/>
              <w:jc w:val="right"/>
              <w:rPr>
                <w:rFonts w:ascii="Arial" w:hAnsi="Arial" w:cs="Arial"/>
                <w:sz w:val="18"/>
                <w:szCs w:val="16"/>
              </w:rPr>
            </w:pPr>
          </w:p>
        </w:tc>
        <w:tc>
          <w:tcPr>
            <w:tcW w:w="1417" w:type="dxa"/>
            <w:tcBorders>
              <w:bottom w:val="single" w:sz="4" w:space="0" w:color="auto"/>
            </w:tcBorders>
            <w:shd w:val="clear" w:color="auto" w:fill="auto"/>
            <w:vAlign w:val="center"/>
          </w:tcPr>
          <w:p w14:paraId="3CA3F60B" w14:textId="3887CBC7" w:rsidR="00677491" w:rsidRPr="0009028A" w:rsidRDefault="00677491" w:rsidP="00677491">
            <w:pPr>
              <w:spacing w:after="0" w:line="240" w:lineRule="auto"/>
              <w:jc w:val="right"/>
              <w:rPr>
                <w:rFonts w:ascii="Arial" w:hAnsi="Arial" w:cs="Arial"/>
                <w:sz w:val="18"/>
                <w:szCs w:val="16"/>
              </w:rPr>
            </w:pPr>
            <w:r w:rsidRPr="0009028A">
              <w:rPr>
                <w:rFonts w:ascii="Arial" w:hAnsi="Arial" w:cs="Arial"/>
                <w:sz w:val="18"/>
                <w:szCs w:val="16"/>
              </w:rPr>
              <w:t>(989.215)</w:t>
            </w:r>
          </w:p>
        </w:tc>
      </w:tr>
      <w:tr w:rsidR="00677491" w:rsidRPr="0009028A" w14:paraId="12DB4900" w14:textId="77777777" w:rsidTr="00677491">
        <w:trPr>
          <w:trHeight w:val="227"/>
        </w:trPr>
        <w:tc>
          <w:tcPr>
            <w:tcW w:w="6521" w:type="dxa"/>
            <w:shd w:val="clear" w:color="auto" w:fill="auto"/>
            <w:vAlign w:val="center"/>
            <w:hideMark/>
          </w:tcPr>
          <w:p w14:paraId="20D6FDD3" w14:textId="540E3020" w:rsidR="00677491" w:rsidRPr="0009028A" w:rsidRDefault="00677491" w:rsidP="00D33764">
            <w:pPr>
              <w:spacing w:after="0"/>
              <w:rPr>
                <w:rFonts w:ascii="Arial" w:hAnsi="Arial" w:cs="Arial"/>
                <w:b/>
                <w:bCs/>
                <w:sz w:val="18"/>
                <w:szCs w:val="18"/>
              </w:rPr>
            </w:pPr>
            <w:r w:rsidRPr="0009028A">
              <w:rPr>
                <w:rFonts w:ascii="Arial" w:hAnsi="Arial" w:cs="Arial"/>
                <w:b/>
                <w:bCs/>
                <w:sz w:val="18"/>
                <w:szCs w:val="18"/>
              </w:rPr>
              <w:t xml:space="preserve">Efectivo neto </w:t>
            </w:r>
            <w:r w:rsidR="00D33764">
              <w:rPr>
                <w:rFonts w:ascii="Arial" w:hAnsi="Arial" w:cs="Arial"/>
                <w:b/>
                <w:bCs/>
                <w:sz w:val="18"/>
                <w:szCs w:val="18"/>
              </w:rPr>
              <w:t xml:space="preserve">(usado en) </w:t>
            </w:r>
            <w:r w:rsidRPr="0009028A">
              <w:rPr>
                <w:rFonts w:ascii="Arial" w:hAnsi="Arial" w:cs="Arial"/>
                <w:b/>
                <w:bCs/>
                <w:sz w:val="18"/>
                <w:szCs w:val="18"/>
              </w:rPr>
              <w:t>provisto por las actividades de financiación</w:t>
            </w:r>
          </w:p>
        </w:tc>
        <w:tc>
          <w:tcPr>
            <w:tcW w:w="246" w:type="dxa"/>
            <w:vAlign w:val="center"/>
          </w:tcPr>
          <w:p w14:paraId="72D44637" w14:textId="77777777" w:rsidR="00677491" w:rsidRPr="0009028A" w:rsidRDefault="00677491" w:rsidP="00677491">
            <w:pPr>
              <w:spacing w:after="0" w:line="240" w:lineRule="auto"/>
              <w:jc w:val="right"/>
              <w:rPr>
                <w:rFonts w:ascii="Arial" w:hAnsi="Arial" w:cs="Arial"/>
                <w:b/>
                <w:sz w:val="18"/>
                <w:szCs w:val="18"/>
              </w:rPr>
            </w:pPr>
            <w:r w:rsidRPr="0009028A">
              <w:rPr>
                <w:rFonts w:ascii="Arial" w:hAnsi="Arial" w:cs="Arial"/>
                <w:b/>
                <w:sz w:val="18"/>
                <w:szCs w:val="18"/>
              </w:rPr>
              <w:t>$</w:t>
            </w:r>
          </w:p>
        </w:tc>
        <w:tc>
          <w:tcPr>
            <w:tcW w:w="1417" w:type="dxa"/>
            <w:tcBorders>
              <w:top w:val="single" w:sz="4" w:space="0" w:color="auto"/>
              <w:bottom w:val="double" w:sz="4" w:space="0" w:color="auto"/>
            </w:tcBorders>
            <w:shd w:val="clear" w:color="auto" w:fill="auto"/>
            <w:vAlign w:val="center"/>
          </w:tcPr>
          <w:p w14:paraId="54969F85" w14:textId="714187D0" w:rsidR="00677491" w:rsidRPr="0009028A" w:rsidRDefault="00677491" w:rsidP="00677491">
            <w:pPr>
              <w:spacing w:after="0" w:line="240" w:lineRule="auto"/>
              <w:jc w:val="right"/>
              <w:rPr>
                <w:rFonts w:ascii="Arial" w:hAnsi="Arial" w:cs="Arial"/>
                <w:b/>
                <w:sz w:val="18"/>
                <w:szCs w:val="18"/>
              </w:rPr>
            </w:pPr>
            <w:r w:rsidRPr="0009028A">
              <w:rPr>
                <w:rFonts w:ascii="Arial" w:hAnsi="Arial" w:cs="Arial"/>
                <w:b/>
                <w:sz w:val="18"/>
                <w:szCs w:val="18"/>
              </w:rPr>
              <w:t>(9.412.475)</w:t>
            </w:r>
          </w:p>
        </w:tc>
        <w:tc>
          <w:tcPr>
            <w:tcW w:w="283" w:type="dxa"/>
            <w:vAlign w:val="center"/>
          </w:tcPr>
          <w:p w14:paraId="5926008D" w14:textId="77777777" w:rsidR="00677491" w:rsidRPr="0009028A" w:rsidRDefault="00677491" w:rsidP="00677491">
            <w:pPr>
              <w:spacing w:after="0" w:line="240" w:lineRule="auto"/>
              <w:jc w:val="right"/>
              <w:rPr>
                <w:rFonts w:ascii="Arial" w:hAnsi="Arial" w:cs="Arial"/>
                <w:b/>
                <w:bCs/>
                <w:sz w:val="18"/>
                <w:szCs w:val="18"/>
              </w:rPr>
            </w:pPr>
          </w:p>
        </w:tc>
        <w:tc>
          <w:tcPr>
            <w:tcW w:w="1417" w:type="dxa"/>
            <w:tcBorders>
              <w:top w:val="single" w:sz="4" w:space="0" w:color="auto"/>
              <w:bottom w:val="double" w:sz="4" w:space="0" w:color="auto"/>
            </w:tcBorders>
            <w:shd w:val="clear" w:color="auto" w:fill="auto"/>
            <w:vAlign w:val="center"/>
          </w:tcPr>
          <w:p w14:paraId="31728EC1" w14:textId="237EF913" w:rsidR="00677491" w:rsidRPr="0009028A" w:rsidRDefault="00677491" w:rsidP="00677491">
            <w:pPr>
              <w:spacing w:after="0" w:line="240" w:lineRule="auto"/>
              <w:jc w:val="right"/>
              <w:rPr>
                <w:rFonts w:ascii="Arial" w:hAnsi="Arial" w:cs="Arial"/>
                <w:b/>
                <w:bCs/>
                <w:sz w:val="18"/>
                <w:szCs w:val="18"/>
              </w:rPr>
            </w:pPr>
            <w:r w:rsidRPr="0009028A">
              <w:rPr>
                <w:rFonts w:ascii="Arial" w:hAnsi="Arial" w:cs="Arial"/>
                <w:b/>
                <w:bCs/>
                <w:sz w:val="18"/>
                <w:szCs w:val="18"/>
              </w:rPr>
              <w:t>8.954.694</w:t>
            </w:r>
          </w:p>
        </w:tc>
      </w:tr>
      <w:tr w:rsidR="00677491" w:rsidRPr="0009028A" w14:paraId="59BFF19D" w14:textId="77777777" w:rsidTr="00677491">
        <w:trPr>
          <w:trHeight w:val="227"/>
        </w:trPr>
        <w:tc>
          <w:tcPr>
            <w:tcW w:w="6521" w:type="dxa"/>
            <w:shd w:val="clear" w:color="auto" w:fill="auto"/>
            <w:vAlign w:val="center"/>
          </w:tcPr>
          <w:p w14:paraId="648A98A5" w14:textId="77777777" w:rsidR="00677491" w:rsidRPr="0009028A" w:rsidRDefault="00677491" w:rsidP="00677491">
            <w:pPr>
              <w:spacing w:after="0"/>
              <w:rPr>
                <w:rFonts w:ascii="Arial" w:hAnsi="Arial" w:cs="Arial"/>
                <w:b/>
                <w:bCs/>
                <w:sz w:val="18"/>
                <w:szCs w:val="18"/>
              </w:rPr>
            </w:pPr>
          </w:p>
        </w:tc>
        <w:tc>
          <w:tcPr>
            <w:tcW w:w="246" w:type="dxa"/>
            <w:vAlign w:val="center"/>
          </w:tcPr>
          <w:p w14:paraId="340EE7BB" w14:textId="77777777" w:rsidR="00677491" w:rsidRPr="0009028A" w:rsidRDefault="00677491" w:rsidP="00677491">
            <w:pPr>
              <w:spacing w:after="0" w:line="240" w:lineRule="auto"/>
              <w:jc w:val="right"/>
              <w:rPr>
                <w:rFonts w:ascii="Arial" w:hAnsi="Arial" w:cs="Arial"/>
                <w:sz w:val="18"/>
                <w:szCs w:val="18"/>
              </w:rPr>
            </w:pPr>
          </w:p>
        </w:tc>
        <w:tc>
          <w:tcPr>
            <w:tcW w:w="1417" w:type="dxa"/>
            <w:tcBorders>
              <w:top w:val="double" w:sz="4" w:space="0" w:color="auto"/>
              <w:bottom w:val="single" w:sz="4" w:space="0" w:color="auto"/>
            </w:tcBorders>
            <w:shd w:val="clear" w:color="auto" w:fill="auto"/>
            <w:vAlign w:val="center"/>
          </w:tcPr>
          <w:p w14:paraId="3ADCB917" w14:textId="77777777" w:rsidR="00677491" w:rsidRPr="0009028A" w:rsidRDefault="00677491" w:rsidP="00677491">
            <w:pPr>
              <w:spacing w:after="0" w:line="240" w:lineRule="auto"/>
              <w:jc w:val="right"/>
              <w:rPr>
                <w:rFonts w:ascii="Arial" w:hAnsi="Arial" w:cs="Arial"/>
                <w:sz w:val="18"/>
                <w:szCs w:val="18"/>
              </w:rPr>
            </w:pPr>
          </w:p>
        </w:tc>
        <w:tc>
          <w:tcPr>
            <w:tcW w:w="283" w:type="dxa"/>
            <w:vAlign w:val="center"/>
          </w:tcPr>
          <w:p w14:paraId="40B57E1F" w14:textId="77777777" w:rsidR="00677491" w:rsidRPr="0009028A" w:rsidRDefault="00677491" w:rsidP="00677491">
            <w:pPr>
              <w:spacing w:after="0" w:line="240" w:lineRule="auto"/>
              <w:jc w:val="right"/>
              <w:rPr>
                <w:rFonts w:ascii="Arial" w:hAnsi="Arial" w:cs="Arial"/>
                <w:b/>
                <w:bCs/>
                <w:sz w:val="18"/>
                <w:szCs w:val="18"/>
              </w:rPr>
            </w:pPr>
          </w:p>
        </w:tc>
        <w:tc>
          <w:tcPr>
            <w:tcW w:w="1417" w:type="dxa"/>
            <w:tcBorders>
              <w:top w:val="double" w:sz="4" w:space="0" w:color="auto"/>
              <w:bottom w:val="single" w:sz="4" w:space="0" w:color="auto"/>
            </w:tcBorders>
            <w:shd w:val="clear" w:color="auto" w:fill="auto"/>
            <w:vAlign w:val="center"/>
          </w:tcPr>
          <w:p w14:paraId="0DB45224" w14:textId="77777777" w:rsidR="00677491" w:rsidRPr="0009028A" w:rsidRDefault="00677491" w:rsidP="00677491">
            <w:pPr>
              <w:spacing w:after="0" w:line="240" w:lineRule="auto"/>
              <w:jc w:val="right"/>
              <w:rPr>
                <w:rFonts w:ascii="Arial" w:hAnsi="Arial" w:cs="Arial"/>
                <w:b/>
                <w:bCs/>
                <w:sz w:val="18"/>
                <w:szCs w:val="18"/>
              </w:rPr>
            </w:pPr>
          </w:p>
        </w:tc>
      </w:tr>
      <w:tr w:rsidR="00677491" w:rsidRPr="0009028A" w14:paraId="527CB285" w14:textId="77777777" w:rsidTr="00677491">
        <w:trPr>
          <w:trHeight w:val="227"/>
        </w:trPr>
        <w:tc>
          <w:tcPr>
            <w:tcW w:w="6521" w:type="dxa"/>
            <w:shd w:val="clear" w:color="auto" w:fill="auto"/>
            <w:noWrap/>
            <w:vAlign w:val="center"/>
          </w:tcPr>
          <w:p w14:paraId="018C3209" w14:textId="77777777" w:rsidR="00677491" w:rsidRPr="0009028A" w:rsidRDefault="00677491" w:rsidP="00677491">
            <w:pPr>
              <w:spacing w:after="0"/>
              <w:rPr>
                <w:rFonts w:ascii="Arial" w:hAnsi="Arial" w:cs="Arial"/>
                <w:b/>
                <w:bCs/>
                <w:sz w:val="18"/>
                <w:szCs w:val="18"/>
              </w:rPr>
            </w:pPr>
            <w:r w:rsidRPr="0009028A">
              <w:rPr>
                <w:rFonts w:ascii="Arial" w:hAnsi="Arial" w:cs="Arial"/>
                <w:b/>
                <w:bCs/>
                <w:sz w:val="18"/>
                <w:szCs w:val="18"/>
              </w:rPr>
              <w:t>Disminución neta de efectivo y equivalentes de efectivo</w:t>
            </w:r>
          </w:p>
        </w:tc>
        <w:tc>
          <w:tcPr>
            <w:tcW w:w="246" w:type="dxa"/>
            <w:vAlign w:val="center"/>
          </w:tcPr>
          <w:p w14:paraId="7A683D1C" w14:textId="77777777" w:rsidR="00677491" w:rsidRPr="0009028A" w:rsidRDefault="00677491" w:rsidP="00677491">
            <w:pPr>
              <w:spacing w:after="0" w:line="240" w:lineRule="auto"/>
              <w:jc w:val="right"/>
              <w:rPr>
                <w:rFonts w:ascii="Arial" w:hAnsi="Arial" w:cs="Arial"/>
                <w:b/>
                <w:bCs/>
                <w:sz w:val="18"/>
                <w:szCs w:val="18"/>
              </w:rPr>
            </w:pPr>
            <w:r w:rsidRPr="0009028A">
              <w:rPr>
                <w:rFonts w:ascii="Arial" w:hAnsi="Arial" w:cs="Arial"/>
                <w:b/>
                <w:bCs/>
                <w:sz w:val="18"/>
                <w:szCs w:val="18"/>
              </w:rPr>
              <w:t>$</w:t>
            </w:r>
          </w:p>
        </w:tc>
        <w:tc>
          <w:tcPr>
            <w:tcW w:w="1417" w:type="dxa"/>
            <w:tcBorders>
              <w:top w:val="single" w:sz="4" w:space="0" w:color="auto"/>
            </w:tcBorders>
            <w:shd w:val="clear" w:color="auto" w:fill="auto"/>
            <w:vAlign w:val="center"/>
          </w:tcPr>
          <w:p w14:paraId="0BFD6412" w14:textId="6A5EF3FD" w:rsidR="00677491" w:rsidRPr="0009028A" w:rsidRDefault="00677491" w:rsidP="00677491">
            <w:pPr>
              <w:spacing w:after="0" w:line="240" w:lineRule="auto"/>
              <w:jc w:val="right"/>
              <w:rPr>
                <w:rFonts w:ascii="Arial" w:hAnsi="Arial" w:cs="Arial"/>
                <w:b/>
                <w:bCs/>
                <w:sz w:val="18"/>
                <w:szCs w:val="18"/>
              </w:rPr>
            </w:pPr>
            <w:r w:rsidRPr="0009028A">
              <w:rPr>
                <w:rFonts w:ascii="Arial" w:hAnsi="Arial" w:cs="Arial"/>
                <w:b/>
                <w:bCs/>
                <w:sz w:val="18"/>
                <w:szCs w:val="18"/>
              </w:rPr>
              <w:t>(7.372.807)</w:t>
            </w:r>
          </w:p>
        </w:tc>
        <w:tc>
          <w:tcPr>
            <w:tcW w:w="283" w:type="dxa"/>
            <w:vAlign w:val="center"/>
          </w:tcPr>
          <w:p w14:paraId="1308B23D" w14:textId="77777777" w:rsidR="00677491" w:rsidRPr="0009028A" w:rsidRDefault="00677491" w:rsidP="00677491">
            <w:pPr>
              <w:spacing w:after="0" w:line="240" w:lineRule="auto"/>
              <w:jc w:val="right"/>
              <w:rPr>
                <w:rFonts w:ascii="Arial" w:hAnsi="Arial" w:cs="Arial"/>
                <w:b/>
                <w:bCs/>
                <w:sz w:val="18"/>
                <w:szCs w:val="16"/>
              </w:rPr>
            </w:pPr>
          </w:p>
        </w:tc>
        <w:tc>
          <w:tcPr>
            <w:tcW w:w="1417" w:type="dxa"/>
            <w:tcBorders>
              <w:top w:val="single" w:sz="4" w:space="0" w:color="auto"/>
            </w:tcBorders>
            <w:shd w:val="clear" w:color="auto" w:fill="auto"/>
            <w:vAlign w:val="center"/>
          </w:tcPr>
          <w:p w14:paraId="12F4C029" w14:textId="21F01956" w:rsidR="00677491" w:rsidRPr="0009028A" w:rsidRDefault="00677491" w:rsidP="00677491">
            <w:pPr>
              <w:spacing w:after="0" w:line="240" w:lineRule="auto"/>
              <w:jc w:val="right"/>
              <w:rPr>
                <w:rFonts w:ascii="Arial" w:hAnsi="Arial" w:cs="Arial"/>
                <w:b/>
                <w:bCs/>
                <w:sz w:val="18"/>
                <w:szCs w:val="16"/>
              </w:rPr>
            </w:pPr>
            <w:r w:rsidRPr="0009028A">
              <w:rPr>
                <w:rFonts w:ascii="Arial" w:hAnsi="Arial" w:cs="Arial"/>
                <w:b/>
                <w:bCs/>
                <w:sz w:val="18"/>
                <w:szCs w:val="16"/>
              </w:rPr>
              <w:t>(4.135.699)</w:t>
            </w:r>
          </w:p>
        </w:tc>
      </w:tr>
      <w:tr w:rsidR="00677491" w:rsidRPr="0009028A" w14:paraId="1D98DF2D" w14:textId="77777777" w:rsidTr="00677491">
        <w:trPr>
          <w:trHeight w:val="227"/>
        </w:trPr>
        <w:tc>
          <w:tcPr>
            <w:tcW w:w="6521" w:type="dxa"/>
            <w:shd w:val="clear" w:color="auto" w:fill="auto"/>
            <w:noWrap/>
            <w:vAlign w:val="center"/>
          </w:tcPr>
          <w:p w14:paraId="14D9790D" w14:textId="77777777" w:rsidR="00677491" w:rsidRPr="0009028A" w:rsidRDefault="00677491" w:rsidP="00677491">
            <w:pPr>
              <w:spacing w:after="0" w:line="240" w:lineRule="auto"/>
              <w:rPr>
                <w:rFonts w:ascii="Arial" w:eastAsia="Times New Roman" w:hAnsi="Arial" w:cs="Arial"/>
                <w:sz w:val="18"/>
                <w:szCs w:val="18"/>
                <w:lang w:eastAsia="es-CO"/>
              </w:rPr>
            </w:pPr>
          </w:p>
        </w:tc>
        <w:tc>
          <w:tcPr>
            <w:tcW w:w="246" w:type="dxa"/>
            <w:vAlign w:val="center"/>
          </w:tcPr>
          <w:p w14:paraId="7605AE4D" w14:textId="77777777" w:rsidR="00677491" w:rsidRPr="0009028A" w:rsidRDefault="00677491" w:rsidP="00677491">
            <w:pPr>
              <w:spacing w:after="0" w:line="240" w:lineRule="auto"/>
              <w:jc w:val="right"/>
              <w:rPr>
                <w:rFonts w:ascii="Arial" w:eastAsia="Times New Roman" w:hAnsi="Arial" w:cs="Arial"/>
                <w:sz w:val="18"/>
                <w:szCs w:val="18"/>
                <w:lang w:eastAsia="es-CO"/>
              </w:rPr>
            </w:pPr>
          </w:p>
        </w:tc>
        <w:tc>
          <w:tcPr>
            <w:tcW w:w="1417" w:type="dxa"/>
            <w:shd w:val="clear" w:color="auto" w:fill="auto"/>
            <w:vAlign w:val="center"/>
          </w:tcPr>
          <w:p w14:paraId="52FCC438" w14:textId="77777777" w:rsidR="00677491" w:rsidRPr="0009028A" w:rsidRDefault="00677491" w:rsidP="00677491">
            <w:pPr>
              <w:spacing w:after="0" w:line="240" w:lineRule="auto"/>
              <w:jc w:val="right"/>
              <w:rPr>
                <w:rFonts w:ascii="Arial" w:eastAsia="Times New Roman" w:hAnsi="Arial" w:cs="Arial"/>
                <w:sz w:val="18"/>
                <w:szCs w:val="18"/>
                <w:lang w:eastAsia="es-CO"/>
              </w:rPr>
            </w:pPr>
          </w:p>
        </w:tc>
        <w:tc>
          <w:tcPr>
            <w:tcW w:w="283" w:type="dxa"/>
            <w:vAlign w:val="center"/>
          </w:tcPr>
          <w:p w14:paraId="5EA034D4" w14:textId="77777777" w:rsidR="00677491" w:rsidRPr="0009028A" w:rsidRDefault="00677491" w:rsidP="00677491">
            <w:pPr>
              <w:spacing w:after="0" w:line="240" w:lineRule="auto"/>
              <w:jc w:val="right"/>
              <w:rPr>
                <w:rFonts w:ascii="Arial" w:eastAsia="Times New Roman" w:hAnsi="Arial" w:cs="Arial"/>
                <w:sz w:val="18"/>
                <w:szCs w:val="18"/>
                <w:lang w:eastAsia="es-CO"/>
              </w:rPr>
            </w:pPr>
          </w:p>
        </w:tc>
        <w:tc>
          <w:tcPr>
            <w:tcW w:w="1417" w:type="dxa"/>
            <w:shd w:val="clear" w:color="auto" w:fill="auto"/>
            <w:vAlign w:val="center"/>
          </w:tcPr>
          <w:p w14:paraId="4600891C" w14:textId="4FAA9843" w:rsidR="00677491" w:rsidRPr="0009028A" w:rsidRDefault="00677491" w:rsidP="00677491">
            <w:pPr>
              <w:spacing w:after="0" w:line="240" w:lineRule="auto"/>
              <w:jc w:val="right"/>
              <w:rPr>
                <w:rFonts w:ascii="Arial" w:eastAsia="Times New Roman" w:hAnsi="Arial" w:cs="Arial"/>
                <w:sz w:val="18"/>
                <w:szCs w:val="18"/>
                <w:lang w:eastAsia="es-CO"/>
              </w:rPr>
            </w:pPr>
          </w:p>
        </w:tc>
      </w:tr>
      <w:tr w:rsidR="00677491" w:rsidRPr="0009028A" w14:paraId="43DD0E19" w14:textId="77777777" w:rsidTr="00677491">
        <w:trPr>
          <w:trHeight w:val="227"/>
        </w:trPr>
        <w:tc>
          <w:tcPr>
            <w:tcW w:w="6521" w:type="dxa"/>
            <w:shd w:val="clear" w:color="auto" w:fill="auto"/>
            <w:noWrap/>
            <w:vAlign w:val="center"/>
            <w:hideMark/>
          </w:tcPr>
          <w:p w14:paraId="0CB67953" w14:textId="77777777" w:rsidR="00677491" w:rsidRPr="0009028A" w:rsidRDefault="00677491" w:rsidP="00677491">
            <w:pPr>
              <w:spacing w:after="0" w:line="240" w:lineRule="auto"/>
              <w:rPr>
                <w:rFonts w:ascii="Arial" w:eastAsia="Times New Roman" w:hAnsi="Arial" w:cs="Arial"/>
                <w:sz w:val="18"/>
                <w:szCs w:val="18"/>
                <w:lang w:eastAsia="es-CO"/>
              </w:rPr>
            </w:pPr>
            <w:r w:rsidRPr="0009028A">
              <w:rPr>
                <w:rFonts w:ascii="Arial" w:hAnsi="Arial" w:cs="Arial"/>
                <w:sz w:val="18"/>
                <w:szCs w:val="18"/>
              </w:rPr>
              <w:t>Efectivo y equivalentes de efectivo al 1 de enero</w:t>
            </w:r>
          </w:p>
        </w:tc>
        <w:tc>
          <w:tcPr>
            <w:tcW w:w="246" w:type="dxa"/>
            <w:vAlign w:val="center"/>
          </w:tcPr>
          <w:p w14:paraId="4F590C90" w14:textId="77777777" w:rsidR="00677491" w:rsidRPr="0009028A" w:rsidRDefault="00677491" w:rsidP="00677491">
            <w:pPr>
              <w:spacing w:after="0" w:line="240" w:lineRule="auto"/>
              <w:jc w:val="right"/>
              <w:rPr>
                <w:rFonts w:ascii="Arial" w:hAnsi="Arial" w:cs="Arial"/>
                <w:bCs/>
                <w:sz w:val="18"/>
                <w:szCs w:val="16"/>
              </w:rPr>
            </w:pPr>
          </w:p>
        </w:tc>
        <w:tc>
          <w:tcPr>
            <w:tcW w:w="1417" w:type="dxa"/>
            <w:shd w:val="clear" w:color="auto" w:fill="auto"/>
            <w:vAlign w:val="center"/>
          </w:tcPr>
          <w:p w14:paraId="2643DEFC" w14:textId="13CF8B06" w:rsidR="00677491" w:rsidRPr="0009028A" w:rsidRDefault="00677491" w:rsidP="00677491">
            <w:pPr>
              <w:spacing w:after="0" w:line="240" w:lineRule="auto"/>
              <w:jc w:val="right"/>
              <w:rPr>
                <w:rFonts w:ascii="Arial" w:hAnsi="Arial" w:cs="Arial"/>
                <w:bCs/>
                <w:sz w:val="18"/>
                <w:szCs w:val="16"/>
              </w:rPr>
            </w:pPr>
            <w:r w:rsidRPr="0009028A">
              <w:rPr>
                <w:rFonts w:ascii="Arial" w:hAnsi="Arial" w:cs="Arial"/>
                <w:bCs/>
                <w:sz w:val="18"/>
                <w:szCs w:val="16"/>
              </w:rPr>
              <w:t>16.668.426</w:t>
            </w:r>
          </w:p>
        </w:tc>
        <w:tc>
          <w:tcPr>
            <w:tcW w:w="283" w:type="dxa"/>
            <w:vAlign w:val="center"/>
          </w:tcPr>
          <w:p w14:paraId="7B28B904" w14:textId="77777777" w:rsidR="00677491" w:rsidRPr="0009028A" w:rsidRDefault="00677491" w:rsidP="00677491">
            <w:pPr>
              <w:spacing w:after="0" w:line="240" w:lineRule="auto"/>
              <w:jc w:val="right"/>
              <w:rPr>
                <w:rFonts w:ascii="Arial" w:eastAsia="Times New Roman" w:hAnsi="Arial" w:cs="Arial"/>
                <w:bCs/>
                <w:sz w:val="18"/>
                <w:szCs w:val="16"/>
                <w:lang w:eastAsia="es-CO"/>
              </w:rPr>
            </w:pPr>
          </w:p>
        </w:tc>
        <w:tc>
          <w:tcPr>
            <w:tcW w:w="1417" w:type="dxa"/>
            <w:shd w:val="clear" w:color="auto" w:fill="auto"/>
            <w:vAlign w:val="center"/>
          </w:tcPr>
          <w:p w14:paraId="14CE27E4" w14:textId="431797D6" w:rsidR="00677491" w:rsidRPr="0009028A" w:rsidRDefault="00677491" w:rsidP="00677491">
            <w:pPr>
              <w:spacing w:after="0" w:line="240" w:lineRule="auto"/>
              <w:jc w:val="right"/>
              <w:rPr>
                <w:rFonts w:ascii="Arial" w:eastAsia="Times New Roman" w:hAnsi="Arial" w:cs="Arial"/>
                <w:bCs/>
                <w:sz w:val="18"/>
                <w:szCs w:val="16"/>
                <w:lang w:eastAsia="es-CO"/>
              </w:rPr>
            </w:pPr>
            <w:r w:rsidRPr="0009028A">
              <w:rPr>
                <w:rFonts w:ascii="Arial" w:eastAsia="Times New Roman" w:hAnsi="Arial" w:cs="Arial"/>
                <w:bCs/>
                <w:sz w:val="18"/>
                <w:szCs w:val="16"/>
                <w:lang w:eastAsia="es-CO"/>
              </w:rPr>
              <w:t>7.667.512</w:t>
            </w:r>
          </w:p>
        </w:tc>
      </w:tr>
      <w:tr w:rsidR="00677491" w:rsidRPr="0009028A" w14:paraId="5FADA920" w14:textId="77777777" w:rsidTr="00677491">
        <w:trPr>
          <w:trHeight w:val="227"/>
        </w:trPr>
        <w:tc>
          <w:tcPr>
            <w:tcW w:w="6521" w:type="dxa"/>
            <w:shd w:val="clear" w:color="auto" w:fill="auto"/>
            <w:noWrap/>
            <w:vAlign w:val="center"/>
            <w:hideMark/>
          </w:tcPr>
          <w:p w14:paraId="26B13A9F" w14:textId="77777777" w:rsidR="00677491" w:rsidRPr="0009028A" w:rsidRDefault="00677491" w:rsidP="00677491">
            <w:pPr>
              <w:spacing w:after="0" w:line="240" w:lineRule="auto"/>
              <w:rPr>
                <w:rFonts w:ascii="Arial" w:eastAsia="Times New Roman" w:hAnsi="Arial" w:cs="Arial"/>
                <w:b/>
                <w:bCs/>
                <w:sz w:val="18"/>
                <w:szCs w:val="18"/>
                <w:lang w:eastAsia="es-CO"/>
              </w:rPr>
            </w:pPr>
            <w:r w:rsidRPr="0009028A">
              <w:rPr>
                <w:rFonts w:ascii="Arial" w:eastAsia="Times New Roman" w:hAnsi="Arial" w:cs="Arial"/>
                <w:b/>
                <w:bCs/>
                <w:sz w:val="18"/>
                <w:szCs w:val="18"/>
                <w:lang w:eastAsia="es-CO"/>
              </w:rPr>
              <w:t>Efectivo y equivalentes de efectivo al 31 de marzo</w:t>
            </w:r>
          </w:p>
        </w:tc>
        <w:tc>
          <w:tcPr>
            <w:tcW w:w="246" w:type="dxa"/>
            <w:vAlign w:val="center"/>
          </w:tcPr>
          <w:p w14:paraId="7822A7C5" w14:textId="77777777" w:rsidR="00677491" w:rsidRPr="0009028A" w:rsidRDefault="00677491" w:rsidP="00677491">
            <w:pPr>
              <w:spacing w:after="0" w:line="240" w:lineRule="auto"/>
              <w:jc w:val="right"/>
              <w:rPr>
                <w:rFonts w:ascii="Arial" w:hAnsi="Arial" w:cs="Arial"/>
                <w:b/>
                <w:bCs/>
                <w:sz w:val="18"/>
                <w:szCs w:val="16"/>
              </w:rPr>
            </w:pPr>
            <w:r w:rsidRPr="0009028A">
              <w:rPr>
                <w:rFonts w:ascii="Arial" w:hAnsi="Arial" w:cs="Arial"/>
                <w:b/>
                <w:bCs/>
                <w:sz w:val="18"/>
                <w:szCs w:val="16"/>
              </w:rPr>
              <w:t>$</w:t>
            </w:r>
          </w:p>
        </w:tc>
        <w:tc>
          <w:tcPr>
            <w:tcW w:w="1417" w:type="dxa"/>
            <w:tcBorders>
              <w:top w:val="single" w:sz="4" w:space="0" w:color="auto"/>
              <w:bottom w:val="double" w:sz="4" w:space="0" w:color="auto"/>
            </w:tcBorders>
            <w:shd w:val="clear" w:color="auto" w:fill="auto"/>
            <w:vAlign w:val="center"/>
          </w:tcPr>
          <w:p w14:paraId="648B31BE" w14:textId="0BDE5A1F" w:rsidR="00677491" w:rsidRPr="0009028A" w:rsidRDefault="00677491" w:rsidP="00677491">
            <w:pPr>
              <w:spacing w:after="0" w:line="240" w:lineRule="auto"/>
              <w:jc w:val="right"/>
              <w:rPr>
                <w:rFonts w:ascii="Arial" w:hAnsi="Arial" w:cs="Arial"/>
                <w:b/>
                <w:bCs/>
                <w:sz w:val="18"/>
                <w:szCs w:val="16"/>
              </w:rPr>
            </w:pPr>
            <w:r w:rsidRPr="0009028A">
              <w:rPr>
                <w:rFonts w:ascii="Arial" w:hAnsi="Arial" w:cs="Arial"/>
                <w:b/>
                <w:bCs/>
                <w:sz w:val="18"/>
                <w:szCs w:val="16"/>
              </w:rPr>
              <w:t>9.295.619</w:t>
            </w:r>
          </w:p>
        </w:tc>
        <w:tc>
          <w:tcPr>
            <w:tcW w:w="283" w:type="dxa"/>
            <w:vAlign w:val="center"/>
          </w:tcPr>
          <w:p w14:paraId="68328571" w14:textId="77777777" w:rsidR="00677491" w:rsidRPr="0009028A" w:rsidRDefault="00677491" w:rsidP="00677491">
            <w:pPr>
              <w:spacing w:after="0" w:line="240" w:lineRule="auto"/>
              <w:jc w:val="right"/>
              <w:rPr>
                <w:rFonts w:ascii="Arial" w:eastAsia="Times New Roman" w:hAnsi="Arial" w:cs="Arial"/>
                <w:b/>
                <w:bCs/>
                <w:sz w:val="18"/>
                <w:szCs w:val="16"/>
                <w:lang w:eastAsia="es-CO"/>
              </w:rPr>
            </w:pPr>
          </w:p>
        </w:tc>
        <w:tc>
          <w:tcPr>
            <w:tcW w:w="1417" w:type="dxa"/>
            <w:tcBorders>
              <w:top w:val="single" w:sz="4" w:space="0" w:color="auto"/>
              <w:bottom w:val="double" w:sz="4" w:space="0" w:color="auto"/>
            </w:tcBorders>
            <w:shd w:val="clear" w:color="auto" w:fill="auto"/>
            <w:vAlign w:val="center"/>
          </w:tcPr>
          <w:p w14:paraId="4B00258F" w14:textId="6CFAAFAE" w:rsidR="00677491" w:rsidRPr="0009028A" w:rsidRDefault="00677491" w:rsidP="00677491">
            <w:pPr>
              <w:spacing w:after="0" w:line="240" w:lineRule="auto"/>
              <w:jc w:val="right"/>
              <w:rPr>
                <w:rFonts w:ascii="Arial" w:eastAsia="Times New Roman" w:hAnsi="Arial" w:cs="Arial"/>
                <w:b/>
                <w:bCs/>
                <w:sz w:val="18"/>
                <w:szCs w:val="16"/>
                <w:lang w:eastAsia="es-CO"/>
              </w:rPr>
            </w:pPr>
            <w:r w:rsidRPr="0009028A">
              <w:rPr>
                <w:rFonts w:ascii="Arial" w:eastAsia="Times New Roman" w:hAnsi="Arial" w:cs="Arial"/>
                <w:b/>
                <w:bCs/>
                <w:sz w:val="18"/>
                <w:szCs w:val="16"/>
                <w:lang w:eastAsia="es-CO"/>
              </w:rPr>
              <w:t>3.531.813</w:t>
            </w:r>
          </w:p>
        </w:tc>
      </w:tr>
    </w:tbl>
    <w:p w14:paraId="243E2A16" w14:textId="77777777" w:rsidR="00C21888" w:rsidRPr="0009028A" w:rsidRDefault="00581C45" w:rsidP="00C21888">
      <w:pPr>
        <w:spacing w:after="0" w:line="275" w:lineRule="auto"/>
        <w:ind w:right="4096"/>
        <w:rPr>
          <w:rFonts w:ascii="Arial" w:eastAsia="Arial" w:hAnsi="Arial" w:cs="Arial"/>
          <w:b/>
          <w:spacing w:val="-1"/>
          <w:sz w:val="20"/>
          <w:szCs w:val="20"/>
        </w:rPr>
      </w:pPr>
      <w:r w:rsidRPr="0009028A">
        <w:rPr>
          <w:rFonts w:ascii="Arial" w:eastAsia="Arial" w:hAnsi="Arial" w:cs="Arial"/>
          <w:b/>
          <w:spacing w:val="-1"/>
          <w:sz w:val="20"/>
          <w:szCs w:val="20"/>
        </w:rPr>
        <w:t xml:space="preserve"> </w:t>
      </w:r>
    </w:p>
    <w:p w14:paraId="7FE15253" w14:textId="28EE9BD1" w:rsidR="00DE66EF" w:rsidRPr="0009028A" w:rsidRDefault="00C82E26" w:rsidP="00C82E26">
      <w:pPr>
        <w:spacing w:before="83" w:after="0" w:line="275" w:lineRule="auto"/>
        <w:ind w:right="-3"/>
        <w:rPr>
          <w:rFonts w:ascii="Arial" w:hAnsi="Arial" w:cs="Arial"/>
          <w:sz w:val="18"/>
          <w:szCs w:val="18"/>
        </w:rPr>
      </w:pPr>
      <w:r w:rsidRPr="0009028A">
        <w:rPr>
          <w:rFonts w:ascii="Arial" w:hAnsi="Arial" w:cs="Arial"/>
          <w:sz w:val="18"/>
          <w:szCs w:val="18"/>
        </w:rPr>
        <w:t>Las notas que se acompañan son parte integral de los estados financieros intermedios condensados separados.</w:t>
      </w:r>
    </w:p>
    <w:p w14:paraId="64DC579F" w14:textId="77777777" w:rsidR="00754542" w:rsidRPr="0009028A" w:rsidRDefault="00754542" w:rsidP="00C82E26">
      <w:pPr>
        <w:spacing w:before="83" w:after="0" w:line="275" w:lineRule="auto"/>
        <w:ind w:right="-3"/>
        <w:rPr>
          <w:rFonts w:ascii="Arial" w:hAnsi="Arial" w:cs="Arial"/>
          <w:sz w:val="18"/>
          <w:szCs w:val="18"/>
        </w:rPr>
      </w:pPr>
    </w:p>
    <w:p w14:paraId="02202D2C" w14:textId="77777777" w:rsidR="00C82E26" w:rsidRDefault="00C82E26" w:rsidP="00A441BF">
      <w:pPr>
        <w:tabs>
          <w:tab w:val="center" w:pos="4820"/>
          <w:tab w:val="center" w:pos="8364"/>
        </w:tabs>
        <w:spacing w:after="0" w:line="275" w:lineRule="auto"/>
        <w:ind w:right="-2"/>
        <w:rPr>
          <w:rFonts w:ascii="Arial" w:hAnsi="Arial" w:cs="Arial"/>
          <w:b/>
          <w:sz w:val="18"/>
          <w:szCs w:val="18"/>
        </w:rPr>
      </w:pPr>
    </w:p>
    <w:p w14:paraId="18343E26" w14:textId="77777777" w:rsidR="005F6088" w:rsidRPr="0009028A" w:rsidRDefault="005F6088" w:rsidP="00A441BF">
      <w:pPr>
        <w:tabs>
          <w:tab w:val="center" w:pos="4820"/>
          <w:tab w:val="center" w:pos="8364"/>
        </w:tabs>
        <w:spacing w:after="0" w:line="275" w:lineRule="auto"/>
        <w:ind w:right="-2"/>
        <w:rPr>
          <w:rFonts w:ascii="Arial" w:hAnsi="Arial" w:cs="Arial"/>
          <w:b/>
          <w:sz w:val="18"/>
          <w:szCs w:val="18"/>
        </w:rPr>
      </w:pPr>
    </w:p>
    <w:p w14:paraId="27719D92" w14:textId="77777777" w:rsidR="00C82E26" w:rsidRPr="0009028A" w:rsidRDefault="00C82E26" w:rsidP="00A441BF">
      <w:pPr>
        <w:tabs>
          <w:tab w:val="center" w:pos="4820"/>
          <w:tab w:val="center" w:pos="8364"/>
        </w:tabs>
        <w:spacing w:after="0" w:line="275" w:lineRule="auto"/>
        <w:ind w:right="-2"/>
        <w:rPr>
          <w:rFonts w:ascii="Arial" w:hAnsi="Arial" w:cs="Arial"/>
          <w:b/>
          <w:sz w:val="18"/>
          <w:szCs w:val="18"/>
        </w:rPr>
      </w:pPr>
    </w:p>
    <w:p w14:paraId="1535D496" w14:textId="5F2F7797" w:rsidR="00C82E26" w:rsidRPr="0009028A" w:rsidRDefault="00C52937" w:rsidP="00C82E26">
      <w:pPr>
        <w:tabs>
          <w:tab w:val="center" w:pos="4820"/>
          <w:tab w:val="center" w:pos="8364"/>
        </w:tabs>
        <w:spacing w:after="0" w:line="275" w:lineRule="auto"/>
        <w:ind w:right="-2"/>
        <w:rPr>
          <w:rFonts w:ascii="Arial" w:hAnsi="Arial" w:cs="Arial"/>
          <w:b/>
          <w:sz w:val="18"/>
          <w:szCs w:val="18"/>
        </w:rPr>
      </w:pPr>
      <w:r>
        <w:rPr>
          <w:rFonts w:ascii="Arial" w:hAnsi="Arial" w:cs="Arial"/>
          <w:b/>
          <w:sz w:val="18"/>
          <w:szCs w:val="18"/>
        </w:rPr>
        <w:t>Mauricio Ossa Echeverry</w:t>
      </w:r>
      <w:r w:rsidR="00C82E26" w:rsidRPr="0009028A">
        <w:rPr>
          <w:rFonts w:ascii="Arial" w:hAnsi="Arial" w:cs="Arial"/>
          <w:b/>
          <w:sz w:val="18"/>
          <w:szCs w:val="18"/>
        </w:rPr>
        <w:tab/>
        <w:t>Mario Alonso García Romero</w:t>
      </w:r>
      <w:r w:rsidR="00C82E26" w:rsidRPr="0009028A">
        <w:rPr>
          <w:rFonts w:ascii="Arial" w:hAnsi="Arial" w:cs="Arial"/>
          <w:b/>
          <w:sz w:val="18"/>
          <w:szCs w:val="18"/>
        </w:rPr>
        <w:tab/>
        <w:t>Mario Alberto López Ocampo</w:t>
      </w:r>
      <w:r w:rsidR="00C82E26" w:rsidRPr="0009028A" w:rsidDel="000D02AC">
        <w:rPr>
          <w:rFonts w:ascii="Arial" w:hAnsi="Arial" w:cs="Arial"/>
          <w:b/>
          <w:sz w:val="18"/>
          <w:szCs w:val="18"/>
        </w:rPr>
        <w:t xml:space="preserve"> </w:t>
      </w:r>
    </w:p>
    <w:p w14:paraId="4D29478C" w14:textId="75C54F39" w:rsidR="00C82E26" w:rsidRPr="0009028A" w:rsidRDefault="00C52937" w:rsidP="00C82E26">
      <w:pPr>
        <w:tabs>
          <w:tab w:val="center" w:pos="4820"/>
          <w:tab w:val="center" w:pos="8364"/>
        </w:tabs>
        <w:spacing w:after="0" w:line="275" w:lineRule="auto"/>
        <w:ind w:right="-2"/>
        <w:rPr>
          <w:rFonts w:ascii="Arial" w:hAnsi="Arial" w:cs="Arial"/>
          <w:sz w:val="18"/>
          <w:szCs w:val="18"/>
        </w:rPr>
      </w:pPr>
      <w:r>
        <w:rPr>
          <w:rFonts w:ascii="Arial" w:hAnsi="Arial" w:cs="Arial"/>
          <w:sz w:val="18"/>
          <w:szCs w:val="18"/>
        </w:rPr>
        <w:t>Presidente</w:t>
      </w:r>
      <w:r w:rsidR="00C82E26" w:rsidRPr="0009028A">
        <w:rPr>
          <w:rFonts w:ascii="Arial" w:hAnsi="Arial" w:cs="Arial"/>
          <w:sz w:val="18"/>
          <w:szCs w:val="18"/>
        </w:rPr>
        <w:t xml:space="preserve"> (*)</w:t>
      </w:r>
      <w:r w:rsidR="00C82E26" w:rsidRPr="0009028A">
        <w:rPr>
          <w:rFonts w:ascii="Arial" w:hAnsi="Arial" w:cs="Arial"/>
          <w:sz w:val="18"/>
          <w:szCs w:val="18"/>
        </w:rPr>
        <w:tab/>
        <w:t>Contador (*)</w:t>
      </w:r>
      <w:r w:rsidR="00C82E26" w:rsidRPr="0009028A">
        <w:rPr>
          <w:rFonts w:ascii="Arial" w:hAnsi="Arial" w:cs="Arial"/>
          <w:sz w:val="18"/>
          <w:szCs w:val="18"/>
        </w:rPr>
        <w:tab/>
        <w:t xml:space="preserve">Revisor Fiscal </w:t>
      </w:r>
    </w:p>
    <w:p w14:paraId="43AAA385" w14:textId="77777777" w:rsidR="00C82E26" w:rsidRPr="0009028A" w:rsidRDefault="00C82E26" w:rsidP="00C82E26">
      <w:pPr>
        <w:tabs>
          <w:tab w:val="center" w:pos="4820"/>
          <w:tab w:val="center" w:pos="8364"/>
        </w:tabs>
        <w:spacing w:after="0" w:line="275" w:lineRule="auto"/>
        <w:ind w:right="-2"/>
        <w:rPr>
          <w:rFonts w:ascii="Arial" w:hAnsi="Arial" w:cs="Arial"/>
          <w:sz w:val="18"/>
          <w:szCs w:val="18"/>
        </w:rPr>
      </w:pPr>
      <w:r w:rsidRPr="0009028A">
        <w:rPr>
          <w:rFonts w:ascii="Arial" w:hAnsi="Arial" w:cs="Arial"/>
          <w:sz w:val="18"/>
          <w:szCs w:val="18"/>
        </w:rPr>
        <w:tab/>
        <w:t>T.P. 69852-T</w:t>
      </w:r>
      <w:r w:rsidRPr="0009028A">
        <w:rPr>
          <w:rFonts w:ascii="Arial" w:hAnsi="Arial" w:cs="Arial"/>
          <w:sz w:val="18"/>
          <w:szCs w:val="18"/>
        </w:rPr>
        <w:tab/>
        <w:t>T.P. 110657-T</w:t>
      </w:r>
    </w:p>
    <w:p w14:paraId="0450011C" w14:textId="77777777" w:rsidR="00C82E26" w:rsidRPr="0009028A" w:rsidRDefault="00C82E26" w:rsidP="00C82E26">
      <w:pPr>
        <w:tabs>
          <w:tab w:val="center" w:pos="4820"/>
          <w:tab w:val="center" w:pos="8364"/>
        </w:tabs>
        <w:spacing w:after="0" w:line="275" w:lineRule="auto"/>
        <w:ind w:right="-2"/>
        <w:rPr>
          <w:rFonts w:ascii="Arial" w:hAnsi="Arial" w:cs="Arial"/>
          <w:sz w:val="18"/>
          <w:szCs w:val="18"/>
        </w:rPr>
      </w:pPr>
      <w:r w:rsidRPr="0009028A">
        <w:rPr>
          <w:rFonts w:ascii="Arial" w:hAnsi="Arial" w:cs="Arial"/>
          <w:sz w:val="18"/>
          <w:szCs w:val="18"/>
        </w:rPr>
        <w:tab/>
      </w:r>
      <w:r w:rsidRPr="0009028A">
        <w:rPr>
          <w:rFonts w:ascii="Arial" w:hAnsi="Arial" w:cs="Arial"/>
          <w:sz w:val="18"/>
          <w:szCs w:val="18"/>
        </w:rPr>
        <w:tab/>
        <w:t>Miembro de KPMG S.A.S.</w:t>
      </w:r>
    </w:p>
    <w:p w14:paraId="0C472FD8" w14:textId="793CA762" w:rsidR="00C82E26" w:rsidRPr="0009028A" w:rsidRDefault="003A4CF8" w:rsidP="00C82E26">
      <w:pPr>
        <w:tabs>
          <w:tab w:val="center" w:pos="4820"/>
          <w:tab w:val="center" w:pos="8364"/>
        </w:tabs>
        <w:spacing w:after="0" w:line="275" w:lineRule="auto"/>
        <w:ind w:right="-2"/>
        <w:rPr>
          <w:rFonts w:ascii="Arial" w:hAnsi="Arial" w:cs="Arial"/>
          <w:sz w:val="18"/>
          <w:szCs w:val="18"/>
        </w:rPr>
      </w:pPr>
      <w:r>
        <w:rPr>
          <w:rFonts w:ascii="Arial" w:hAnsi="Arial" w:cs="Arial"/>
          <w:sz w:val="18"/>
          <w:szCs w:val="18"/>
        </w:rPr>
        <w:tab/>
      </w:r>
      <w:r>
        <w:rPr>
          <w:rFonts w:ascii="Arial" w:hAnsi="Arial" w:cs="Arial"/>
          <w:sz w:val="18"/>
          <w:szCs w:val="18"/>
        </w:rPr>
        <w:tab/>
        <w:t>(Véase mi informe del 14</w:t>
      </w:r>
      <w:r w:rsidR="00C82E26" w:rsidRPr="0009028A">
        <w:rPr>
          <w:rFonts w:ascii="Arial" w:hAnsi="Arial" w:cs="Arial"/>
          <w:sz w:val="18"/>
          <w:szCs w:val="18"/>
        </w:rPr>
        <w:t xml:space="preserve"> de mayo de 2019)</w:t>
      </w:r>
    </w:p>
    <w:p w14:paraId="22032C71" w14:textId="77777777" w:rsidR="00A441BF" w:rsidRPr="0009028A" w:rsidRDefault="00A441BF" w:rsidP="00A441BF">
      <w:pPr>
        <w:spacing w:after="0" w:line="240" w:lineRule="auto"/>
        <w:rPr>
          <w:rFonts w:ascii="Arial" w:hAnsi="Arial" w:cs="Arial"/>
          <w:sz w:val="18"/>
          <w:szCs w:val="18"/>
        </w:rPr>
      </w:pPr>
    </w:p>
    <w:p w14:paraId="6ECC9CA7" w14:textId="77777777" w:rsidR="00A441BF" w:rsidRPr="0009028A" w:rsidRDefault="00A441BF" w:rsidP="00A441BF">
      <w:pPr>
        <w:spacing w:after="0" w:line="240" w:lineRule="auto"/>
        <w:rPr>
          <w:rFonts w:ascii="Arial" w:hAnsi="Arial" w:cs="Arial"/>
          <w:sz w:val="18"/>
          <w:szCs w:val="18"/>
        </w:rPr>
      </w:pPr>
      <w:r w:rsidRPr="0009028A">
        <w:rPr>
          <w:rFonts w:ascii="Arial" w:hAnsi="Arial" w:cs="Arial"/>
          <w:sz w:val="18"/>
          <w:szCs w:val="18"/>
        </w:rPr>
        <w:t>(*) Los suscritos Representante Legal y Contador Público certificamos que hemos verificado previamente las afirmaciones contenidas en estos estados financieros y que los mismos han sido tomados fielmente de los libros de contabilidad de la Compañía.</w:t>
      </w:r>
    </w:p>
    <w:p w14:paraId="3AA295F3" w14:textId="77777777" w:rsidR="005C40D2" w:rsidRPr="0009028A" w:rsidRDefault="005C40D2" w:rsidP="00525587">
      <w:pPr>
        <w:rPr>
          <w:rFonts w:ascii="Arial" w:eastAsiaTheme="majorEastAsia" w:hAnsi="Arial" w:cs="Arial"/>
          <w:color w:val="0C2D66"/>
          <w:sz w:val="28"/>
          <w:szCs w:val="28"/>
        </w:rPr>
      </w:pPr>
      <w:r w:rsidRPr="0009028A">
        <w:rPr>
          <w:rFonts w:ascii="Arial" w:hAnsi="Arial" w:cs="Arial"/>
        </w:rPr>
        <w:br w:type="page"/>
      </w:r>
    </w:p>
    <w:p w14:paraId="0A5F58AF" w14:textId="77777777" w:rsidR="00B8711E" w:rsidRPr="0009028A" w:rsidRDefault="00F94D83" w:rsidP="00CB0F8E">
      <w:pPr>
        <w:spacing w:after="0" w:line="275" w:lineRule="auto"/>
        <w:ind w:right="4096"/>
        <w:rPr>
          <w:rFonts w:ascii="Arial" w:hAnsi="Arial" w:cs="Arial"/>
          <w:color w:val="0C2D66"/>
          <w:sz w:val="36"/>
          <w:szCs w:val="36"/>
        </w:rPr>
      </w:pPr>
      <w:r w:rsidRPr="0009028A">
        <w:rPr>
          <w:rFonts w:ascii="Arial" w:hAnsi="Arial" w:cs="Arial"/>
          <w:color w:val="0C2D66"/>
          <w:sz w:val="36"/>
          <w:szCs w:val="36"/>
        </w:rPr>
        <w:t>Odinsa</w:t>
      </w:r>
      <w:r w:rsidR="00B8711E" w:rsidRPr="0009028A">
        <w:rPr>
          <w:rFonts w:ascii="Arial" w:hAnsi="Arial" w:cs="Arial"/>
          <w:color w:val="0C2D66"/>
          <w:sz w:val="36"/>
          <w:szCs w:val="36"/>
        </w:rPr>
        <w:t xml:space="preserve"> S.A</w:t>
      </w:r>
      <w:r w:rsidR="00945832" w:rsidRPr="0009028A">
        <w:rPr>
          <w:rFonts w:ascii="Arial" w:hAnsi="Arial" w:cs="Arial"/>
          <w:color w:val="0C2D66"/>
          <w:sz w:val="36"/>
          <w:szCs w:val="36"/>
        </w:rPr>
        <w:t>.</w:t>
      </w:r>
    </w:p>
    <w:p w14:paraId="06D9D70B" w14:textId="77777777" w:rsidR="00B8711E" w:rsidRPr="0009028A" w:rsidRDefault="00B8711E" w:rsidP="005F6088">
      <w:pPr>
        <w:pStyle w:val="Ttulo1"/>
        <w:spacing w:after="0"/>
      </w:pPr>
      <w:bookmarkStart w:id="15" w:name="_Toc506991884"/>
      <w:bookmarkStart w:id="16" w:name="_Toc8735030"/>
      <w:r w:rsidRPr="0009028A">
        <w:t xml:space="preserve">Notas a </w:t>
      </w:r>
      <w:r w:rsidR="008524AF" w:rsidRPr="0009028A">
        <w:t xml:space="preserve">los estados financieros </w:t>
      </w:r>
      <w:r w:rsidR="00C82E26" w:rsidRPr="0009028A">
        <w:t xml:space="preserve">intermedios </w:t>
      </w:r>
      <w:r w:rsidR="008524AF" w:rsidRPr="0009028A">
        <w:t>condensados</w:t>
      </w:r>
      <w:bookmarkEnd w:id="15"/>
      <w:r w:rsidR="008524AF" w:rsidRPr="0009028A">
        <w:t xml:space="preserve"> separados</w:t>
      </w:r>
      <w:bookmarkEnd w:id="16"/>
      <w:r w:rsidR="00A20599" w:rsidRPr="0009028A">
        <w:t xml:space="preserve"> </w:t>
      </w:r>
    </w:p>
    <w:p w14:paraId="6E1B6D93" w14:textId="77777777" w:rsidR="00B8711E" w:rsidRPr="0009028A" w:rsidRDefault="00A20599" w:rsidP="005F6088">
      <w:pPr>
        <w:spacing w:after="0" w:line="240" w:lineRule="auto"/>
        <w:rPr>
          <w:rFonts w:ascii="Arial" w:hAnsi="Arial" w:cs="Arial"/>
          <w:sz w:val="20"/>
        </w:rPr>
      </w:pPr>
      <w:r w:rsidRPr="0009028A">
        <w:rPr>
          <w:rFonts w:ascii="Arial" w:hAnsi="Arial" w:cs="Arial"/>
          <w:sz w:val="20"/>
        </w:rPr>
        <w:t xml:space="preserve">31 de </w:t>
      </w:r>
      <w:r w:rsidR="00710F32" w:rsidRPr="0009028A">
        <w:rPr>
          <w:rFonts w:ascii="Arial" w:hAnsi="Arial" w:cs="Arial"/>
          <w:sz w:val="20"/>
        </w:rPr>
        <w:t>marzo</w:t>
      </w:r>
      <w:r w:rsidRPr="0009028A">
        <w:rPr>
          <w:rFonts w:ascii="Arial" w:hAnsi="Arial" w:cs="Arial"/>
          <w:sz w:val="20"/>
        </w:rPr>
        <w:t xml:space="preserve"> 201</w:t>
      </w:r>
      <w:r w:rsidR="005C40D2" w:rsidRPr="0009028A">
        <w:rPr>
          <w:rFonts w:ascii="Arial" w:hAnsi="Arial" w:cs="Arial"/>
          <w:sz w:val="20"/>
        </w:rPr>
        <w:t>9</w:t>
      </w:r>
    </w:p>
    <w:p w14:paraId="2D47A387" w14:textId="77777777" w:rsidR="00B8711E" w:rsidRPr="0009028A" w:rsidRDefault="00A20599" w:rsidP="005F6088">
      <w:pPr>
        <w:spacing w:after="0" w:line="240" w:lineRule="auto"/>
        <w:rPr>
          <w:rFonts w:ascii="Arial" w:hAnsi="Arial" w:cs="Arial"/>
          <w:sz w:val="20"/>
        </w:rPr>
      </w:pPr>
      <w:r w:rsidRPr="0009028A">
        <w:rPr>
          <w:rFonts w:ascii="Arial" w:hAnsi="Arial" w:cs="Arial"/>
          <w:sz w:val="20"/>
        </w:rPr>
        <w:t>(</w:t>
      </w:r>
      <w:r w:rsidR="005C40D2" w:rsidRPr="0009028A">
        <w:rPr>
          <w:rFonts w:ascii="Arial" w:hAnsi="Arial" w:cs="Arial"/>
          <w:sz w:val="20"/>
        </w:rPr>
        <w:t xml:space="preserve">Expresadas </w:t>
      </w:r>
      <w:r w:rsidRPr="0009028A">
        <w:rPr>
          <w:rFonts w:ascii="Arial" w:hAnsi="Arial" w:cs="Arial"/>
          <w:sz w:val="20"/>
        </w:rPr>
        <w:t xml:space="preserve">en miles </w:t>
      </w:r>
      <w:r w:rsidR="00B8711E" w:rsidRPr="0009028A">
        <w:rPr>
          <w:rFonts w:ascii="Arial" w:hAnsi="Arial" w:cs="Arial"/>
          <w:sz w:val="20"/>
        </w:rPr>
        <w:t>de pesos</w:t>
      </w:r>
      <w:r w:rsidR="00C82E26" w:rsidRPr="0009028A">
        <w:rPr>
          <w:rFonts w:ascii="Arial" w:hAnsi="Arial" w:cs="Arial"/>
          <w:sz w:val="20"/>
        </w:rPr>
        <w:t xml:space="preserve"> Colombianos</w:t>
      </w:r>
      <w:r w:rsidR="00B8711E" w:rsidRPr="0009028A">
        <w:rPr>
          <w:rFonts w:ascii="Arial" w:hAnsi="Arial" w:cs="Arial"/>
          <w:sz w:val="20"/>
        </w:rPr>
        <w:t>)</w:t>
      </w:r>
    </w:p>
    <w:p w14:paraId="30594716" w14:textId="77777777" w:rsidR="00DD7A9E" w:rsidRPr="0009028A" w:rsidRDefault="00DD7A9E" w:rsidP="00DD7A9E">
      <w:pPr>
        <w:spacing w:after="0" w:line="240" w:lineRule="auto"/>
        <w:rPr>
          <w:rFonts w:ascii="Arial" w:hAnsi="Arial" w:cs="Arial"/>
          <w:sz w:val="20"/>
        </w:rPr>
      </w:pPr>
    </w:p>
    <w:p w14:paraId="2EFA8251" w14:textId="2692846D" w:rsidR="00DD7A9E" w:rsidRPr="005F6088" w:rsidRDefault="00DD7A9E" w:rsidP="005F6088">
      <w:pPr>
        <w:pStyle w:val="Ttulo1"/>
      </w:pPr>
      <w:bookmarkStart w:id="17" w:name="_Toc506991885"/>
      <w:bookmarkStart w:id="18" w:name="_Toc6294423"/>
      <w:bookmarkStart w:id="19" w:name="_Toc6322761"/>
      <w:bookmarkStart w:id="20" w:name="_Toc8735031"/>
      <w:r w:rsidRPr="0009028A">
        <w:t xml:space="preserve">Nota 1: </w:t>
      </w:r>
      <w:bookmarkEnd w:id="17"/>
      <w:bookmarkEnd w:id="18"/>
      <w:bookmarkEnd w:id="19"/>
      <w:r w:rsidR="00992EAB" w:rsidRPr="0009028A">
        <w:t>Entidad que reporta</w:t>
      </w:r>
      <w:bookmarkEnd w:id="20"/>
    </w:p>
    <w:p w14:paraId="5B663A1C" w14:textId="397199E5" w:rsidR="00811BA1" w:rsidRPr="0009028A" w:rsidRDefault="00A31F8A" w:rsidP="00811BA1">
      <w:pPr>
        <w:autoSpaceDE w:val="0"/>
        <w:autoSpaceDN w:val="0"/>
        <w:adjustRightInd w:val="0"/>
        <w:spacing w:line="240" w:lineRule="auto"/>
        <w:jc w:val="both"/>
        <w:rPr>
          <w:rFonts w:ascii="Arial" w:hAnsi="Arial" w:cs="Arial"/>
          <w:sz w:val="20"/>
        </w:rPr>
      </w:pPr>
      <w:r w:rsidRPr="0009028A">
        <w:rPr>
          <w:rFonts w:ascii="Arial" w:hAnsi="Arial" w:cs="Arial"/>
          <w:sz w:val="20"/>
        </w:rPr>
        <w:t xml:space="preserve">Odinsa S.A. </w:t>
      </w:r>
      <w:r w:rsidR="003A4CF8">
        <w:rPr>
          <w:rFonts w:ascii="Arial" w:hAnsi="Arial" w:cs="Arial"/>
          <w:sz w:val="20"/>
        </w:rPr>
        <w:t>(en adelante Odinsa o “</w:t>
      </w:r>
      <w:r w:rsidRPr="0009028A">
        <w:rPr>
          <w:rFonts w:ascii="Arial" w:hAnsi="Arial" w:cs="Arial"/>
          <w:sz w:val="20"/>
        </w:rPr>
        <w:t>la Compañía</w:t>
      </w:r>
      <w:r w:rsidR="003A4CF8">
        <w:rPr>
          <w:rFonts w:ascii="Arial" w:hAnsi="Arial" w:cs="Arial"/>
          <w:sz w:val="20"/>
        </w:rPr>
        <w:t>”</w:t>
      </w:r>
      <w:r w:rsidRPr="0009028A">
        <w:rPr>
          <w:rFonts w:ascii="Arial" w:hAnsi="Arial" w:cs="Arial"/>
          <w:sz w:val="20"/>
        </w:rPr>
        <w:t>)</w:t>
      </w:r>
      <w:r w:rsidR="005F6088">
        <w:rPr>
          <w:rFonts w:ascii="Arial" w:hAnsi="Arial" w:cs="Arial"/>
          <w:sz w:val="20"/>
        </w:rPr>
        <w:t xml:space="preserve"> es una C</w:t>
      </w:r>
      <w:r w:rsidR="00811BA1" w:rsidRPr="0009028A">
        <w:rPr>
          <w:rFonts w:ascii="Arial" w:hAnsi="Arial" w:cs="Arial"/>
          <w:sz w:val="20"/>
        </w:rPr>
        <w:t>ompañía con domicilio en Colombia; la dirección registrada de su oficina principal es Carrera 43 A 1 A Sur Torre Norte Piso 5 (Medellín, Colombia). Fue constituida por escritura pública No. 1920, de julio 16 de 1992, de la notaría 42 de Bogotá y su término de duración expira el 31 de diciembre del año 2100.</w:t>
      </w:r>
    </w:p>
    <w:p w14:paraId="7BD03875" w14:textId="77777777" w:rsidR="00811BA1" w:rsidRPr="0009028A" w:rsidRDefault="00811BA1" w:rsidP="00811BA1">
      <w:pPr>
        <w:autoSpaceDE w:val="0"/>
        <w:autoSpaceDN w:val="0"/>
        <w:adjustRightInd w:val="0"/>
        <w:spacing w:line="240" w:lineRule="auto"/>
        <w:jc w:val="both"/>
        <w:rPr>
          <w:rFonts w:ascii="Arial" w:hAnsi="Arial" w:cs="Arial"/>
          <w:sz w:val="20"/>
        </w:rPr>
      </w:pPr>
      <w:r w:rsidRPr="0009028A">
        <w:rPr>
          <w:rFonts w:ascii="Arial" w:hAnsi="Arial" w:cs="Arial"/>
          <w:sz w:val="20"/>
        </w:rPr>
        <w:t>Su objeto social principal es el estudio, realización, financiación y explotación, por sí misma o en asocio con terceras personas, de todas las actividades y obras propias de la ingeniería y la arquitectura, en todas sus manifestaciones, modalidades y especialidades, dentro o fuera del país. La promoción, creación y desarrollo de entidades financieras o no, que tengan por objeto realizar o apoyar las actividades relacionadas con la ingeniería; la arquitectura o la industria de la construcción; la inversión, a cualquier título, de sus propios recursos en otras personas jurídicas, fondos o patrimonios autónomos, con el fin de obtener rentabilidad. Suscribir y ejecutar contratos de concesión con entidades estatales o privadas de cualquier orden. La explotación económica de actividades de recaudo de cualquier naturaleza y sus actividades conexas. La prestación de servicios de valor agregado y telemática, instalación, operación y mantenimiento de proyectos de servicios de telecomunicaciones, de telefonía, de conectividad a internet y servicios asociados. La estructuración, gestión y ejecución de proyectos relacionados con la explotación, producción, distribución y comercialización de hidrocarburos y gas de la industria petroquímica de la minería, así como la explotación, generación, distribución y comercialización de todo tipo de energía.</w:t>
      </w:r>
    </w:p>
    <w:p w14:paraId="7E12DD1B" w14:textId="77777777" w:rsidR="00811BA1" w:rsidRPr="0009028A" w:rsidRDefault="00811BA1" w:rsidP="00811BA1">
      <w:pPr>
        <w:autoSpaceDE w:val="0"/>
        <w:autoSpaceDN w:val="0"/>
        <w:adjustRightInd w:val="0"/>
        <w:spacing w:line="240" w:lineRule="auto"/>
        <w:jc w:val="both"/>
        <w:rPr>
          <w:rFonts w:ascii="Arial" w:hAnsi="Arial" w:cs="Arial"/>
          <w:sz w:val="20"/>
        </w:rPr>
      </w:pPr>
      <w:r w:rsidRPr="0009028A">
        <w:rPr>
          <w:rFonts w:ascii="Arial" w:hAnsi="Arial" w:cs="Arial"/>
          <w:sz w:val="20"/>
        </w:rPr>
        <w:t>Por ser emisor de títulos valores inscritos en la Bolsa de Valores de Colombia, la compañía, está controlada por la Superintendencia Financiera de Colombia. Odinsa presenta información consolidada de forma independiente a su estado financiero separado.</w:t>
      </w:r>
    </w:p>
    <w:p w14:paraId="34B957B6" w14:textId="1F3E09C0" w:rsidR="00DD7A9E" w:rsidRPr="0009028A" w:rsidRDefault="00E81ACE" w:rsidP="00811BA1">
      <w:pPr>
        <w:autoSpaceDE w:val="0"/>
        <w:autoSpaceDN w:val="0"/>
        <w:adjustRightInd w:val="0"/>
        <w:spacing w:after="0" w:line="240" w:lineRule="auto"/>
        <w:jc w:val="both"/>
        <w:rPr>
          <w:rFonts w:ascii="Arial" w:hAnsi="Arial" w:cs="Arial"/>
          <w:sz w:val="20"/>
        </w:rPr>
      </w:pPr>
      <w:r>
        <w:rPr>
          <w:rFonts w:ascii="Arial" w:hAnsi="Arial" w:cs="Arial"/>
          <w:sz w:val="20"/>
        </w:rPr>
        <w:t>Durante el 2015</w:t>
      </w:r>
      <w:r w:rsidR="00811BA1" w:rsidRPr="0009028A">
        <w:rPr>
          <w:rFonts w:ascii="Arial" w:hAnsi="Arial" w:cs="Arial"/>
          <w:sz w:val="20"/>
        </w:rPr>
        <w:t xml:space="preserve"> Grupo Argos S.A. adquiere inicialmente el 43,80% de la </w:t>
      </w:r>
      <w:r w:rsidR="003A4CF8">
        <w:rPr>
          <w:rFonts w:ascii="Arial" w:hAnsi="Arial" w:cs="Arial"/>
          <w:sz w:val="20"/>
        </w:rPr>
        <w:t>participación de Odinsa</w:t>
      </w:r>
      <w:r w:rsidR="00A31F8A" w:rsidRPr="0009028A">
        <w:rPr>
          <w:rFonts w:ascii="Arial" w:hAnsi="Arial" w:cs="Arial"/>
          <w:sz w:val="20"/>
        </w:rPr>
        <w:t>, pos</w:t>
      </w:r>
      <w:r w:rsidR="00811BA1" w:rsidRPr="0009028A">
        <w:rPr>
          <w:rFonts w:ascii="Arial" w:hAnsi="Arial" w:cs="Arial"/>
          <w:sz w:val="20"/>
        </w:rPr>
        <w:t>terior</w:t>
      </w:r>
      <w:r w:rsidR="00A31F8A" w:rsidRPr="0009028A">
        <w:rPr>
          <w:rFonts w:ascii="Arial" w:hAnsi="Arial" w:cs="Arial"/>
          <w:sz w:val="20"/>
        </w:rPr>
        <w:t>m</w:t>
      </w:r>
      <w:r w:rsidR="00811BA1" w:rsidRPr="0009028A">
        <w:rPr>
          <w:rFonts w:ascii="Arial" w:hAnsi="Arial" w:cs="Arial"/>
          <w:sz w:val="20"/>
        </w:rPr>
        <w:t>ente en el mismo año adquiere el 54,75% obteniendo el 98,55% de la Compañía, y como resultado de la transacción obtuvo el control de la entidad; a partir de septiembre de 2015, la matriz de la entidad es la sociedad denominada Grupo Argos S.A. La adquisición del control accionario de Odinsa está en línea con la estrategia definida por Grupo Argos como una matriz enfocada en infraestructura y, en su condición de accionista controlante, apoyará la estrategia de Odinsa, buscando fortalecer su presencia en la región. Durante 2018, Grupo Argos aumentó su participación a 9</w:t>
      </w:r>
      <w:r w:rsidR="00C82E26" w:rsidRPr="0009028A">
        <w:rPr>
          <w:rFonts w:ascii="Arial" w:hAnsi="Arial" w:cs="Arial"/>
          <w:sz w:val="20"/>
        </w:rPr>
        <w:t>4</w:t>
      </w:r>
      <w:r w:rsidR="00811BA1" w:rsidRPr="0009028A">
        <w:rPr>
          <w:rFonts w:ascii="Arial" w:hAnsi="Arial" w:cs="Arial"/>
          <w:sz w:val="20"/>
        </w:rPr>
        <w:t>,</w:t>
      </w:r>
      <w:r w:rsidR="00C82E26" w:rsidRPr="0009028A">
        <w:rPr>
          <w:rFonts w:ascii="Arial" w:hAnsi="Arial" w:cs="Arial"/>
          <w:sz w:val="20"/>
        </w:rPr>
        <w:t>89</w:t>
      </w:r>
      <w:r w:rsidR="00811BA1" w:rsidRPr="0009028A">
        <w:rPr>
          <w:rFonts w:ascii="Arial" w:hAnsi="Arial" w:cs="Arial"/>
          <w:sz w:val="20"/>
        </w:rPr>
        <w:t>%, con un 4,95% mantenido por Sator S.A.S.</w:t>
      </w:r>
    </w:p>
    <w:p w14:paraId="4566A12E" w14:textId="77777777" w:rsidR="00DD7A9E" w:rsidRPr="0009028A" w:rsidRDefault="00DD7A9E" w:rsidP="00DD7A9E">
      <w:pPr>
        <w:autoSpaceDE w:val="0"/>
        <w:autoSpaceDN w:val="0"/>
        <w:adjustRightInd w:val="0"/>
        <w:spacing w:after="0" w:line="240" w:lineRule="auto"/>
        <w:jc w:val="both"/>
        <w:rPr>
          <w:rFonts w:ascii="Arial" w:hAnsi="Arial" w:cs="Arial"/>
          <w:sz w:val="20"/>
        </w:rPr>
      </w:pPr>
    </w:p>
    <w:p w14:paraId="0D42472B" w14:textId="77777777" w:rsidR="00DD7A9E" w:rsidRPr="0009028A" w:rsidRDefault="00DD7A9E" w:rsidP="00D100F1">
      <w:pPr>
        <w:pStyle w:val="Ttulo1"/>
      </w:pPr>
      <w:bookmarkStart w:id="21" w:name="_Toc506991886"/>
      <w:bookmarkStart w:id="22" w:name="_Toc8735032"/>
      <w:bookmarkStart w:id="23" w:name="_Toc6294424"/>
      <w:bookmarkStart w:id="24" w:name="_Toc6322762"/>
      <w:r w:rsidRPr="0009028A">
        <w:t xml:space="preserve">Nota 2: </w:t>
      </w:r>
      <w:bookmarkEnd w:id="21"/>
      <w:r w:rsidRPr="0009028A">
        <w:t>Base</w:t>
      </w:r>
      <w:r w:rsidR="00992EAB" w:rsidRPr="0009028A">
        <w:t>s</w:t>
      </w:r>
      <w:r w:rsidRPr="0009028A">
        <w:t xml:space="preserve"> de pre</w:t>
      </w:r>
      <w:r w:rsidR="00992EAB" w:rsidRPr="0009028A">
        <w:t>par</w:t>
      </w:r>
      <w:r w:rsidRPr="0009028A">
        <w:t xml:space="preserve">ación </w:t>
      </w:r>
      <w:r w:rsidR="00992EAB" w:rsidRPr="0009028A">
        <w:t xml:space="preserve">de los estados financieros </w:t>
      </w:r>
      <w:r w:rsidR="00C82E26" w:rsidRPr="0009028A">
        <w:t xml:space="preserve">intermedios </w:t>
      </w:r>
      <w:r w:rsidR="003D070E" w:rsidRPr="0009028A">
        <w:t xml:space="preserve">condensados </w:t>
      </w:r>
      <w:r w:rsidR="00992EAB" w:rsidRPr="0009028A">
        <w:t>separados</w:t>
      </w:r>
      <w:bookmarkEnd w:id="22"/>
      <w:r w:rsidR="00992EAB" w:rsidRPr="0009028A">
        <w:t xml:space="preserve"> </w:t>
      </w:r>
      <w:bookmarkEnd w:id="23"/>
      <w:bookmarkEnd w:id="24"/>
    </w:p>
    <w:p w14:paraId="42B0EDD9" w14:textId="77777777" w:rsidR="00DD7A9E" w:rsidRPr="0009028A" w:rsidRDefault="00DD7A9E" w:rsidP="00DD7A9E">
      <w:pPr>
        <w:spacing w:after="0" w:line="240" w:lineRule="auto"/>
        <w:rPr>
          <w:rFonts w:ascii="Arial" w:eastAsia="Times New Roman" w:hAnsi="Arial" w:cs="Arial"/>
          <w:b/>
          <w:bCs/>
          <w:iCs/>
          <w:sz w:val="20"/>
          <w:szCs w:val="20"/>
        </w:rPr>
      </w:pPr>
    </w:p>
    <w:p w14:paraId="18A184A3" w14:textId="77777777" w:rsidR="00DD7A9E" w:rsidRPr="0009028A" w:rsidRDefault="00DD7A9E" w:rsidP="00DD7A9E">
      <w:pPr>
        <w:pStyle w:val="Ttulo2"/>
        <w:spacing w:afterAutospacing="0"/>
        <w:rPr>
          <w:rFonts w:ascii="Arial" w:hAnsi="Arial" w:cs="Arial"/>
          <w:b w:val="0"/>
        </w:rPr>
      </w:pPr>
      <w:bookmarkStart w:id="25" w:name="_Toc506991887"/>
      <w:bookmarkStart w:id="26" w:name="_Toc6294425"/>
      <w:bookmarkStart w:id="27" w:name="_Toc6322763"/>
      <w:bookmarkStart w:id="28" w:name="_Toc8735033"/>
      <w:r w:rsidRPr="0009028A">
        <w:rPr>
          <w:rFonts w:ascii="Arial" w:hAnsi="Arial" w:cs="Arial"/>
          <w:b w:val="0"/>
        </w:rPr>
        <w:t xml:space="preserve">2.1. </w:t>
      </w:r>
      <w:bookmarkEnd w:id="25"/>
      <w:bookmarkEnd w:id="26"/>
      <w:bookmarkEnd w:id="27"/>
      <w:r w:rsidR="00613E9D" w:rsidRPr="0009028A">
        <w:rPr>
          <w:rFonts w:ascii="Arial" w:hAnsi="Arial" w:cs="Arial"/>
          <w:b w:val="0"/>
        </w:rPr>
        <w:t>Marco técn</w:t>
      </w:r>
      <w:r w:rsidR="00992EAB" w:rsidRPr="0009028A">
        <w:rPr>
          <w:rFonts w:ascii="Arial" w:hAnsi="Arial" w:cs="Arial"/>
          <w:b w:val="0"/>
        </w:rPr>
        <w:t>ico normativo</w:t>
      </w:r>
      <w:bookmarkEnd w:id="28"/>
    </w:p>
    <w:p w14:paraId="076A1CC9" w14:textId="77777777" w:rsidR="00710F32" w:rsidRPr="0009028A" w:rsidRDefault="00710F32" w:rsidP="00710F32">
      <w:pPr>
        <w:autoSpaceDE w:val="0"/>
        <w:autoSpaceDN w:val="0"/>
        <w:adjustRightInd w:val="0"/>
        <w:spacing w:after="0" w:line="240" w:lineRule="auto"/>
        <w:jc w:val="both"/>
        <w:rPr>
          <w:rFonts w:ascii="Arial" w:hAnsi="Arial" w:cs="Arial"/>
          <w:sz w:val="20"/>
        </w:rPr>
      </w:pPr>
    </w:p>
    <w:p w14:paraId="063D70D0" w14:textId="77777777" w:rsidR="00323A5F" w:rsidRDefault="003A4CF8" w:rsidP="00291B2B">
      <w:pPr>
        <w:jc w:val="both"/>
        <w:rPr>
          <w:rFonts w:ascii="Arial" w:hAnsi="Arial" w:cs="Arial"/>
          <w:sz w:val="20"/>
        </w:rPr>
      </w:pPr>
      <w:r w:rsidRPr="003A4CF8">
        <w:rPr>
          <w:rFonts w:ascii="Arial" w:hAnsi="Arial" w:cs="Arial"/>
          <w:sz w:val="20"/>
        </w:rPr>
        <w:t>Los estados financieros intermedios condensados separados (estados financieros intermedios) han sido preparados de acuerdo con las Normas de Contabilidad y de Información Financiera aceptadas en Colombia (NCIF), establecidas en la Ley 1314 de 2009, reglamentadas por el Decreto Único Reglamentario 2420 de 2015 modificado por los Decretos 2496 de 2015, 2131 de 2016, 2170 de 2017 y 2483 de 2018. Las NCIF aplicables en 2018 se basan en las Normas Internacionales de Información Financiera (NIIF), junto con sus interpretaciones, emitidas por el Consejo de Normas Internacionales de Contabilidad (International Accounting Standards Board – IASB, por sus siglas en inglés); las normas de base corresponden a las traducidas oficialmente al español y emitidas por el IASB al primer semestre de 2016.</w:t>
      </w:r>
    </w:p>
    <w:p w14:paraId="64292509" w14:textId="0902690D" w:rsidR="00DD7A9E" w:rsidRDefault="003A4CF8" w:rsidP="00291B2B">
      <w:pPr>
        <w:jc w:val="both"/>
        <w:rPr>
          <w:rFonts w:ascii="Arial" w:hAnsi="Arial" w:cs="Arial"/>
          <w:sz w:val="20"/>
        </w:rPr>
      </w:pPr>
      <w:r w:rsidRPr="003A4CF8">
        <w:rPr>
          <w:rFonts w:ascii="Arial" w:hAnsi="Arial" w:cs="Arial"/>
          <w:sz w:val="20"/>
        </w:rPr>
        <w:t>Estos estados financieros intermedios se han preparado de acuerdo con la NIC 34 Información financiera intermedia, y deben leerse junto con los últimos estados financieros anuales separados de la Compañía al 31 de diciembre de 2018. No incluyen toda la información requerida para un conjunto completo de estados financieros separados anuales presentados bajo NIC 1. Sin embargo, se incluyen notas explicativas seleccionadas para explicar eventos y transacciones que son importantes para comprender los cambios en la situación financiera y el rendimiento de la Compañía desde los últimos estados financieros anuales.</w:t>
      </w:r>
    </w:p>
    <w:p w14:paraId="3C84D923" w14:textId="0F3C32F9" w:rsidR="005504B9" w:rsidRPr="005504B9" w:rsidRDefault="005504B9" w:rsidP="005504B9">
      <w:pPr>
        <w:widowControl w:val="0"/>
        <w:autoSpaceDE w:val="0"/>
        <w:autoSpaceDN w:val="0"/>
        <w:adjustRightInd w:val="0"/>
        <w:spacing w:before="240"/>
        <w:jc w:val="both"/>
        <w:rPr>
          <w:rFonts w:ascii="Arial" w:hAnsi="Arial" w:cs="Arial"/>
          <w:sz w:val="20"/>
          <w:szCs w:val="20"/>
        </w:rPr>
      </w:pPr>
      <w:r w:rsidRPr="005E5BC1">
        <w:rPr>
          <w:rFonts w:ascii="Arial" w:hAnsi="Arial" w:cs="Arial"/>
          <w:sz w:val="20"/>
          <w:szCs w:val="20"/>
        </w:rPr>
        <w:t xml:space="preserve">Los estados financieros </w:t>
      </w:r>
      <w:r>
        <w:rPr>
          <w:rFonts w:ascii="Arial" w:hAnsi="Arial" w:cs="Arial"/>
          <w:sz w:val="20"/>
          <w:szCs w:val="20"/>
        </w:rPr>
        <w:t xml:space="preserve">intermedios condensados </w:t>
      </w:r>
      <w:r w:rsidRPr="005E5BC1">
        <w:rPr>
          <w:rFonts w:ascii="Arial" w:hAnsi="Arial" w:cs="Arial"/>
          <w:sz w:val="20"/>
          <w:szCs w:val="20"/>
        </w:rPr>
        <w:t>consolidados al 31 de marzo de 2019</w:t>
      </w:r>
      <w:r>
        <w:rPr>
          <w:rFonts w:ascii="Arial" w:hAnsi="Arial" w:cs="Arial"/>
          <w:sz w:val="20"/>
          <w:szCs w:val="20"/>
        </w:rPr>
        <w:t>,</w:t>
      </w:r>
      <w:r w:rsidRPr="005E5BC1">
        <w:rPr>
          <w:rFonts w:ascii="Arial" w:hAnsi="Arial" w:cs="Arial"/>
          <w:sz w:val="20"/>
          <w:szCs w:val="20"/>
        </w:rPr>
        <w:t xml:space="preserve"> fueron autorizados por la Junta Directiva y el Representante Legal el 22 de abril de 2019 por medio del acta No. 372 de 2019. </w:t>
      </w:r>
    </w:p>
    <w:p w14:paraId="197EC0F5" w14:textId="77777777" w:rsidR="00DD7A9E" w:rsidRPr="0009028A" w:rsidRDefault="00DD7A9E" w:rsidP="00DD7A9E">
      <w:pPr>
        <w:pStyle w:val="Ttulo2"/>
        <w:spacing w:afterAutospacing="0"/>
        <w:rPr>
          <w:rFonts w:ascii="Arial" w:hAnsi="Arial" w:cs="Arial"/>
          <w:b w:val="0"/>
        </w:rPr>
      </w:pPr>
      <w:bookmarkStart w:id="29" w:name="_Toc6294426"/>
      <w:bookmarkStart w:id="30" w:name="_Toc6322764"/>
      <w:bookmarkStart w:id="31" w:name="_Toc8735034"/>
      <w:r w:rsidRPr="0009028A">
        <w:rPr>
          <w:rFonts w:ascii="Arial" w:hAnsi="Arial" w:cs="Arial"/>
          <w:b w:val="0"/>
        </w:rPr>
        <w:t xml:space="preserve">2.2. Bases de </w:t>
      </w:r>
      <w:bookmarkEnd w:id="29"/>
      <w:bookmarkEnd w:id="30"/>
      <w:r w:rsidR="00992EAB" w:rsidRPr="0009028A">
        <w:rPr>
          <w:rFonts w:ascii="Arial" w:hAnsi="Arial" w:cs="Arial"/>
          <w:b w:val="0"/>
        </w:rPr>
        <w:t>medición</w:t>
      </w:r>
      <w:bookmarkEnd w:id="31"/>
    </w:p>
    <w:p w14:paraId="2EBD460E" w14:textId="4DE4E79D" w:rsidR="00DD7A9E" w:rsidRPr="0009028A" w:rsidRDefault="003A4CF8" w:rsidP="00DD7A9E">
      <w:pPr>
        <w:pStyle w:val="Prrafodelista"/>
        <w:widowControl w:val="0"/>
        <w:autoSpaceDE w:val="0"/>
        <w:autoSpaceDN w:val="0"/>
        <w:adjustRightInd w:val="0"/>
        <w:spacing w:before="180" w:line="240" w:lineRule="auto"/>
        <w:ind w:left="0"/>
        <w:jc w:val="both"/>
        <w:rPr>
          <w:rFonts w:ascii="Arial" w:hAnsi="Arial" w:cs="Arial"/>
          <w:sz w:val="20"/>
        </w:rPr>
      </w:pPr>
      <w:r w:rsidRPr="003A4CF8">
        <w:rPr>
          <w:rFonts w:ascii="Arial" w:hAnsi="Arial" w:cs="Arial"/>
          <w:sz w:val="20"/>
        </w:rPr>
        <w:t>Estos estados financieros intermedios son preparados en pesos, que es la moneda funcional y de presentación de la Compañía. Toda la información es presentada en miles de pesos y ha sido redondeada a la unidad más cercana.</w:t>
      </w:r>
    </w:p>
    <w:p w14:paraId="2E3552C4" w14:textId="77777777" w:rsidR="00DD7A9E" w:rsidRPr="0009028A" w:rsidRDefault="00DD7A9E" w:rsidP="00DD7A9E">
      <w:pPr>
        <w:pStyle w:val="Prrafodelista"/>
        <w:widowControl w:val="0"/>
        <w:autoSpaceDE w:val="0"/>
        <w:autoSpaceDN w:val="0"/>
        <w:adjustRightInd w:val="0"/>
        <w:spacing w:before="180" w:line="240" w:lineRule="auto"/>
        <w:ind w:left="0"/>
        <w:jc w:val="both"/>
        <w:rPr>
          <w:rFonts w:ascii="Arial" w:hAnsi="Arial" w:cs="Arial"/>
          <w:sz w:val="20"/>
        </w:rPr>
      </w:pPr>
    </w:p>
    <w:p w14:paraId="4EB4EE36" w14:textId="77777777" w:rsidR="00DD7A9E" w:rsidRPr="0009028A" w:rsidRDefault="00DD7A9E" w:rsidP="00835247">
      <w:pPr>
        <w:pStyle w:val="Prrafodelista"/>
        <w:widowControl w:val="0"/>
        <w:numPr>
          <w:ilvl w:val="0"/>
          <w:numId w:val="3"/>
        </w:numPr>
        <w:tabs>
          <w:tab w:val="left" w:pos="284"/>
        </w:tabs>
        <w:autoSpaceDE w:val="0"/>
        <w:autoSpaceDN w:val="0"/>
        <w:adjustRightInd w:val="0"/>
        <w:spacing w:after="0" w:line="240" w:lineRule="auto"/>
        <w:ind w:left="0" w:firstLine="0"/>
        <w:contextualSpacing w:val="0"/>
        <w:jc w:val="both"/>
        <w:rPr>
          <w:rFonts w:ascii="Arial" w:hAnsi="Arial" w:cs="Arial"/>
          <w:sz w:val="20"/>
        </w:rPr>
      </w:pPr>
      <w:r w:rsidRPr="0009028A">
        <w:rPr>
          <w:rFonts w:ascii="Arial" w:hAnsi="Arial" w:cs="Arial"/>
          <w:sz w:val="20"/>
        </w:rPr>
        <w:t>Los instrumentos de patrimonio cotizados en bolsa se actualizan por su valor razonable.</w:t>
      </w:r>
    </w:p>
    <w:p w14:paraId="0E2372A0" w14:textId="77777777" w:rsidR="00DD7A9E" w:rsidRPr="0009028A" w:rsidRDefault="00DD7A9E" w:rsidP="00835247">
      <w:pPr>
        <w:pStyle w:val="Prrafodelista"/>
        <w:widowControl w:val="0"/>
        <w:numPr>
          <w:ilvl w:val="0"/>
          <w:numId w:val="3"/>
        </w:numPr>
        <w:tabs>
          <w:tab w:val="left" w:pos="284"/>
        </w:tabs>
        <w:autoSpaceDE w:val="0"/>
        <w:autoSpaceDN w:val="0"/>
        <w:adjustRightInd w:val="0"/>
        <w:spacing w:after="0" w:line="240" w:lineRule="auto"/>
        <w:ind w:left="0" w:firstLine="0"/>
        <w:contextualSpacing w:val="0"/>
        <w:jc w:val="both"/>
        <w:rPr>
          <w:rFonts w:ascii="Arial" w:hAnsi="Arial" w:cs="Arial"/>
          <w:sz w:val="20"/>
        </w:rPr>
      </w:pPr>
      <w:r w:rsidRPr="0009028A">
        <w:rPr>
          <w:rFonts w:ascii="Arial" w:hAnsi="Arial" w:cs="Arial"/>
          <w:sz w:val="20"/>
        </w:rPr>
        <w:t>Las propiedades de inversión se valorizan a su valor razonable.</w:t>
      </w:r>
    </w:p>
    <w:p w14:paraId="00F111E9" w14:textId="77777777" w:rsidR="00DD7A9E" w:rsidRPr="0009028A" w:rsidRDefault="00DD7A9E" w:rsidP="00DD7A9E">
      <w:pPr>
        <w:widowControl w:val="0"/>
        <w:tabs>
          <w:tab w:val="left" w:pos="284"/>
        </w:tabs>
        <w:autoSpaceDE w:val="0"/>
        <w:autoSpaceDN w:val="0"/>
        <w:adjustRightInd w:val="0"/>
        <w:spacing w:after="0" w:line="240" w:lineRule="auto"/>
        <w:jc w:val="both"/>
        <w:rPr>
          <w:rFonts w:ascii="Arial" w:hAnsi="Arial" w:cs="Arial"/>
          <w:sz w:val="20"/>
        </w:rPr>
      </w:pPr>
    </w:p>
    <w:p w14:paraId="3B48CA72" w14:textId="77777777" w:rsidR="00DD7A9E" w:rsidRPr="0009028A" w:rsidRDefault="00DD7A9E" w:rsidP="00DD7A9E">
      <w:pPr>
        <w:pStyle w:val="Ttulo2"/>
        <w:spacing w:afterAutospacing="0"/>
        <w:rPr>
          <w:rFonts w:ascii="Arial" w:hAnsi="Arial" w:cs="Arial"/>
          <w:b w:val="0"/>
        </w:rPr>
      </w:pPr>
      <w:bookmarkStart w:id="32" w:name="_Toc6294427"/>
      <w:bookmarkStart w:id="33" w:name="_Toc6322765"/>
      <w:bookmarkStart w:id="34" w:name="_Toc8735035"/>
      <w:r w:rsidRPr="0009028A">
        <w:rPr>
          <w:rFonts w:ascii="Arial" w:hAnsi="Arial" w:cs="Arial"/>
          <w:b w:val="0"/>
        </w:rPr>
        <w:t>2.3. Moneda funcional y de presentación</w:t>
      </w:r>
      <w:bookmarkEnd w:id="32"/>
      <w:bookmarkEnd w:id="33"/>
      <w:bookmarkEnd w:id="34"/>
    </w:p>
    <w:p w14:paraId="728B5719" w14:textId="77777777" w:rsidR="00DD7A9E" w:rsidRPr="0009028A" w:rsidRDefault="00DD7A9E" w:rsidP="00DD7A9E">
      <w:pPr>
        <w:pStyle w:val="Prrafodelista"/>
        <w:widowControl w:val="0"/>
        <w:autoSpaceDE w:val="0"/>
        <w:autoSpaceDN w:val="0"/>
        <w:adjustRightInd w:val="0"/>
        <w:spacing w:before="180" w:line="240" w:lineRule="auto"/>
        <w:ind w:left="0"/>
        <w:contextualSpacing w:val="0"/>
        <w:jc w:val="both"/>
        <w:rPr>
          <w:rFonts w:ascii="Arial" w:hAnsi="Arial" w:cs="Arial"/>
          <w:sz w:val="20"/>
        </w:rPr>
      </w:pPr>
      <w:r w:rsidRPr="0009028A">
        <w:rPr>
          <w:rFonts w:ascii="Arial" w:hAnsi="Arial" w:cs="Arial"/>
          <w:sz w:val="20"/>
        </w:rPr>
        <w:t xml:space="preserve">Estos estados financieros separados son preparados en </w:t>
      </w:r>
      <w:r w:rsidR="00C82E26" w:rsidRPr="0009028A">
        <w:rPr>
          <w:rFonts w:ascii="Arial" w:hAnsi="Arial" w:cs="Arial"/>
          <w:sz w:val="20"/>
        </w:rPr>
        <w:t>pesos</w:t>
      </w:r>
      <w:r w:rsidRPr="0009028A">
        <w:rPr>
          <w:rFonts w:ascii="Arial" w:hAnsi="Arial" w:cs="Arial"/>
          <w:sz w:val="20"/>
        </w:rPr>
        <w:t xml:space="preserve">, que es la moneda funcional y de presentación de la Compañía. Toda la información es presentada en miles de </w:t>
      </w:r>
      <w:r w:rsidR="00C82E26" w:rsidRPr="0009028A">
        <w:rPr>
          <w:rFonts w:ascii="Arial" w:hAnsi="Arial" w:cs="Arial"/>
          <w:sz w:val="20"/>
        </w:rPr>
        <w:t>pesos</w:t>
      </w:r>
      <w:r w:rsidRPr="0009028A">
        <w:rPr>
          <w:rFonts w:ascii="Arial" w:hAnsi="Arial" w:cs="Arial"/>
          <w:sz w:val="20"/>
        </w:rPr>
        <w:t xml:space="preserve"> y ha sido redondeada a la unidad más cercana. </w:t>
      </w:r>
    </w:p>
    <w:p w14:paraId="66993DA9" w14:textId="77777777" w:rsidR="00DD7A9E" w:rsidRPr="0009028A" w:rsidRDefault="00DD7A9E" w:rsidP="00DD7A9E">
      <w:pPr>
        <w:pStyle w:val="Ttulo2"/>
        <w:spacing w:afterAutospacing="0"/>
        <w:rPr>
          <w:rFonts w:ascii="Arial" w:hAnsi="Arial" w:cs="Arial"/>
          <w:b w:val="0"/>
        </w:rPr>
      </w:pPr>
      <w:bookmarkStart w:id="35" w:name="_Toc6294428"/>
      <w:bookmarkStart w:id="36" w:name="_Toc6322766"/>
      <w:bookmarkStart w:id="37" w:name="_Toc8735036"/>
      <w:r w:rsidRPr="0009028A">
        <w:rPr>
          <w:rFonts w:ascii="Arial" w:hAnsi="Arial" w:cs="Arial"/>
          <w:b w:val="0"/>
        </w:rPr>
        <w:t>2.4. Uso de estimaciones y juicios</w:t>
      </w:r>
      <w:bookmarkEnd w:id="35"/>
      <w:bookmarkEnd w:id="36"/>
      <w:bookmarkEnd w:id="37"/>
    </w:p>
    <w:p w14:paraId="1FDF65AC" w14:textId="2C6DCEAF" w:rsidR="00DD7A9E" w:rsidRPr="0009028A" w:rsidRDefault="00114123" w:rsidP="00DD7A9E">
      <w:pPr>
        <w:widowControl w:val="0"/>
        <w:autoSpaceDE w:val="0"/>
        <w:autoSpaceDN w:val="0"/>
        <w:adjustRightInd w:val="0"/>
        <w:spacing w:before="220" w:after="0" w:line="240" w:lineRule="auto"/>
        <w:jc w:val="both"/>
        <w:rPr>
          <w:rFonts w:ascii="Arial" w:hAnsi="Arial" w:cs="Arial"/>
          <w:sz w:val="20"/>
        </w:rPr>
      </w:pPr>
      <w:r w:rsidRPr="00114123">
        <w:rPr>
          <w:rFonts w:ascii="Arial" w:hAnsi="Arial" w:cs="Arial"/>
          <w:sz w:val="20"/>
        </w:rPr>
        <w:t>La preparación de los estados financieros intermedios de conformidad con las NCIF requiere que la administración realice juicios, estimaciones y supuestos que afectan la aplicación de las políticas contables y los montos de activos, pasivos, ingresos y gastos informados. Los resultados reales pueden diferir de estas estimaciones.</w:t>
      </w:r>
      <w:r w:rsidR="00DD7A9E" w:rsidRPr="0009028A">
        <w:rPr>
          <w:rFonts w:ascii="Arial" w:hAnsi="Arial" w:cs="Arial"/>
          <w:sz w:val="20"/>
        </w:rPr>
        <w:t xml:space="preserve"> </w:t>
      </w:r>
    </w:p>
    <w:p w14:paraId="584C32D4" w14:textId="77777777" w:rsidR="00DD7A9E" w:rsidRPr="0009028A" w:rsidRDefault="00DD7A9E" w:rsidP="00DD7A9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Las estimaciones y supuestos relevantes son revisados regularmente. Las revisiones de las estimaciones contables son reconocidas en el período en que la estimación es revisada y en cualquier período futuro afectado.</w:t>
      </w:r>
    </w:p>
    <w:p w14:paraId="7E46C375" w14:textId="77777777" w:rsidR="00DD7A9E" w:rsidRPr="0009028A" w:rsidRDefault="00DD7A9E" w:rsidP="00DD7A9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Se relaciona a continuación las normas de valoración que requieren una mayor cantidad de estimaciones:</w:t>
      </w:r>
    </w:p>
    <w:p w14:paraId="7BC5548A" w14:textId="77777777" w:rsidR="00DD7A9E" w:rsidRPr="0009028A" w:rsidRDefault="00DD7A9E" w:rsidP="00835247">
      <w:pPr>
        <w:pStyle w:val="Prrafodelista"/>
        <w:widowControl w:val="0"/>
        <w:numPr>
          <w:ilvl w:val="0"/>
          <w:numId w:val="27"/>
        </w:numPr>
        <w:autoSpaceDE w:val="0"/>
        <w:autoSpaceDN w:val="0"/>
        <w:adjustRightInd w:val="0"/>
        <w:spacing w:before="220" w:after="0" w:line="240" w:lineRule="auto"/>
        <w:ind w:left="426"/>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Vidas útiles de propiedades planta y equipo</w:t>
      </w:r>
    </w:p>
    <w:p w14:paraId="5C4927D8" w14:textId="77777777" w:rsidR="00DD7A9E" w:rsidRPr="0009028A" w:rsidRDefault="00DD7A9E" w:rsidP="00DD7A9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La determinación de la vida útil económica y los valores residuales de las propiedades, planta y equipo está sujeta a la estimación de la administración de la Compañía respecto del nivel de utilización de los activos, así como de la evolución tecnológica esperada. La Compañía revisa regularmente la totalidad de sus tasas de depreciación y los valores residuales para tener en cuenta cualquier cambio respecto del nivel de utilización, marco tecnológico y su desarrollo futuro, que son eventos difíciles de prever, y cualquier cambio podría afectar los futuros cargos de depreciación y los montos en libros de los activos.</w:t>
      </w:r>
    </w:p>
    <w:p w14:paraId="7D8A7117" w14:textId="77777777" w:rsidR="00DD7A9E" w:rsidRPr="0009028A" w:rsidRDefault="00DD7A9E" w:rsidP="00835247">
      <w:pPr>
        <w:pStyle w:val="Prrafodelista"/>
        <w:widowControl w:val="0"/>
        <w:numPr>
          <w:ilvl w:val="0"/>
          <w:numId w:val="27"/>
        </w:numPr>
        <w:autoSpaceDE w:val="0"/>
        <w:autoSpaceDN w:val="0"/>
        <w:adjustRightInd w:val="0"/>
        <w:spacing w:before="220" w:after="0" w:line="240" w:lineRule="auto"/>
        <w:ind w:left="426"/>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Estimación de tráfico para la amortización de activos intangibles</w:t>
      </w:r>
    </w:p>
    <w:p w14:paraId="43218793" w14:textId="77777777" w:rsidR="00DD7A9E" w:rsidRPr="0009028A" w:rsidRDefault="00DD7A9E" w:rsidP="00DD7A9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Las proyecciones de tráfico tienen un nivel de incertidumbre. Para minimizar estos riesgos, las proyecciones de</w:t>
      </w:r>
      <w:r w:rsidRPr="0009028A">
        <w:rPr>
          <w:rFonts w:ascii="Arial" w:hAnsi="Arial" w:cs="Arial"/>
          <w:sz w:val="20"/>
          <w:szCs w:val="20"/>
        </w:rPr>
        <w:t xml:space="preserve"> </w:t>
      </w:r>
      <w:r w:rsidRPr="0009028A">
        <w:rPr>
          <w:rFonts w:ascii="Arial" w:hAnsi="Arial" w:cs="Arial"/>
          <w:sz w:val="20"/>
        </w:rPr>
        <w:t xml:space="preserve">tráfico se realizaron y son revisadas periódicamente por los consultores independientes. La </w:t>
      </w:r>
      <w:r w:rsidR="00992EAB" w:rsidRPr="0009028A">
        <w:rPr>
          <w:rFonts w:ascii="Arial" w:hAnsi="Arial" w:cs="Arial"/>
          <w:sz w:val="20"/>
        </w:rPr>
        <w:t xml:space="preserve">Compañía </w:t>
      </w:r>
      <w:r w:rsidRPr="0009028A">
        <w:rPr>
          <w:rFonts w:ascii="Arial" w:hAnsi="Arial" w:cs="Arial"/>
          <w:sz w:val="20"/>
        </w:rPr>
        <w:t>utiliza estas estimaciones para la amortización de su activo intangible.</w:t>
      </w:r>
    </w:p>
    <w:p w14:paraId="785AF4EE" w14:textId="77777777" w:rsidR="00DD7A9E" w:rsidRPr="0009028A" w:rsidRDefault="00DD7A9E" w:rsidP="00835247">
      <w:pPr>
        <w:pStyle w:val="Prrafodelista"/>
        <w:widowControl w:val="0"/>
        <w:numPr>
          <w:ilvl w:val="0"/>
          <w:numId w:val="27"/>
        </w:numPr>
        <w:autoSpaceDE w:val="0"/>
        <w:autoSpaceDN w:val="0"/>
        <w:adjustRightInd w:val="0"/>
        <w:spacing w:before="220" w:after="0" w:line="240" w:lineRule="auto"/>
        <w:ind w:left="426"/>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Reconocimiento de ingresos</w:t>
      </w:r>
    </w:p>
    <w:p w14:paraId="54734931" w14:textId="77777777" w:rsidR="00DD7A9E" w:rsidRPr="0009028A" w:rsidRDefault="00DD7A9E" w:rsidP="00DD7A9E">
      <w:pPr>
        <w:widowControl w:val="0"/>
        <w:autoSpaceDE w:val="0"/>
        <w:autoSpaceDN w:val="0"/>
        <w:adjustRightInd w:val="0"/>
        <w:spacing w:before="200" w:line="240" w:lineRule="auto"/>
        <w:jc w:val="both"/>
        <w:rPr>
          <w:rFonts w:ascii="Arial" w:hAnsi="Arial" w:cs="Arial"/>
          <w:sz w:val="20"/>
        </w:rPr>
      </w:pPr>
      <w:r w:rsidRPr="0009028A">
        <w:rPr>
          <w:rFonts w:ascii="Arial" w:hAnsi="Arial" w:cs="Arial"/>
          <w:sz w:val="20"/>
        </w:rPr>
        <w:t>Aplicable a partir del 1 de enero de 2018</w:t>
      </w:r>
    </w:p>
    <w:p w14:paraId="65CBCB05" w14:textId="77777777" w:rsidR="00DD7A9E" w:rsidRPr="0009028A" w:rsidRDefault="00DD7A9E" w:rsidP="00DD7A9E">
      <w:pPr>
        <w:autoSpaceDE w:val="0"/>
        <w:autoSpaceDN w:val="0"/>
        <w:adjustRightInd w:val="0"/>
        <w:spacing w:line="240" w:lineRule="auto"/>
        <w:jc w:val="both"/>
        <w:rPr>
          <w:rFonts w:ascii="Arial" w:hAnsi="Arial" w:cs="Arial"/>
          <w:sz w:val="20"/>
        </w:rPr>
      </w:pPr>
      <w:r w:rsidRPr="0009028A">
        <w:rPr>
          <w:rFonts w:ascii="Arial" w:hAnsi="Arial" w:cs="Arial"/>
          <w:sz w:val="20"/>
        </w:rPr>
        <w:t>La aplicación de la NIIF 15 le exige a la Compañía hacer juicios que afectan la determinación del monto y tiempo de los ingresos provenientes de contratos con clientes. Estos incluyen:</w:t>
      </w:r>
    </w:p>
    <w:p w14:paraId="56386013" w14:textId="77777777" w:rsidR="00DD7A9E" w:rsidRPr="0009028A" w:rsidRDefault="00DD7A9E" w:rsidP="00835247">
      <w:pPr>
        <w:pStyle w:val="Prrafodelista"/>
        <w:numPr>
          <w:ilvl w:val="0"/>
          <w:numId w:val="15"/>
        </w:numPr>
        <w:autoSpaceDE w:val="0"/>
        <w:autoSpaceDN w:val="0"/>
        <w:adjustRightInd w:val="0"/>
        <w:spacing w:after="0" w:line="240" w:lineRule="auto"/>
        <w:ind w:left="0" w:firstLine="0"/>
        <w:jc w:val="both"/>
        <w:rPr>
          <w:rFonts w:ascii="Arial" w:hAnsi="Arial" w:cs="Arial"/>
          <w:sz w:val="20"/>
        </w:rPr>
      </w:pPr>
      <w:r w:rsidRPr="0009028A">
        <w:rPr>
          <w:rFonts w:ascii="Arial" w:hAnsi="Arial" w:cs="Arial"/>
          <w:sz w:val="20"/>
        </w:rPr>
        <w:t>Determinación del tiempo de cumplimiento de las obligaciones de desempeño,</w:t>
      </w:r>
    </w:p>
    <w:p w14:paraId="4BCA89E6" w14:textId="77777777" w:rsidR="00DD7A9E" w:rsidRPr="0009028A" w:rsidRDefault="00DD7A9E" w:rsidP="00835247">
      <w:pPr>
        <w:pStyle w:val="Prrafodelista"/>
        <w:numPr>
          <w:ilvl w:val="0"/>
          <w:numId w:val="15"/>
        </w:numPr>
        <w:autoSpaceDE w:val="0"/>
        <w:autoSpaceDN w:val="0"/>
        <w:adjustRightInd w:val="0"/>
        <w:spacing w:after="0" w:line="240" w:lineRule="auto"/>
        <w:ind w:left="0" w:firstLine="0"/>
        <w:jc w:val="both"/>
        <w:rPr>
          <w:rFonts w:ascii="Arial" w:hAnsi="Arial" w:cs="Arial"/>
          <w:sz w:val="20"/>
        </w:rPr>
      </w:pPr>
      <w:r w:rsidRPr="0009028A">
        <w:rPr>
          <w:rFonts w:ascii="Arial" w:hAnsi="Arial" w:cs="Arial"/>
          <w:sz w:val="20"/>
        </w:rPr>
        <w:t>Determinación del precio de la transacción asignado a dichas obligaciones,</w:t>
      </w:r>
    </w:p>
    <w:p w14:paraId="341923F5" w14:textId="77777777" w:rsidR="00DD7A9E" w:rsidRPr="0009028A" w:rsidRDefault="00DD7A9E" w:rsidP="00835247">
      <w:pPr>
        <w:numPr>
          <w:ilvl w:val="0"/>
          <w:numId w:val="15"/>
        </w:numPr>
        <w:autoSpaceDE w:val="0"/>
        <w:autoSpaceDN w:val="0"/>
        <w:adjustRightInd w:val="0"/>
        <w:spacing w:after="0" w:line="240" w:lineRule="auto"/>
        <w:ind w:left="0" w:firstLine="0"/>
        <w:jc w:val="both"/>
        <w:rPr>
          <w:rFonts w:ascii="Arial" w:hAnsi="Arial" w:cs="Arial"/>
          <w:sz w:val="20"/>
        </w:rPr>
      </w:pPr>
      <w:r w:rsidRPr="0009028A">
        <w:rPr>
          <w:rFonts w:ascii="Arial" w:hAnsi="Arial" w:cs="Arial"/>
          <w:sz w:val="20"/>
        </w:rPr>
        <w:t>Determinación de los precios de venta individuales.</w:t>
      </w:r>
    </w:p>
    <w:p w14:paraId="43853AF5" w14:textId="77777777" w:rsidR="00DD7A9E" w:rsidRPr="0009028A" w:rsidRDefault="00DD7A9E" w:rsidP="00835247">
      <w:pPr>
        <w:pStyle w:val="Prrafodelista"/>
        <w:widowControl w:val="0"/>
        <w:numPr>
          <w:ilvl w:val="0"/>
          <w:numId w:val="27"/>
        </w:numPr>
        <w:autoSpaceDE w:val="0"/>
        <w:autoSpaceDN w:val="0"/>
        <w:adjustRightInd w:val="0"/>
        <w:spacing w:before="220" w:after="0" w:line="240" w:lineRule="auto"/>
        <w:ind w:left="426"/>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 xml:space="preserve">Reconocimiento de ingresos por contratos de construcción </w:t>
      </w:r>
    </w:p>
    <w:p w14:paraId="69339162" w14:textId="734B09F3" w:rsidR="00DD7A9E" w:rsidRPr="0009028A" w:rsidRDefault="00DD7A9E" w:rsidP="00DD7A9E">
      <w:pPr>
        <w:widowControl w:val="0"/>
        <w:autoSpaceDE w:val="0"/>
        <w:autoSpaceDN w:val="0"/>
        <w:adjustRightInd w:val="0"/>
        <w:spacing w:before="200" w:line="240" w:lineRule="auto"/>
        <w:jc w:val="both"/>
        <w:rPr>
          <w:rFonts w:ascii="Arial" w:hAnsi="Arial" w:cs="Arial"/>
          <w:sz w:val="20"/>
        </w:rPr>
      </w:pPr>
      <w:r w:rsidRPr="0009028A">
        <w:rPr>
          <w:rFonts w:ascii="Arial" w:hAnsi="Arial" w:cs="Arial"/>
          <w:sz w:val="20"/>
        </w:rPr>
        <w:t xml:space="preserve">La Compañía hace la contabilidad de los proyectos de construcción utilizando el método de porcentaje completado, reconociendo el ingreso a medida que avanza el desempeño del contrato. Este método le da una importancia considerable a los estimados precisos del grado de avance hacia la finalización, y es posible que involucre estimados sobre el alcance de las entregas y servicios requeridos para cumplir con las obligaciones definidas por contrato. Estos estimados significativos incluyen costos totales del contrato, ingresos totales, riesgos del contrato que incluyen riesgos técnicos, políticos y reglamentarios, entre otros juicios. Bajo el método de porcentaje completado, los cambios en los estimados pueden llevar a un aumento o disminución del ingreso. Adicionalmente, la </w:t>
      </w:r>
      <w:r w:rsidR="00992EAB" w:rsidRPr="0009028A">
        <w:rPr>
          <w:rFonts w:ascii="Arial" w:hAnsi="Arial" w:cs="Arial"/>
          <w:sz w:val="20"/>
        </w:rPr>
        <w:t xml:space="preserve">Compañía </w:t>
      </w:r>
      <w:r w:rsidRPr="0009028A">
        <w:rPr>
          <w:rFonts w:ascii="Arial" w:hAnsi="Arial" w:cs="Arial"/>
          <w:sz w:val="20"/>
        </w:rPr>
        <w:t xml:space="preserve">evalúa si se espera que el contrato termine o continúe. Al determinar si se espera una continuación o terminación del contrato, se debe considerar de forma individual todos los hechos y circunstancias relevantes en torno al contrato. Para contratos en los que se espera continuación, los montos ya incluidos en el ingreso en los que el cobro dejará de ser probable se reconocen como gasto. Para contratos en los que se espera una terminación, incluyendo terminaciones por eventos de fuerza mayor, los estimados sobre el alcance de las entregas y servicios prestados bajo los contratos se revisan de manera acorde, y esto suele llevar a una disminución en el ingreso del periodo </w:t>
      </w:r>
      <w:r w:rsidR="00114123">
        <w:rPr>
          <w:rFonts w:ascii="Arial" w:hAnsi="Arial" w:cs="Arial"/>
          <w:sz w:val="20"/>
        </w:rPr>
        <w:t>de reporte correspondiente. La C</w:t>
      </w:r>
      <w:r w:rsidRPr="0009028A">
        <w:rPr>
          <w:rFonts w:ascii="Arial" w:hAnsi="Arial" w:cs="Arial"/>
          <w:sz w:val="20"/>
        </w:rPr>
        <w:t>ompañía revisa constantemente todos los estimados involucrados en dichos contratos de construcción y los ajusta según sea necesario.</w:t>
      </w:r>
    </w:p>
    <w:p w14:paraId="7A5D4845" w14:textId="77777777" w:rsidR="00DD7A9E" w:rsidRPr="0009028A" w:rsidRDefault="00DD7A9E" w:rsidP="00835247">
      <w:pPr>
        <w:pStyle w:val="Prrafodelista"/>
        <w:widowControl w:val="0"/>
        <w:numPr>
          <w:ilvl w:val="0"/>
          <w:numId w:val="27"/>
        </w:numPr>
        <w:autoSpaceDE w:val="0"/>
        <w:autoSpaceDN w:val="0"/>
        <w:adjustRightInd w:val="0"/>
        <w:spacing w:before="220" w:after="0" w:line="240" w:lineRule="auto"/>
        <w:ind w:left="426"/>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Provisiones</w:t>
      </w:r>
    </w:p>
    <w:p w14:paraId="67AA7FF1" w14:textId="3AF3DC9B" w:rsidR="00DD7A9E" w:rsidRPr="0009028A" w:rsidRDefault="00DD7A9E" w:rsidP="00DD7A9E">
      <w:pPr>
        <w:widowControl w:val="0"/>
        <w:autoSpaceDE w:val="0"/>
        <w:autoSpaceDN w:val="0"/>
        <w:adjustRightInd w:val="0"/>
        <w:spacing w:before="200" w:line="240" w:lineRule="auto"/>
        <w:jc w:val="both"/>
        <w:rPr>
          <w:rFonts w:ascii="Arial" w:hAnsi="Arial" w:cs="Arial"/>
          <w:sz w:val="20"/>
        </w:rPr>
      </w:pPr>
      <w:r w:rsidRPr="0009028A">
        <w:rPr>
          <w:rFonts w:ascii="Arial" w:hAnsi="Arial" w:cs="Arial"/>
          <w:sz w:val="20"/>
        </w:rPr>
        <w:t>La Compañía realiza la mejor estimación de los importes a liquidar en el futuro para el registro de las contingencias, con el fin de cubrir las posibles pérdidas por los casos laborales o procesos jurídicos, indemnizaciones de clientes; obligaciones contractuales y reparos fiscales u otros según las circunstancias que, con base en la opinión de los asesores legales se consideran probables de pérdida y pueden ser razonablemente cuantificados.</w:t>
      </w:r>
    </w:p>
    <w:p w14:paraId="12FB2A94" w14:textId="77777777" w:rsidR="00DD7A9E" w:rsidRPr="0009028A" w:rsidRDefault="00DD7A9E" w:rsidP="00DD7A9E">
      <w:pPr>
        <w:widowControl w:val="0"/>
        <w:autoSpaceDE w:val="0"/>
        <w:autoSpaceDN w:val="0"/>
        <w:adjustRightInd w:val="0"/>
        <w:spacing w:before="200" w:line="240" w:lineRule="auto"/>
        <w:jc w:val="both"/>
        <w:rPr>
          <w:rFonts w:ascii="Arial" w:hAnsi="Arial" w:cs="Arial"/>
          <w:sz w:val="20"/>
        </w:rPr>
      </w:pPr>
      <w:r w:rsidRPr="0009028A">
        <w:rPr>
          <w:rFonts w:ascii="Arial" w:hAnsi="Arial" w:cs="Arial"/>
          <w:sz w:val="20"/>
        </w:rPr>
        <w:t>Dichas estimaciones están sujetas a interpretaciones de los hechos y circunstancias actuales, proyecciones de acontecimientos futuros y estimaciones de los efectos financieros de dichos acontecimientos.</w:t>
      </w:r>
    </w:p>
    <w:p w14:paraId="489D2411" w14:textId="77777777" w:rsidR="00DD7A9E" w:rsidRPr="0009028A" w:rsidRDefault="00DD7A9E" w:rsidP="00835247">
      <w:pPr>
        <w:pStyle w:val="Prrafodelista"/>
        <w:widowControl w:val="0"/>
        <w:numPr>
          <w:ilvl w:val="0"/>
          <w:numId w:val="27"/>
        </w:numPr>
        <w:autoSpaceDE w:val="0"/>
        <w:autoSpaceDN w:val="0"/>
        <w:adjustRightInd w:val="0"/>
        <w:spacing w:before="220" w:after="0" w:line="240" w:lineRule="auto"/>
        <w:ind w:left="426"/>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Valor razonable de instrumentos financieros</w:t>
      </w:r>
    </w:p>
    <w:p w14:paraId="4F7D71C6" w14:textId="352AEB43" w:rsidR="00DD7A9E" w:rsidRPr="0009028A" w:rsidRDefault="00DD7A9E" w:rsidP="00DD7A9E">
      <w:pPr>
        <w:widowControl w:val="0"/>
        <w:autoSpaceDE w:val="0"/>
        <w:autoSpaceDN w:val="0"/>
        <w:adjustRightInd w:val="0"/>
        <w:spacing w:before="200" w:line="240" w:lineRule="auto"/>
        <w:jc w:val="both"/>
        <w:rPr>
          <w:rFonts w:ascii="Arial" w:hAnsi="Arial" w:cs="Arial"/>
          <w:sz w:val="20"/>
        </w:rPr>
      </w:pPr>
      <w:r w:rsidRPr="0009028A">
        <w:rPr>
          <w:rFonts w:ascii="Arial" w:hAnsi="Arial" w:cs="Arial"/>
          <w:sz w:val="20"/>
        </w:rPr>
        <w:t>El valor razonable de los activos y pasivos financieros a efectos de su reconocimiento inicial y de presentación de información financiera se estima descontando los flujos contractuales futuros de efectivo al tipo de interés corriente del mercado del que puede disponer la Compañía para instrumentos financieros similares.</w:t>
      </w:r>
      <w:r w:rsidR="002462FE">
        <w:rPr>
          <w:rFonts w:ascii="Arial" w:hAnsi="Arial" w:cs="Arial"/>
          <w:sz w:val="20"/>
        </w:rPr>
        <w:t xml:space="preserve"> </w:t>
      </w:r>
      <w:r w:rsidR="0003650B">
        <w:rPr>
          <w:rFonts w:ascii="Arial" w:hAnsi="Arial" w:cs="Arial"/>
          <w:sz w:val="20"/>
        </w:rPr>
        <w:t>A la fecha de presentación de los estados financieros la compañía posee acciones de Fabricato medidas al valor razonable.</w:t>
      </w:r>
    </w:p>
    <w:p w14:paraId="1A828B5A" w14:textId="77777777" w:rsidR="00DD7A9E" w:rsidRPr="0009028A" w:rsidRDefault="00DD7A9E" w:rsidP="00DD7A9E">
      <w:pPr>
        <w:widowControl w:val="0"/>
        <w:autoSpaceDE w:val="0"/>
        <w:autoSpaceDN w:val="0"/>
        <w:adjustRightInd w:val="0"/>
        <w:spacing w:before="200" w:line="240" w:lineRule="auto"/>
        <w:jc w:val="both"/>
        <w:rPr>
          <w:rFonts w:ascii="Arial" w:hAnsi="Arial" w:cs="Arial"/>
          <w:sz w:val="20"/>
        </w:rPr>
      </w:pPr>
      <w:r w:rsidRPr="0009028A">
        <w:rPr>
          <w:rFonts w:ascii="Arial" w:hAnsi="Arial" w:cs="Arial"/>
          <w:sz w:val="20"/>
        </w:rPr>
        <w:t>El valor razonable de los instrumentos financieros que se comercializan en mercados activos se basa en los precios de mercado a la fecha del balance. El precio de cotización de mercado que se utiliza para los activos financieros es el precio corriente del comprador. El valor razonable de los instrumentos financieros que no son comercializados en un mercado activo se determina usando técnicas de valuación. La Compañía aplica su juicio para seleccionar una variedad de métodos y aplica supuestos que principalmente se basan en las condiciones de mercado existentes a la fecha de cada balance general. Para determinar el valor razonable del resto de instrumentos financieros se utilizan otras técnicas, como flujos de efectivo descontados estimados.</w:t>
      </w:r>
    </w:p>
    <w:p w14:paraId="41754760" w14:textId="77777777" w:rsidR="00DD7A9E" w:rsidRPr="0009028A" w:rsidRDefault="00DD7A9E" w:rsidP="00835247">
      <w:pPr>
        <w:pStyle w:val="Prrafodelista"/>
        <w:widowControl w:val="0"/>
        <w:numPr>
          <w:ilvl w:val="0"/>
          <w:numId w:val="27"/>
        </w:numPr>
        <w:autoSpaceDE w:val="0"/>
        <w:autoSpaceDN w:val="0"/>
        <w:adjustRightInd w:val="0"/>
        <w:spacing w:before="220" w:after="0" w:line="240" w:lineRule="auto"/>
        <w:ind w:left="426"/>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 xml:space="preserve">Beneficios a empleados post-empleo </w:t>
      </w:r>
    </w:p>
    <w:p w14:paraId="4B3FFD60" w14:textId="77777777" w:rsidR="00DD7A9E" w:rsidRPr="0009028A" w:rsidRDefault="00DD7A9E" w:rsidP="00DD7A9E">
      <w:pPr>
        <w:widowControl w:val="0"/>
        <w:autoSpaceDE w:val="0"/>
        <w:autoSpaceDN w:val="0"/>
        <w:adjustRightInd w:val="0"/>
        <w:spacing w:before="200" w:line="240" w:lineRule="auto"/>
        <w:jc w:val="both"/>
        <w:rPr>
          <w:rFonts w:ascii="Arial" w:hAnsi="Arial" w:cs="Arial"/>
          <w:sz w:val="20"/>
        </w:rPr>
      </w:pPr>
      <w:r w:rsidRPr="0009028A">
        <w:rPr>
          <w:rFonts w:ascii="Arial" w:hAnsi="Arial" w:cs="Arial"/>
          <w:sz w:val="20"/>
        </w:rPr>
        <w:t>El valor actual de las obligaciones por pensiones de jubilación y otros beneficios post-empleo depende de ciertos factores que se determinan sobre una base actuarial usando una serie de hipótesis. Las hipótesis usadas para determinar el costo de pensiones incluyen tablas de mortalidad, factores de incremento, y la tasa de descuento. Cualquier cambio en estas hipótesis tendrá efecto sobre el valor en libros de las obligaciones por beneficios post-empleo.</w:t>
      </w:r>
    </w:p>
    <w:p w14:paraId="70E81AFF" w14:textId="77777777" w:rsidR="00DD7A9E" w:rsidRPr="0009028A" w:rsidRDefault="00DD7A9E" w:rsidP="00835247">
      <w:pPr>
        <w:pStyle w:val="Prrafodelista"/>
        <w:widowControl w:val="0"/>
        <w:numPr>
          <w:ilvl w:val="0"/>
          <w:numId w:val="27"/>
        </w:numPr>
        <w:autoSpaceDE w:val="0"/>
        <w:autoSpaceDN w:val="0"/>
        <w:adjustRightInd w:val="0"/>
        <w:spacing w:before="220" w:after="0" w:line="240" w:lineRule="auto"/>
        <w:ind w:left="426"/>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 xml:space="preserve">Deterioro de cuentas por cobrar </w:t>
      </w:r>
    </w:p>
    <w:p w14:paraId="1360A1A6" w14:textId="77777777" w:rsidR="00DD7A9E" w:rsidRPr="0009028A" w:rsidRDefault="00DD7A9E" w:rsidP="00DD7A9E">
      <w:pPr>
        <w:widowControl w:val="0"/>
        <w:autoSpaceDE w:val="0"/>
        <w:autoSpaceDN w:val="0"/>
        <w:adjustRightInd w:val="0"/>
        <w:spacing w:before="200" w:line="240" w:lineRule="auto"/>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Aplicable a partir del 1 de enero de 2018</w:t>
      </w:r>
    </w:p>
    <w:p w14:paraId="7D261E44" w14:textId="77777777" w:rsidR="00DD7A9E" w:rsidRPr="0009028A" w:rsidRDefault="00DD7A9E" w:rsidP="00DD7A9E">
      <w:pPr>
        <w:widowControl w:val="0"/>
        <w:autoSpaceDE w:val="0"/>
        <w:autoSpaceDN w:val="0"/>
        <w:adjustRightInd w:val="0"/>
        <w:spacing w:before="200" w:line="240" w:lineRule="auto"/>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 xml:space="preserve">Medición de la provisión por pérdida crediticia esperada </w:t>
      </w:r>
    </w:p>
    <w:p w14:paraId="3A64030D" w14:textId="77777777" w:rsidR="00DD7A9E" w:rsidRPr="0009028A" w:rsidRDefault="00DD7A9E" w:rsidP="00DD7A9E">
      <w:pPr>
        <w:widowControl w:val="0"/>
        <w:autoSpaceDE w:val="0"/>
        <w:autoSpaceDN w:val="0"/>
        <w:adjustRightInd w:val="0"/>
        <w:spacing w:before="200" w:line="240" w:lineRule="auto"/>
        <w:jc w:val="both"/>
        <w:rPr>
          <w:rFonts w:ascii="Arial" w:hAnsi="Arial" w:cs="Arial"/>
          <w:sz w:val="20"/>
        </w:rPr>
      </w:pPr>
      <w:r w:rsidRPr="0009028A">
        <w:rPr>
          <w:rFonts w:ascii="Arial" w:hAnsi="Arial" w:cs="Arial"/>
          <w:sz w:val="20"/>
        </w:rPr>
        <w:t>La medición de la provisión por pérdida crediticia esperada para activos financieros medidos al costo amortizado y al valor razonable con cambios en otro resultado integral es un área que requiere el uso de modelos complejos y suposiciones significativas acerca de condiciones económicas futuras y comportamiento crediticio (por ejemplo, la probabilidad de que los clientes incumplan y las pérdidas resultantes).</w:t>
      </w:r>
    </w:p>
    <w:p w14:paraId="29D5D660" w14:textId="77777777" w:rsidR="00DD7A9E" w:rsidRPr="0009028A" w:rsidRDefault="00DD7A9E" w:rsidP="00DD7A9E">
      <w:pPr>
        <w:widowControl w:val="0"/>
        <w:autoSpaceDE w:val="0"/>
        <w:autoSpaceDN w:val="0"/>
        <w:adjustRightInd w:val="0"/>
        <w:spacing w:before="200" w:line="240" w:lineRule="auto"/>
        <w:jc w:val="both"/>
        <w:rPr>
          <w:rFonts w:ascii="Arial" w:hAnsi="Arial" w:cs="Arial"/>
          <w:sz w:val="20"/>
        </w:rPr>
      </w:pPr>
      <w:r w:rsidRPr="0009028A">
        <w:rPr>
          <w:rFonts w:ascii="Arial" w:hAnsi="Arial" w:cs="Arial"/>
          <w:sz w:val="20"/>
        </w:rPr>
        <w:t>También se requieren varios juicios significativos al aplicar los requisitos de contabilidad para medir la pérdida crediticia esperada, tales como:</w:t>
      </w:r>
    </w:p>
    <w:p w14:paraId="0B8DF3C0" w14:textId="77777777" w:rsidR="00DD7A9E" w:rsidRPr="0009028A" w:rsidRDefault="00DD7A9E" w:rsidP="00DD7A9E">
      <w:pPr>
        <w:widowControl w:val="0"/>
        <w:autoSpaceDE w:val="0"/>
        <w:autoSpaceDN w:val="0"/>
        <w:adjustRightInd w:val="0"/>
        <w:spacing w:after="0" w:line="240" w:lineRule="auto"/>
        <w:jc w:val="both"/>
        <w:rPr>
          <w:rFonts w:ascii="Arial" w:hAnsi="Arial" w:cs="Arial"/>
          <w:sz w:val="20"/>
        </w:rPr>
      </w:pPr>
      <w:r w:rsidRPr="0009028A">
        <w:rPr>
          <w:rFonts w:ascii="Arial" w:hAnsi="Arial" w:cs="Arial"/>
          <w:sz w:val="20"/>
        </w:rPr>
        <w:t>•      Determinar los criterios para un aumento significativo en el riesgo crediticio;</w:t>
      </w:r>
    </w:p>
    <w:p w14:paraId="5FCCBC2E" w14:textId="77777777" w:rsidR="00DD7A9E" w:rsidRPr="0009028A" w:rsidRDefault="00DD7A9E" w:rsidP="00DD7A9E">
      <w:pPr>
        <w:widowControl w:val="0"/>
        <w:autoSpaceDE w:val="0"/>
        <w:autoSpaceDN w:val="0"/>
        <w:adjustRightInd w:val="0"/>
        <w:spacing w:after="0" w:line="240" w:lineRule="auto"/>
        <w:jc w:val="both"/>
        <w:rPr>
          <w:rFonts w:ascii="Arial" w:hAnsi="Arial" w:cs="Arial"/>
          <w:sz w:val="20"/>
        </w:rPr>
      </w:pPr>
      <w:r w:rsidRPr="0009028A">
        <w:rPr>
          <w:rFonts w:ascii="Arial" w:hAnsi="Arial" w:cs="Arial"/>
          <w:sz w:val="20"/>
        </w:rPr>
        <w:t>•      Elegir apropiadamente los modelos y suposiciones para la medición de la pérdida crediticia esperada;</w:t>
      </w:r>
    </w:p>
    <w:p w14:paraId="4C5C09BA" w14:textId="77777777" w:rsidR="00DD7A9E" w:rsidRPr="0009028A" w:rsidRDefault="00DD7A9E" w:rsidP="00835247">
      <w:pPr>
        <w:pStyle w:val="Prrafodelista"/>
        <w:widowControl w:val="0"/>
        <w:numPr>
          <w:ilvl w:val="0"/>
          <w:numId w:val="18"/>
        </w:numPr>
        <w:autoSpaceDE w:val="0"/>
        <w:autoSpaceDN w:val="0"/>
        <w:adjustRightInd w:val="0"/>
        <w:spacing w:after="0" w:line="240" w:lineRule="auto"/>
        <w:ind w:left="426" w:hanging="426"/>
        <w:jc w:val="both"/>
        <w:rPr>
          <w:rFonts w:ascii="Arial" w:hAnsi="Arial" w:cs="Arial"/>
          <w:sz w:val="20"/>
        </w:rPr>
      </w:pPr>
      <w:r w:rsidRPr="0009028A">
        <w:rPr>
          <w:rFonts w:ascii="Arial" w:hAnsi="Arial" w:cs="Arial"/>
          <w:sz w:val="20"/>
        </w:rPr>
        <w:t>Establecer el número y las ponderaciones relativas de los escenarios prospectivos para cada tipo de producto/mercado y la pérdida crediticia esperada asociada; y</w:t>
      </w:r>
    </w:p>
    <w:p w14:paraId="01EDF652" w14:textId="0BCB0D86" w:rsidR="00DD7A9E" w:rsidRDefault="00DD7A9E" w:rsidP="00DD7A9E">
      <w:pPr>
        <w:widowControl w:val="0"/>
        <w:autoSpaceDE w:val="0"/>
        <w:autoSpaceDN w:val="0"/>
        <w:adjustRightInd w:val="0"/>
        <w:spacing w:after="0" w:line="240" w:lineRule="auto"/>
        <w:jc w:val="both"/>
        <w:rPr>
          <w:rFonts w:ascii="Arial" w:hAnsi="Arial" w:cs="Arial"/>
          <w:sz w:val="20"/>
        </w:rPr>
      </w:pPr>
      <w:r w:rsidRPr="0009028A">
        <w:rPr>
          <w:rFonts w:ascii="Arial" w:hAnsi="Arial" w:cs="Arial"/>
          <w:sz w:val="20"/>
        </w:rPr>
        <w:t>•      Establecer grupos de activos financieros similares con el fin de medir la pérdida crediticia esperada.</w:t>
      </w:r>
    </w:p>
    <w:p w14:paraId="07D28102" w14:textId="31ABED77" w:rsidR="00A94D64" w:rsidRDefault="00A94D64" w:rsidP="0003650B">
      <w:pPr>
        <w:widowControl w:val="0"/>
        <w:autoSpaceDE w:val="0"/>
        <w:autoSpaceDN w:val="0"/>
        <w:adjustRightInd w:val="0"/>
        <w:spacing w:after="0" w:line="240" w:lineRule="auto"/>
        <w:jc w:val="both"/>
        <w:rPr>
          <w:rFonts w:ascii="Arial" w:hAnsi="Arial" w:cs="Arial"/>
          <w:sz w:val="20"/>
        </w:rPr>
      </w:pPr>
    </w:p>
    <w:p w14:paraId="2BC1A980" w14:textId="7005E051" w:rsidR="00A94D64" w:rsidRDefault="00A94D64" w:rsidP="0003650B">
      <w:pPr>
        <w:widowControl w:val="0"/>
        <w:autoSpaceDE w:val="0"/>
        <w:autoSpaceDN w:val="0"/>
        <w:adjustRightInd w:val="0"/>
        <w:spacing w:line="240" w:lineRule="auto"/>
        <w:jc w:val="both"/>
        <w:rPr>
          <w:rFonts w:ascii="Arial" w:hAnsi="Arial" w:cs="Arial"/>
          <w:sz w:val="20"/>
        </w:rPr>
      </w:pPr>
      <w:r w:rsidRPr="0009028A">
        <w:rPr>
          <w:rFonts w:ascii="Arial" w:hAnsi="Arial" w:cs="Arial"/>
          <w:sz w:val="20"/>
        </w:rPr>
        <w:t>Se asume que el importe en libros menos la provisión por deterioro de valor de las cuentas a cobrar se aproxima a su valor razonable.</w:t>
      </w:r>
    </w:p>
    <w:p w14:paraId="1878949E" w14:textId="05FD0795" w:rsidR="00A94D64" w:rsidRPr="0009028A" w:rsidRDefault="00A94D64" w:rsidP="00A94D64">
      <w:pPr>
        <w:pStyle w:val="Ttulo2"/>
        <w:spacing w:afterAutospacing="0"/>
        <w:rPr>
          <w:rFonts w:ascii="Arial" w:hAnsi="Arial" w:cs="Arial"/>
          <w:b w:val="0"/>
        </w:rPr>
      </w:pPr>
      <w:bookmarkStart w:id="38" w:name="_Toc8735037"/>
      <w:r w:rsidRPr="0009028A">
        <w:rPr>
          <w:rFonts w:ascii="Arial" w:hAnsi="Arial" w:cs="Arial"/>
          <w:b w:val="0"/>
        </w:rPr>
        <w:t>2.</w:t>
      </w:r>
      <w:r>
        <w:rPr>
          <w:rFonts w:ascii="Arial" w:hAnsi="Arial" w:cs="Arial"/>
          <w:b w:val="0"/>
        </w:rPr>
        <w:t>5</w:t>
      </w:r>
      <w:r w:rsidRPr="0009028A">
        <w:rPr>
          <w:rFonts w:ascii="Arial" w:hAnsi="Arial" w:cs="Arial"/>
          <w:b w:val="0"/>
        </w:rPr>
        <w:t xml:space="preserve">. </w:t>
      </w:r>
      <w:r>
        <w:rPr>
          <w:rFonts w:ascii="Arial" w:hAnsi="Arial" w:cs="Arial"/>
          <w:b w:val="0"/>
        </w:rPr>
        <w:t>Cambios en políticas contables significativas</w:t>
      </w:r>
      <w:bookmarkEnd w:id="38"/>
    </w:p>
    <w:p w14:paraId="06EE7CC2" w14:textId="77777777" w:rsidR="00DD7A9E" w:rsidRPr="00A94D64" w:rsidRDefault="00DD7A9E" w:rsidP="00A94D64">
      <w:pPr>
        <w:widowControl w:val="0"/>
        <w:autoSpaceDE w:val="0"/>
        <w:autoSpaceDN w:val="0"/>
        <w:adjustRightInd w:val="0"/>
        <w:spacing w:before="220" w:after="0" w:line="240" w:lineRule="auto"/>
        <w:jc w:val="both"/>
        <w:rPr>
          <w:rFonts w:ascii="Arial" w:eastAsiaTheme="majorEastAsia" w:hAnsi="Arial" w:cs="Arial"/>
          <w:b/>
          <w:color w:val="002060"/>
          <w:sz w:val="20"/>
          <w:szCs w:val="20"/>
        </w:rPr>
      </w:pPr>
      <w:r w:rsidRPr="00A94D64">
        <w:rPr>
          <w:rFonts w:ascii="Arial" w:eastAsiaTheme="majorEastAsia" w:hAnsi="Arial" w:cs="Arial"/>
          <w:b/>
          <w:color w:val="002060"/>
          <w:sz w:val="20"/>
          <w:szCs w:val="20"/>
        </w:rPr>
        <w:t>Componente financiero importante</w:t>
      </w:r>
    </w:p>
    <w:p w14:paraId="0634DDDF" w14:textId="77777777" w:rsidR="00DD7A9E" w:rsidRPr="0009028A" w:rsidRDefault="00DD7A9E" w:rsidP="00DD7A9E">
      <w:pPr>
        <w:widowControl w:val="0"/>
        <w:autoSpaceDE w:val="0"/>
        <w:autoSpaceDN w:val="0"/>
        <w:adjustRightInd w:val="0"/>
        <w:spacing w:before="200" w:line="240" w:lineRule="auto"/>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Aplicable a partir del 1 de enero de 2018</w:t>
      </w:r>
    </w:p>
    <w:p w14:paraId="35305AC0" w14:textId="77777777" w:rsidR="00DD7A9E" w:rsidRPr="0009028A" w:rsidRDefault="00DD7A9E" w:rsidP="00DD7A9E">
      <w:pPr>
        <w:widowControl w:val="0"/>
        <w:autoSpaceDE w:val="0"/>
        <w:autoSpaceDN w:val="0"/>
        <w:adjustRightInd w:val="0"/>
        <w:spacing w:before="200" w:line="240" w:lineRule="auto"/>
        <w:jc w:val="both"/>
        <w:rPr>
          <w:rFonts w:ascii="Arial" w:hAnsi="Arial" w:cs="Arial"/>
          <w:sz w:val="20"/>
        </w:rPr>
      </w:pPr>
      <w:r w:rsidRPr="0009028A">
        <w:rPr>
          <w:rFonts w:ascii="Arial" w:hAnsi="Arial" w:cs="Arial"/>
          <w:sz w:val="20"/>
        </w:rPr>
        <w:t>La Compañía utilizó el expediente práctico descrito en el párrafo 63 de la NIIF 15 y no ajustó el monto prometido como consideración para efectos de un componente financiero importante, ya que ha evaluado que, para la mayoría de los contratos, el periodo entre el punto en que la Compañía transfiere los bienes o servicios al cliente, y el punto en que este paga, es menor de un año.</w:t>
      </w:r>
    </w:p>
    <w:p w14:paraId="48965206" w14:textId="77777777" w:rsidR="00DD7A9E" w:rsidRPr="0009028A" w:rsidRDefault="00DD7A9E" w:rsidP="00D100F1">
      <w:pPr>
        <w:pStyle w:val="Ttulo1"/>
      </w:pPr>
      <w:bookmarkStart w:id="39" w:name="_Toc6294429"/>
      <w:bookmarkStart w:id="40" w:name="_Toc6322767"/>
      <w:bookmarkStart w:id="41" w:name="_Toc8735038"/>
      <w:r w:rsidRPr="0009028A">
        <w:t>Nota 3: Normas emitidas por IASB</w:t>
      </w:r>
      <w:bookmarkEnd w:id="39"/>
      <w:bookmarkEnd w:id="40"/>
      <w:bookmarkEnd w:id="41"/>
    </w:p>
    <w:p w14:paraId="49D5855F" w14:textId="069C1D3B" w:rsidR="00DD7A9E" w:rsidRPr="0009028A" w:rsidRDefault="00DD7A9E" w:rsidP="009B2650">
      <w:pPr>
        <w:pStyle w:val="Ttulo2"/>
        <w:spacing w:after="160" w:afterAutospacing="0"/>
        <w:jc w:val="both"/>
        <w:rPr>
          <w:rFonts w:ascii="Arial" w:hAnsi="Arial" w:cs="Arial"/>
          <w:b w:val="0"/>
        </w:rPr>
      </w:pPr>
      <w:bookmarkStart w:id="42" w:name="_Toc6294430"/>
      <w:bookmarkStart w:id="43" w:name="_Toc6322768"/>
      <w:bookmarkStart w:id="44" w:name="_Toc8735039"/>
      <w:bookmarkStart w:id="45" w:name="_Toc474858062"/>
      <w:r w:rsidRPr="0009028A">
        <w:rPr>
          <w:rFonts w:ascii="Arial" w:hAnsi="Arial" w:cs="Arial"/>
          <w:b w:val="0"/>
        </w:rPr>
        <w:t>3.1.</w:t>
      </w:r>
      <w:bookmarkEnd w:id="42"/>
      <w:bookmarkEnd w:id="43"/>
      <w:r w:rsidR="0003650B">
        <w:rPr>
          <w:rFonts w:ascii="Arial" w:hAnsi="Arial" w:cs="Arial"/>
          <w:b w:val="0"/>
        </w:rPr>
        <w:t xml:space="preserve"> </w:t>
      </w:r>
      <w:r w:rsidR="0095454A" w:rsidRPr="0009028A">
        <w:rPr>
          <w:rFonts w:ascii="Arial" w:hAnsi="Arial" w:cs="Arial"/>
          <w:b w:val="0"/>
        </w:rPr>
        <w:t>Normas y enmiendas aplicables a partir del 1 de enero de 2019</w:t>
      </w:r>
      <w:bookmarkEnd w:id="44"/>
    </w:p>
    <w:p w14:paraId="6B27F7A6" w14:textId="72450293" w:rsidR="0095454A" w:rsidRPr="0009028A" w:rsidRDefault="0095454A" w:rsidP="00D94145">
      <w:pPr>
        <w:spacing w:line="240" w:lineRule="auto"/>
        <w:jc w:val="both"/>
        <w:rPr>
          <w:rFonts w:ascii="Arial" w:hAnsi="Arial" w:cs="Arial"/>
          <w:sz w:val="20"/>
        </w:rPr>
      </w:pPr>
      <w:r w:rsidRPr="0009028A">
        <w:rPr>
          <w:rFonts w:ascii="Arial" w:hAnsi="Arial" w:cs="Arial"/>
          <w:sz w:val="20"/>
        </w:rPr>
        <w:t>De acuerdo con lo indicado en los Decretos 2170 de 2017 y 2483 de 2018, se relacionan a continuación las normas emitidas aplicables a partir de 2019. El impacto de estas normas está en proceso de evaluación por parte de la administración de La Compañía</w:t>
      </w:r>
      <w:r w:rsidR="00D50EC4" w:rsidRPr="0009028A">
        <w:rPr>
          <w:rFonts w:ascii="Arial" w:hAnsi="Arial" w:cs="Arial"/>
          <w:sz w:val="20"/>
        </w:rPr>
        <w:t>:</w:t>
      </w:r>
    </w:p>
    <w:tbl>
      <w:tblPr>
        <w:tblW w:w="1007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5"/>
        <w:gridCol w:w="3410"/>
        <w:gridCol w:w="3737"/>
      </w:tblGrid>
      <w:tr w:rsidR="0095454A" w:rsidRPr="0009028A" w14:paraId="0095E3E6" w14:textId="77777777" w:rsidTr="0095454A">
        <w:trPr>
          <w:cantSplit/>
          <w:tblHeader/>
        </w:trPr>
        <w:tc>
          <w:tcPr>
            <w:tcW w:w="2925" w:type="dxa"/>
            <w:shd w:val="clear" w:color="auto" w:fill="auto"/>
            <w:vAlign w:val="center"/>
          </w:tcPr>
          <w:bookmarkEnd w:id="45"/>
          <w:p w14:paraId="2F42A2F5" w14:textId="77777777" w:rsidR="0095454A" w:rsidRPr="0009028A" w:rsidRDefault="0095454A" w:rsidP="0095454A">
            <w:pPr>
              <w:spacing w:after="0" w:line="240" w:lineRule="auto"/>
              <w:jc w:val="center"/>
              <w:rPr>
                <w:rFonts w:ascii="Arial" w:eastAsia="Times New Roman" w:hAnsi="Arial" w:cs="Arial"/>
                <w:b/>
                <w:sz w:val="18"/>
                <w:szCs w:val="18"/>
                <w:lang w:val="es-CL" w:eastAsia="es-CL"/>
              </w:rPr>
            </w:pPr>
            <w:r w:rsidRPr="0009028A">
              <w:rPr>
                <w:rFonts w:ascii="Arial" w:eastAsia="Times New Roman" w:hAnsi="Arial" w:cs="Arial"/>
                <w:b/>
                <w:sz w:val="18"/>
                <w:szCs w:val="18"/>
                <w:lang w:val="es-CL" w:eastAsia="es-CL"/>
              </w:rPr>
              <w:t>Norma de información financiera</w:t>
            </w:r>
          </w:p>
        </w:tc>
        <w:tc>
          <w:tcPr>
            <w:tcW w:w="3410" w:type="dxa"/>
            <w:shd w:val="clear" w:color="auto" w:fill="auto"/>
            <w:vAlign w:val="center"/>
          </w:tcPr>
          <w:p w14:paraId="2A725291" w14:textId="77777777" w:rsidR="0095454A" w:rsidRPr="0009028A" w:rsidRDefault="0095454A" w:rsidP="0095454A">
            <w:pPr>
              <w:spacing w:after="0" w:line="240" w:lineRule="auto"/>
              <w:jc w:val="center"/>
              <w:rPr>
                <w:rFonts w:ascii="Arial" w:eastAsia="Times New Roman" w:hAnsi="Arial" w:cs="Arial"/>
                <w:b/>
                <w:sz w:val="18"/>
                <w:szCs w:val="18"/>
                <w:lang w:val="es-CL" w:eastAsia="es-CL"/>
              </w:rPr>
            </w:pPr>
            <w:r w:rsidRPr="0009028A">
              <w:rPr>
                <w:rFonts w:ascii="Arial" w:eastAsia="Times New Roman" w:hAnsi="Arial" w:cs="Arial"/>
                <w:b/>
                <w:sz w:val="18"/>
                <w:szCs w:val="18"/>
                <w:lang w:val="es-CL" w:eastAsia="es-CL"/>
              </w:rPr>
              <w:t>Tema de la norma o enmienda</w:t>
            </w:r>
          </w:p>
        </w:tc>
        <w:tc>
          <w:tcPr>
            <w:tcW w:w="3737" w:type="dxa"/>
            <w:shd w:val="clear" w:color="auto" w:fill="auto"/>
            <w:vAlign w:val="center"/>
          </w:tcPr>
          <w:p w14:paraId="7ED65C0A" w14:textId="77777777" w:rsidR="0095454A" w:rsidRPr="0009028A" w:rsidRDefault="0095454A" w:rsidP="0095454A">
            <w:pPr>
              <w:spacing w:after="0" w:line="240" w:lineRule="auto"/>
              <w:jc w:val="center"/>
              <w:rPr>
                <w:rFonts w:ascii="Arial" w:eastAsia="Times New Roman" w:hAnsi="Arial" w:cs="Arial"/>
                <w:b/>
                <w:sz w:val="18"/>
                <w:szCs w:val="18"/>
                <w:lang w:val="es-CL" w:eastAsia="es-CL"/>
              </w:rPr>
            </w:pPr>
            <w:r w:rsidRPr="0009028A">
              <w:rPr>
                <w:rFonts w:ascii="Arial" w:eastAsia="Times New Roman" w:hAnsi="Arial" w:cs="Arial"/>
                <w:b/>
                <w:sz w:val="18"/>
                <w:szCs w:val="18"/>
                <w:lang w:val="es-CL" w:eastAsia="es-CL"/>
              </w:rPr>
              <w:t>Detalle</w:t>
            </w:r>
          </w:p>
        </w:tc>
      </w:tr>
      <w:tr w:rsidR="0095454A" w:rsidRPr="0009028A" w14:paraId="28C951C3" w14:textId="77777777" w:rsidTr="00B57F47">
        <w:tc>
          <w:tcPr>
            <w:tcW w:w="2925" w:type="dxa"/>
            <w:shd w:val="clear" w:color="auto" w:fill="auto"/>
          </w:tcPr>
          <w:p w14:paraId="11549033" w14:textId="77777777" w:rsidR="0095454A" w:rsidRPr="0009028A" w:rsidRDefault="0095454A" w:rsidP="00B57F47">
            <w:pPr>
              <w:spacing w:before="60" w:after="0" w:line="240" w:lineRule="auto"/>
              <w:rPr>
                <w:rFonts w:ascii="Arial" w:eastAsia="Times New Roman" w:hAnsi="Arial" w:cs="Arial"/>
                <w:sz w:val="18"/>
                <w:szCs w:val="18"/>
                <w:lang w:val="es-ES" w:eastAsia="es-CL"/>
              </w:rPr>
            </w:pPr>
            <w:r w:rsidRPr="0009028A">
              <w:rPr>
                <w:rFonts w:ascii="Arial" w:eastAsia="Times New Roman" w:hAnsi="Arial" w:cs="Arial"/>
                <w:sz w:val="18"/>
                <w:szCs w:val="18"/>
                <w:lang w:val="es-ES" w:eastAsia="es-CL"/>
              </w:rPr>
              <w:t>NIIF 16 – Arrendamientos</w:t>
            </w:r>
          </w:p>
        </w:tc>
        <w:tc>
          <w:tcPr>
            <w:tcW w:w="3410" w:type="dxa"/>
            <w:shd w:val="clear" w:color="auto" w:fill="auto"/>
          </w:tcPr>
          <w:p w14:paraId="742CBD5B" w14:textId="77777777" w:rsidR="0095454A" w:rsidRPr="0009028A" w:rsidRDefault="0095454A" w:rsidP="00B57F47">
            <w:pPr>
              <w:spacing w:before="60" w:after="0" w:line="240" w:lineRule="auto"/>
              <w:rPr>
                <w:rFonts w:ascii="Arial" w:eastAsia="Times New Roman" w:hAnsi="Arial" w:cs="Arial"/>
                <w:sz w:val="18"/>
                <w:szCs w:val="18"/>
                <w:lang w:val="es-ES" w:eastAsia="es-CL"/>
              </w:rPr>
            </w:pPr>
            <w:r w:rsidRPr="0009028A">
              <w:rPr>
                <w:rFonts w:ascii="Arial" w:eastAsia="Times New Roman" w:hAnsi="Arial" w:cs="Arial"/>
                <w:sz w:val="18"/>
                <w:szCs w:val="18"/>
                <w:lang w:val="es-ES" w:eastAsia="es-CL"/>
              </w:rPr>
              <w:t>Reconocimiento, medición, presentación e información a revelar de los arrendamientos</w:t>
            </w:r>
          </w:p>
        </w:tc>
        <w:tc>
          <w:tcPr>
            <w:tcW w:w="3737" w:type="dxa"/>
            <w:shd w:val="clear" w:color="auto" w:fill="auto"/>
          </w:tcPr>
          <w:p w14:paraId="736946AD" w14:textId="75995035" w:rsidR="0095454A" w:rsidRPr="0009028A" w:rsidRDefault="0095454A" w:rsidP="00B57F47">
            <w:pPr>
              <w:spacing w:before="60" w:after="60" w:line="240" w:lineRule="auto"/>
              <w:rPr>
                <w:rFonts w:ascii="Arial" w:eastAsia="Times New Roman" w:hAnsi="Arial" w:cs="Arial"/>
                <w:sz w:val="18"/>
                <w:szCs w:val="18"/>
                <w:lang w:val="es-ES" w:eastAsia="es-CL"/>
              </w:rPr>
            </w:pPr>
            <w:r w:rsidRPr="0009028A">
              <w:rPr>
                <w:rFonts w:ascii="Arial" w:eastAsia="Times New Roman" w:hAnsi="Arial" w:cs="Arial"/>
                <w:sz w:val="18"/>
                <w:szCs w:val="18"/>
                <w:lang w:val="es-ES" w:eastAsia="es-CL"/>
              </w:rPr>
              <w:t xml:space="preserve">La NIIF 16 de Arrendamientos establece los principios para el reconocimiento, medición, presentación e información a revelar de los arrendamientos. EL objetivo es asegurar que los arrendatarios y arrendadores proporcionen información relevante de forma que represente fielmente esas transacciones. Esta información proporciona una base a los usuarios de los estados financieros para evaluar el </w:t>
            </w:r>
            <w:r w:rsidR="00B57F47" w:rsidRPr="0009028A">
              <w:rPr>
                <w:rFonts w:ascii="Arial" w:eastAsia="Times New Roman" w:hAnsi="Arial" w:cs="Arial"/>
                <w:sz w:val="18"/>
                <w:szCs w:val="18"/>
                <w:lang w:val="es-ES" w:eastAsia="es-CL"/>
              </w:rPr>
              <w:t>efecto que</w:t>
            </w:r>
            <w:r w:rsidRPr="0009028A">
              <w:rPr>
                <w:rFonts w:ascii="Arial" w:eastAsia="Times New Roman" w:hAnsi="Arial" w:cs="Arial"/>
                <w:sz w:val="18"/>
                <w:szCs w:val="18"/>
                <w:lang w:val="es-ES" w:eastAsia="es-CL"/>
              </w:rPr>
              <w:t xml:space="preserve"> los arrendamientos tienen sobre la situación financiera, el rendimiento financiero y los flujos de efectivo de la entidad.</w:t>
            </w:r>
          </w:p>
        </w:tc>
      </w:tr>
      <w:tr w:rsidR="0095454A" w:rsidRPr="0009028A" w14:paraId="5DDDDDC2" w14:textId="77777777" w:rsidTr="00B57F47">
        <w:tc>
          <w:tcPr>
            <w:tcW w:w="2925" w:type="dxa"/>
            <w:shd w:val="clear" w:color="auto" w:fill="auto"/>
          </w:tcPr>
          <w:p w14:paraId="4E526381" w14:textId="77777777" w:rsidR="0095454A" w:rsidRPr="0009028A" w:rsidRDefault="0095454A" w:rsidP="00B57F47">
            <w:pPr>
              <w:spacing w:before="60" w:after="0" w:line="240" w:lineRule="auto"/>
              <w:rPr>
                <w:rFonts w:ascii="Arial" w:eastAsia="Times New Roman" w:hAnsi="Arial" w:cs="Arial"/>
                <w:sz w:val="18"/>
                <w:szCs w:val="18"/>
                <w:lang w:val="es-ES" w:eastAsia="es-CL"/>
              </w:rPr>
            </w:pPr>
            <w:r w:rsidRPr="0009028A">
              <w:rPr>
                <w:rFonts w:ascii="Arial" w:eastAsia="Times New Roman" w:hAnsi="Arial" w:cs="Arial"/>
                <w:sz w:val="18"/>
                <w:szCs w:val="18"/>
                <w:lang w:val="es-ES" w:eastAsia="es-CL"/>
              </w:rPr>
              <w:t>NIC 40 – Propiedades de inversión</w:t>
            </w:r>
          </w:p>
        </w:tc>
        <w:tc>
          <w:tcPr>
            <w:tcW w:w="3410" w:type="dxa"/>
            <w:shd w:val="clear" w:color="auto" w:fill="auto"/>
          </w:tcPr>
          <w:p w14:paraId="49C03882" w14:textId="77777777" w:rsidR="0095454A" w:rsidRPr="0009028A" w:rsidRDefault="0095454A" w:rsidP="00B57F47">
            <w:pPr>
              <w:spacing w:before="60" w:after="0" w:line="240" w:lineRule="auto"/>
              <w:rPr>
                <w:rFonts w:ascii="Arial" w:eastAsia="Times New Roman" w:hAnsi="Arial" w:cs="Arial"/>
                <w:sz w:val="18"/>
                <w:szCs w:val="18"/>
                <w:lang w:val="es-VE" w:eastAsia="es-CL"/>
              </w:rPr>
            </w:pPr>
            <w:r w:rsidRPr="0009028A">
              <w:rPr>
                <w:rFonts w:ascii="Arial" w:eastAsia="Times New Roman" w:hAnsi="Arial" w:cs="Arial"/>
                <w:sz w:val="18"/>
                <w:szCs w:val="18"/>
                <w:lang w:val="es-ES" w:eastAsia="es-CL"/>
              </w:rPr>
              <w:t>Transferencias de propiedades de inversión</w:t>
            </w:r>
          </w:p>
        </w:tc>
        <w:tc>
          <w:tcPr>
            <w:tcW w:w="3737" w:type="dxa"/>
            <w:shd w:val="clear" w:color="auto" w:fill="auto"/>
          </w:tcPr>
          <w:p w14:paraId="6E44BB99" w14:textId="77777777" w:rsidR="0095454A" w:rsidRPr="0009028A" w:rsidRDefault="0095454A" w:rsidP="00B57F47">
            <w:pPr>
              <w:spacing w:before="60" w:after="60" w:line="240" w:lineRule="auto"/>
              <w:rPr>
                <w:rFonts w:ascii="Arial" w:eastAsia="Times New Roman" w:hAnsi="Arial" w:cs="Arial"/>
                <w:sz w:val="18"/>
                <w:szCs w:val="18"/>
                <w:lang w:val="es-VE" w:eastAsia="es-CL"/>
              </w:rPr>
            </w:pPr>
            <w:r w:rsidRPr="0009028A">
              <w:rPr>
                <w:rFonts w:ascii="Arial" w:eastAsia="Times New Roman" w:hAnsi="Arial" w:cs="Arial"/>
                <w:sz w:val="18"/>
                <w:szCs w:val="18"/>
                <w:lang w:val="es-VE" w:eastAsia="es-CL"/>
              </w:rPr>
              <w:t>Modifica el párrafo 57 de forma que se refleje el principio de que un cambio de uso implicaría (a) una evaluación de si una propiedad cumple, o ha dejado de cumplir, la definición de propiedad de inversión; y (b) contar con evidencia que apoye que ha ocurrido ese cambio de uso. Mediante la aplicación de este principio una entidad transferirá propiedades en construcción o desarrollo a, o desde, propiedades de inversión cuando, y solo cuando, exista un cambio de uso de esta propiedad apoyado por evidencia.</w:t>
            </w:r>
          </w:p>
        </w:tc>
      </w:tr>
      <w:tr w:rsidR="0095454A" w:rsidRPr="0009028A" w14:paraId="78B45CDE" w14:textId="77777777" w:rsidTr="00B57F47">
        <w:tc>
          <w:tcPr>
            <w:tcW w:w="2925" w:type="dxa"/>
            <w:shd w:val="clear" w:color="auto" w:fill="auto"/>
          </w:tcPr>
          <w:p w14:paraId="23913B03" w14:textId="77777777" w:rsidR="0095454A" w:rsidRPr="0009028A" w:rsidRDefault="0095454A" w:rsidP="00B57F47">
            <w:pPr>
              <w:spacing w:before="60" w:after="0" w:line="240" w:lineRule="auto"/>
              <w:rPr>
                <w:rFonts w:ascii="Arial" w:eastAsia="Times New Roman" w:hAnsi="Arial" w:cs="Arial"/>
                <w:sz w:val="18"/>
                <w:szCs w:val="18"/>
                <w:lang w:val="es-CL" w:eastAsia="es-CL"/>
              </w:rPr>
            </w:pPr>
            <w:r w:rsidRPr="0009028A">
              <w:rPr>
                <w:rFonts w:ascii="Arial" w:eastAsia="Times New Roman" w:hAnsi="Arial" w:cs="Arial"/>
                <w:sz w:val="18"/>
                <w:szCs w:val="18"/>
                <w:lang w:val="es-ES" w:eastAsia="es-CL"/>
              </w:rPr>
              <w:t>NIIF 2 – Pagos basados en acciones</w:t>
            </w:r>
          </w:p>
        </w:tc>
        <w:tc>
          <w:tcPr>
            <w:tcW w:w="3410" w:type="dxa"/>
            <w:shd w:val="clear" w:color="auto" w:fill="auto"/>
          </w:tcPr>
          <w:p w14:paraId="1591AC46" w14:textId="77777777" w:rsidR="0095454A" w:rsidRPr="0009028A" w:rsidRDefault="0095454A" w:rsidP="00B57F47">
            <w:pPr>
              <w:spacing w:before="60" w:after="0" w:line="240" w:lineRule="auto"/>
              <w:rPr>
                <w:rFonts w:ascii="Arial" w:eastAsia="Times New Roman" w:hAnsi="Arial" w:cs="Arial"/>
                <w:sz w:val="18"/>
                <w:szCs w:val="18"/>
                <w:lang w:val="es-CL" w:eastAsia="es-CL"/>
              </w:rPr>
            </w:pPr>
            <w:r w:rsidRPr="0009028A">
              <w:rPr>
                <w:rFonts w:ascii="Arial" w:eastAsia="Times New Roman" w:hAnsi="Arial" w:cs="Arial"/>
                <w:sz w:val="18"/>
                <w:szCs w:val="18"/>
                <w:lang w:val="es-ES" w:eastAsia="es-CL"/>
              </w:rPr>
              <w:t>Clasificación y medición de transacciones con pagos basados en acciones</w:t>
            </w:r>
          </w:p>
        </w:tc>
        <w:tc>
          <w:tcPr>
            <w:tcW w:w="3737" w:type="dxa"/>
            <w:shd w:val="clear" w:color="auto" w:fill="auto"/>
          </w:tcPr>
          <w:p w14:paraId="32155D98" w14:textId="16DBF195" w:rsidR="0095454A" w:rsidRPr="0009028A" w:rsidRDefault="0095454A" w:rsidP="00D50EC4">
            <w:pPr>
              <w:spacing w:before="60" w:after="0" w:line="240" w:lineRule="auto"/>
              <w:rPr>
                <w:rFonts w:ascii="Arial" w:eastAsia="Times New Roman" w:hAnsi="Arial" w:cs="Arial"/>
                <w:sz w:val="18"/>
                <w:szCs w:val="18"/>
                <w:lang w:val="es-CL" w:eastAsia="es-CL"/>
              </w:rPr>
            </w:pPr>
            <w:r w:rsidRPr="0009028A">
              <w:rPr>
                <w:rFonts w:ascii="Arial" w:eastAsia="Times New Roman" w:hAnsi="Arial" w:cs="Arial"/>
                <w:sz w:val="18"/>
                <w:szCs w:val="18"/>
                <w:lang w:val="es-CL" w:eastAsia="es-CL"/>
              </w:rPr>
              <w:t>Consideraciones para abordar la contabilización de una modificación de los términos y condiciones de un pago basado en acciones que cambia la clasificación de transacción de liquidada en efectivo a liquidada con instrumentos de patrimonio, la clasificación de una transacción con pagos basados en acciones con una característica de liquidación por el neto por la retención de obligaciones fiscales y la contabilización de los efectos de las condiciones, para la irrevocabilidad de la concesión sobre la medición de un pago basado en acciones que se liquida en efectivo.</w:t>
            </w:r>
          </w:p>
        </w:tc>
      </w:tr>
      <w:tr w:rsidR="0095454A" w:rsidRPr="0009028A" w14:paraId="41A3B0C8" w14:textId="77777777" w:rsidTr="00B57F47">
        <w:tc>
          <w:tcPr>
            <w:tcW w:w="2925" w:type="dxa"/>
            <w:shd w:val="clear" w:color="auto" w:fill="auto"/>
          </w:tcPr>
          <w:p w14:paraId="3A5BA9E2" w14:textId="77777777" w:rsidR="0095454A" w:rsidRPr="0009028A" w:rsidRDefault="0095454A" w:rsidP="00B57F47">
            <w:pPr>
              <w:spacing w:before="60" w:after="0" w:line="240" w:lineRule="auto"/>
              <w:outlineLvl w:val="5"/>
              <w:rPr>
                <w:rFonts w:ascii="Arial" w:eastAsia="Times New Roman" w:hAnsi="Arial" w:cs="Arial"/>
                <w:sz w:val="18"/>
                <w:szCs w:val="18"/>
                <w:lang w:val="es-ES" w:eastAsia="es-CL"/>
              </w:rPr>
            </w:pPr>
            <w:r w:rsidRPr="0009028A">
              <w:rPr>
                <w:rFonts w:ascii="Arial" w:hAnsi="Arial" w:cs="Arial"/>
                <w:sz w:val="18"/>
                <w:szCs w:val="18"/>
                <w:lang w:val="es-VE" w:eastAsia="es-CL"/>
              </w:rPr>
              <w:t>NIIF 4 – Contratos de Seguro</w:t>
            </w:r>
          </w:p>
        </w:tc>
        <w:tc>
          <w:tcPr>
            <w:tcW w:w="3410" w:type="dxa"/>
            <w:shd w:val="clear" w:color="auto" w:fill="auto"/>
          </w:tcPr>
          <w:p w14:paraId="6991190B" w14:textId="77777777" w:rsidR="0095454A" w:rsidRPr="0009028A" w:rsidRDefault="0095454A" w:rsidP="00B57F47">
            <w:pPr>
              <w:spacing w:before="60" w:after="0" w:line="240" w:lineRule="auto"/>
              <w:rPr>
                <w:rFonts w:ascii="Arial" w:eastAsia="Times New Roman" w:hAnsi="Arial" w:cs="Arial"/>
                <w:sz w:val="18"/>
                <w:szCs w:val="18"/>
                <w:lang w:val="es-ES" w:eastAsia="es-CL"/>
              </w:rPr>
            </w:pPr>
            <w:r w:rsidRPr="0009028A">
              <w:rPr>
                <w:rFonts w:ascii="Arial" w:hAnsi="Arial" w:cs="Arial"/>
                <w:sz w:val="18"/>
                <w:szCs w:val="18"/>
                <w:lang w:val="es-VE" w:eastAsia="es-CL"/>
              </w:rPr>
              <w:t>Aplicación de la NIIF 9 Instrumentos Financieros con la NIIF 4 Contratos de Seguro</w:t>
            </w:r>
          </w:p>
        </w:tc>
        <w:tc>
          <w:tcPr>
            <w:tcW w:w="3737" w:type="dxa"/>
            <w:shd w:val="clear" w:color="auto" w:fill="auto"/>
          </w:tcPr>
          <w:p w14:paraId="7E7AA1F2" w14:textId="77777777" w:rsidR="0095454A" w:rsidRPr="0009028A" w:rsidRDefault="0095454A" w:rsidP="00B57F47">
            <w:pPr>
              <w:spacing w:before="60" w:after="0" w:line="240" w:lineRule="auto"/>
              <w:rPr>
                <w:rFonts w:ascii="Arial" w:eastAsia="Times New Roman" w:hAnsi="Arial" w:cs="Arial"/>
                <w:sz w:val="18"/>
                <w:szCs w:val="18"/>
                <w:lang w:val="es-CL" w:eastAsia="es-CL"/>
              </w:rPr>
            </w:pPr>
            <w:r w:rsidRPr="0009028A">
              <w:rPr>
                <w:rFonts w:ascii="Arial" w:hAnsi="Arial" w:cs="Arial"/>
                <w:sz w:val="18"/>
                <w:szCs w:val="18"/>
                <w:lang w:val="es-VE" w:eastAsia="es-CL"/>
              </w:rPr>
              <w:t>Aborda las preocupaciones sugeridas de las diferentes fechas de vigencia de la NIIF 9 y la próxima norma sobre contratos de seguro. Las modificaciones incluyen una exención temporal de la NIIF 9  para las aseguradoras que cumplan criterios especificados y una opción de que apliquen el enfoque de la superposición a activos financieros designados.</w:t>
            </w:r>
          </w:p>
        </w:tc>
      </w:tr>
      <w:tr w:rsidR="0095454A" w:rsidRPr="0009028A" w14:paraId="23B7A38C" w14:textId="77777777" w:rsidTr="00B57F47">
        <w:tc>
          <w:tcPr>
            <w:tcW w:w="2925" w:type="dxa"/>
            <w:vMerge w:val="restart"/>
            <w:shd w:val="clear" w:color="auto" w:fill="auto"/>
          </w:tcPr>
          <w:p w14:paraId="3FC1C9D7" w14:textId="77777777" w:rsidR="0095454A" w:rsidRPr="0009028A" w:rsidRDefault="0095454A" w:rsidP="00B57F47">
            <w:pPr>
              <w:spacing w:before="60" w:after="0" w:line="240" w:lineRule="auto"/>
              <w:outlineLvl w:val="5"/>
              <w:rPr>
                <w:rFonts w:ascii="Arial" w:hAnsi="Arial" w:cs="Arial"/>
                <w:sz w:val="18"/>
                <w:szCs w:val="18"/>
                <w:lang w:val="es-VE" w:eastAsia="es-CL"/>
              </w:rPr>
            </w:pPr>
          </w:p>
          <w:p w14:paraId="08690723" w14:textId="77777777" w:rsidR="0095454A" w:rsidRPr="0009028A" w:rsidRDefault="0095454A" w:rsidP="00B57F47">
            <w:pPr>
              <w:spacing w:before="60" w:after="0" w:line="240" w:lineRule="auto"/>
              <w:outlineLvl w:val="5"/>
              <w:rPr>
                <w:rFonts w:ascii="Arial" w:eastAsia="Times New Roman" w:hAnsi="Arial" w:cs="Arial"/>
                <w:sz w:val="18"/>
                <w:szCs w:val="18"/>
                <w:lang w:val="es-ES" w:eastAsia="es-CL"/>
              </w:rPr>
            </w:pPr>
            <w:r w:rsidRPr="0009028A">
              <w:rPr>
                <w:rFonts w:ascii="Arial" w:hAnsi="Arial" w:cs="Arial"/>
                <w:sz w:val="18"/>
                <w:szCs w:val="18"/>
                <w:lang w:val="es-VE" w:eastAsia="es-CL"/>
              </w:rPr>
              <w:t>Mejoras Anuales a las Normas NIIF  Ciclo 2014 – 2016</w:t>
            </w:r>
          </w:p>
        </w:tc>
        <w:tc>
          <w:tcPr>
            <w:tcW w:w="3410" w:type="dxa"/>
            <w:shd w:val="clear" w:color="auto" w:fill="auto"/>
          </w:tcPr>
          <w:p w14:paraId="40438EE0" w14:textId="77777777" w:rsidR="0095454A" w:rsidRPr="0009028A" w:rsidRDefault="0095454A" w:rsidP="00B57F47">
            <w:pPr>
              <w:pStyle w:val="Default"/>
              <w:spacing w:before="60"/>
              <w:rPr>
                <w:sz w:val="18"/>
                <w:szCs w:val="18"/>
                <w:lang w:val="es-VE" w:eastAsia="es-CL"/>
              </w:rPr>
            </w:pPr>
            <w:r w:rsidRPr="0009028A">
              <w:rPr>
                <w:sz w:val="18"/>
                <w:szCs w:val="18"/>
                <w:lang w:val="es-VE" w:eastAsia="es-CL"/>
              </w:rPr>
              <w:t>Modificaciones a la NIIF 1 Adopción por primera vez de las Normas Internacionales de Información Financiera.</w:t>
            </w:r>
          </w:p>
        </w:tc>
        <w:tc>
          <w:tcPr>
            <w:tcW w:w="3737" w:type="dxa"/>
            <w:shd w:val="clear" w:color="auto" w:fill="auto"/>
          </w:tcPr>
          <w:p w14:paraId="7ACCF3F3" w14:textId="77777777" w:rsidR="0095454A" w:rsidRPr="0009028A" w:rsidRDefault="0095454A" w:rsidP="00B57F47">
            <w:pPr>
              <w:spacing w:before="60" w:after="0" w:line="240" w:lineRule="auto"/>
              <w:rPr>
                <w:rFonts w:ascii="Arial" w:eastAsia="Times New Roman" w:hAnsi="Arial" w:cs="Arial"/>
                <w:sz w:val="18"/>
                <w:szCs w:val="18"/>
                <w:lang w:val="es-VE" w:eastAsia="es-CL"/>
              </w:rPr>
            </w:pPr>
            <w:r w:rsidRPr="0009028A">
              <w:rPr>
                <w:rFonts w:ascii="Arial" w:eastAsia="Times New Roman" w:hAnsi="Arial" w:cs="Arial"/>
                <w:sz w:val="18"/>
                <w:szCs w:val="18"/>
                <w:lang w:val="es-VE" w:eastAsia="es-CL"/>
              </w:rPr>
              <w:t>Eliminación de exenciones a corto plazo para las entidades que adoptan por primera vez las Normas NIIF.</w:t>
            </w:r>
          </w:p>
        </w:tc>
      </w:tr>
      <w:tr w:rsidR="0095454A" w:rsidRPr="0009028A" w14:paraId="590486AF" w14:textId="77777777" w:rsidTr="00B57F47">
        <w:tc>
          <w:tcPr>
            <w:tcW w:w="2925" w:type="dxa"/>
            <w:vMerge/>
            <w:shd w:val="clear" w:color="auto" w:fill="auto"/>
          </w:tcPr>
          <w:p w14:paraId="5709E57C" w14:textId="77777777" w:rsidR="0095454A" w:rsidRPr="0009028A" w:rsidRDefault="0095454A" w:rsidP="00B57F47">
            <w:pPr>
              <w:spacing w:before="60" w:after="0" w:line="240" w:lineRule="auto"/>
              <w:rPr>
                <w:rFonts w:ascii="Arial" w:eastAsia="Times New Roman" w:hAnsi="Arial" w:cs="Arial"/>
                <w:sz w:val="18"/>
                <w:szCs w:val="18"/>
                <w:lang w:eastAsia="es-CL"/>
              </w:rPr>
            </w:pPr>
          </w:p>
        </w:tc>
        <w:tc>
          <w:tcPr>
            <w:tcW w:w="3410" w:type="dxa"/>
            <w:shd w:val="clear" w:color="auto" w:fill="auto"/>
          </w:tcPr>
          <w:p w14:paraId="31B5A5A8" w14:textId="77777777" w:rsidR="0095454A" w:rsidRPr="0009028A" w:rsidRDefault="0095454A" w:rsidP="00B57F47">
            <w:pPr>
              <w:spacing w:before="60" w:after="0" w:line="240" w:lineRule="auto"/>
              <w:rPr>
                <w:rFonts w:ascii="Arial" w:eastAsia="Times New Roman" w:hAnsi="Arial" w:cs="Arial"/>
                <w:sz w:val="18"/>
                <w:szCs w:val="18"/>
                <w:lang w:val="es-ES" w:eastAsia="es-CL"/>
              </w:rPr>
            </w:pPr>
            <w:r w:rsidRPr="0009028A">
              <w:rPr>
                <w:rFonts w:ascii="Arial" w:hAnsi="Arial" w:cs="Arial"/>
                <w:sz w:val="18"/>
                <w:szCs w:val="18"/>
                <w:lang w:val="es-VE" w:eastAsia="es-CL"/>
              </w:rPr>
              <w:t>Modificaciones a la NIIF 12 Información a revelar sobre participaciones en otras entidades.</w:t>
            </w:r>
          </w:p>
        </w:tc>
        <w:tc>
          <w:tcPr>
            <w:tcW w:w="3737" w:type="dxa"/>
            <w:shd w:val="clear" w:color="auto" w:fill="auto"/>
          </w:tcPr>
          <w:p w14:paraId="20A0EF2E" w14:textId="77777777" w:rsidR="0095454A" w:rsidRPr="0009028A" w:rsidRDefault="0095454A" w:rsidP="00B57F47">
            <w:pPr>
              <w:spacing w:before="60" w:after="0" w:line="240" w:lineRule="auto"/>
              <w:rPr>
                <w:rFonts w:ascii="Arial" w:eastAsia="Times New Roman" w:hAnsi="Arial" w:cs="Arial"/>
                <w:sz w:val="18"/>
                <w:szCs w:val="18"/>
                <w:lang w:val="es-ES" w:eastAsia="es-CL"/>
              </w:rPr>
            </w:pPr>
            <w:r w:rsidRPr="0009028A">
              <w:rPr>
                <w:rFonts w:ascii="Arial" w:eastAsia="Times New Roman" w:hAnsi="Arial" w:cs="Arial"/>
                <w:sz w:val="18"/>
                <w:szCs w:val="18"/>
                <w:lang w:val="es-ES" w:eastAsia="es-CL"/>
              </w:rPr>
              <w:t>Aclaración del alcance de la norma.</w:t>
            </w:r>
          </w:p>
        </w:tc>
      </w:tr>
      <w:tr w:rsidR="0095454A" w:rsidRPr="0009028A" w14:paraId="12A4E162" w14:textId="77777777" w:rsidTr="00B57F47">
        <w:tc>
          <w:tcPr>
            <w:tcW w:w="2925" w:type="dxa"/>
            <w:vMerge/>
            <w:shd w:val="clear" w:color="auto" w:fill="auto"/>
          </w:tcPr>
          <w:p w14:paraId="1DAFD2A6" w14:textId="77777777" w:rsidR="0095454A" w:rsidRPr="0009028A" w:rsidRDefault="0095454A" w:rsidP="00B57F47">
            <w:pPr>
              <w:spacing w:before="60" w:after="0" w:line="240" w:lineRule="auto"/>
              <w:rPr>
                <w:rFonts w:ascii="Arial" w:hAnsi="Arial" w:cs="Arial"/>
                <w:sz w:val="18"/>
                <w:szCs w:val="18"/>
                <w:lang w:val="es-VE" w:eastAsia="es-CL"/>
              </w:rPr>
            </w:pPr>
          </w:p>
        </w:tc>
        <w:tc>
          <w:tcPr>
            <w:tcW w:w="3410" w:type="dxa"/>
            <w:shd w:val="clear" w:color="auto" w:fill="auto"/>
          </w:tcPr>
          <w:p w14:paraId="7D30F36E" w14:textId="77777777" w:rsidR="0095454A" w:rsidRPr="0009028A" w:rsidRDefault="0095454A" w:rsidP="00B57F47">
            <w:pPr>
              <w:spacing w:before="60" w:after="0" w:line="240" w:lineRule="auto"/>
              <w:rPr>
                <w:rFonts w:ascii="Arial" w:hAnsi="Arial" w:cs="Arial"/>
                <w:sz w:val="18"/>
                <w:szCs w:val="18"/>
                <w:lang w:val="es-VE" w:eastAsia="es-CL"/>
              </w:rPr>
            </w:pPr>
            <w:r w:rsidRPr="0009028A">
              <w:rPr>
                <w:rFonts w:ascii="Arial" w:hAnsi="Arial" w:cs="Arial"/>
                <w:sz w:val="18"/>
                <w:szCs w:val="18"/>
                <w:lang w:val="es-VE" w:eastAsia="es-CL"/>
              </w:rPr>
              <w:t>Modificaciones a la NIC 28 Inversiones  en asociadas y negocios conjuntos</w:t>
            </w:r>
          </w:p>
        </w:tc>
        <w:tc>
          <w:tcPr>
            <w:tcW w:w="3737" w:type="dxa"/>
            <w:shd w:val="clear" w:color="auto" w:fill="auto"/>
          </w:tcPr>
          <w:p w14:paraId="59F7CDF4" w14:textId="77777777" w:rsidR="0095454A" w:rsidRPr="0009028A" w:rsidRDefault="0095454A" w:rsidP="00B57F47">
            <w:pPr>
              <w:spacing w:before="60" w:after="0" w:line="240" w:lineRule="auto"/>
              <w:rPr>
                <w:rFonts w:ascii="Arial" w:hAnsi="Arial" w:cs="Arial"/>
                <w:sz w:val="18"/>
                <w:szCs w:val="18"/>
                <w:lang w:val="es-VE" w:eastAsia="es-CL"/>
              </w:rPr>
            </w:pPr>
            <w:r w:rsidRPr="0009028A">
              <w:rPr>
                <w:rFonts w:ascii="Arial" w:hAnsi="Arial" w:cs="Arial"/>
                <w:sz w:val="18"/>
                <w:szCs w:val="18"/>
                <w:lang w:val="es-VE" w:eastAsia="es-CL"/>
              </w:rPr>
              <w:t>Medición a valor razonable de una asociada o negocio conjunto.</w:t>
            </w:r>
          </w:p>
        </w:tc>
      </w:tr>
      <w:tr w:rsidR="0095454A" w:rsidRPr="0009028A" w14:paraId="247B9093" w14:textId="77777777" w:rsidTr="00B57F47">
        <w:tc>
          <w:tcPr>
            <w:tcW w:w="2925" w:type="dxa"/>
            <w:shd w:val="clear" w:color="auto" w:fill="auto"/>
          </w:tcPr>
          <w:p w14:paraId="5A673AFA" w14:textId="77777777" w:rsidR="0095454A" w:rsidRPr="0009028A" w:rsidRDefault="0095454A" w:rsidP="00B57F47">
            <w:pPr>
              <w:spacing w:before="60" w:after="0" w:line="240" w:lineRule="auto"/>
              <w:rPr>
                <w:rFonts w:ascii="Arial" w:hAnsi="Arial" w:cs="Arial"/>
                <w:sz w:val="18"/>
                <w:szCs w:val="18"/>
                <w:lang w:val="es-VE" w:eastAsia="es-CL"/>
              </w:rPr>
            </w:pPr>
            <w:r w:rsidRPr="0009028A">
              <w:rPr>
                <w:rFonts w:ascii="Arial" w:eastAsia="Times New Roman" w:hAnsi="Arial" w:cs="Arial"/>
                <w:sz w:val="18"/>
                <w:szCs w:val="18"/>
                <w:lang w:val="es-ES" w:eastAsia="es-CL"/>
              </w:rPr>
              <w:t>Modificaciones a la NIC 28</w:t>
            </w:r>
          </w:p>
        </w:tc>
        <w:tc>
          <w:tcPr>
            <w:tcW w:w="3410" w:type="dxa"/>
            <w:shd w:val="clear" w:color="auto" w:fill="auto"/>
          </w:tcPr>
          <w:p w14:paraId="454E6282" w14:textId="77777777" w:rsidR="0095454A" w:rsidRPr="0009028A" w:rsidRDefault="0095454A" w:rsidP="00B57F47">
            <w:pPr>
              <w:spacing w:before="60" w:after="0" w:line="240" w:lineRule="auto"/>
              <w:rPr>
                <w:rFonts w:ascii="Arial" w:hAnsi="Arial" w:cs="Arial"/>
                <w:sz w:val="18"/>
                <w:szCs w:val="18"/>
                <w:lang w:val="es-VE" w:eastAsia="es-CL"/>
              </w:rPr>
            </w:pPr>
            <w:r w:rsidRPr="0009028A">
              <w:rPr>
                <w:rFonts w:ascii="Arial" w:eastAsia="Times New Roman" w:hAnsi="Arial" w:cs="Arial"/>
                <w:sz w:val="18"/>
                <w:szCs w:val="18"/>
                <w:lang w:val="es-ES" w:eastAsia="es-CL"/>
              </w:rPr>
              <w:t>Participaciones de largo plazo en asociadas y negocios conjuntos</w:t>
            </w:r>
          </w:p>
        </w:tc>
        <w:tc>
          <w:tcPr>
            <w:tcW w:w="3737" w:type="dxa"/>
            <w:shd w:val="clear" w:color="auto" w:fill="auto"/>
          </w:tcPr>
          <w:p w14:paraId="6B25FF53" w14:textId="77777777" w:rsidR="0095454A" w:rsidRPr="0009028A" w:rsidRDefault="0095454A" w:rsidP="00B57F47">
            <w:pPr>
              <w:spacing w:before="60" w:after="60" w:line="240" w:lineRule="auto"/>
              <w:rPr>
                <w:rFonts w:ascii="Arial" w:eastAsia="Times New Roman" w:hAnsi="Arial" w:cs="Arial"/>
                <w:sz w:val="18"/>
                <w:szCs w:val="18"/>
                <w:lang w:val="es-ES" w:eastAsia="es-CL"/>
              </w:rPr>
            </w:pPr>
            <w:r w:rsidRPr="0009028A">
              <w:rPr>
                <w:rFonts w:ascii="Arial" w:eastAsia="Times New Roman" w:hAnsi="Arial" w:cs="Arial"/>
                <w:sz w:val="18"/>
                <w:szCs w:val="18"/>
                <w:lang w:val="es-ES" w:eastAsia="es-CL"/>
              </w:rPr>
              <w:t>Las modificaciones aclaran que las empresas contabilizan los intereses a largo plazo en una asociada o empresa conjunta, a la que no se aplica el método de participación, utilizando la NIIF 9.</w:t>
            </w:r>
          </w:p>
          <w:p w14:paraId="2BC0F4C9" w14:textId="77777777" w:rsidR="0095454A" w:rsidRPr="0009028A" w:rsidRDefault="0095454A" w:rsidP="00B57F47">
            <w:pPr>
              <w:spacing w:before="60" w:after="0" w:line="240" w:lineRule="auto"/>
              <w:rPr>
                <w:rFonts w:ascii="Arial" w:hAnsi="Arial" w:cs="Arial"/>
                <w:sz w:val="18"/>
                <w:szCs w:val="18"/>
                <w:lang w:val="es-VE" w:eastAsia="es-CL"/>
              </w:rPr>
            </w:pPr>
            <w:r w:rsidRPr="0009028A">
              <w:rPr>
                <w:rFonts w:ascii="Arial" w:eastAsia="Times New Roman" w:hAnsi="Arial" w:cs="Arial"/>
                <w:sz w:val="18"/>
                <w:szCs w:val="18"/>
                <w:lang w:val="es-ES" w:eastAsia="es-CL"/>
              </w:rPr>
              <w:t>El IASB también dio a conocer un ejemplo que ilustra cómo las empresas aplican los requisitos de la NIIF 9 y la NIC 28 a los intereses a largo plazo en una empresa asociada o conjunta.</w:t>
            </w:r>
          </w:p>
        </w:tc>
      </w:tr>
      <w:tr w:rsidR="0095454A" w:rsidRPr="0009028A" w14:paraId="0FD1E9CC" w14:textId="77777777" w:rsidTr="00B57F47">
        <w:tc>
          <w:tcPr>
            <w:tcW w:w="2925" w:type="dxa"/>
            <w:shd w:val="clear" w:color="auto" w:fill="auto"/>
          </w:tcPr>
          <w:p w14:paraId="33660ACE" w14:textId="77777777" w:rsidR="0095454A" w:rsidRPr="0009028A" w:rsidRDefault="0095454A" w:rsidP="00B57F47">
            <w:pPr>
              <w:spacing w:before="60" w:after="0" w:line="240" w:lineRule="auto"/>
              <w:rPr>
                <w:rFonts w:ascii="Arial" w:hAnsi="Arial" w:cs="Arial"/>
                <w:sz w:val="18"/>
                <w:szCs w:val="18"/>
                <w:lang w:eastAsia="es-CL"/>
              </w:rPr>
            </w:pPr>
            <w:r w:rsidRPr="0009028A">
              <w:rPr>
                <w:rFonts w:ascii="Arial" w:eastAsia="Times New Roman" w:hAnsi="Arial" w:cs="Arial"/>
                <w:sz w:val="18"/>
                <w:szCs w:val="18"/>
                <w:lang w:val="es-ES" w:eastAsia="es-CL"/>
              </w:rPr>
              <w:t>Modificaciones a la NIIF 9</w:t>
            </w:r>
          </w:p>
        </w:tc>
        <w:tc>
          <w:tcPr>
            <w:tcW w:w="3410" w:type="dxa"/>
            <w:shd w:val="clear" w:color="auto" w:fill="auto"/>
          </w:tcPr>
          <w:p w14:paraId="6CB94B89" w14:textId="77777777" w:rsidR="0095454A" w:rsidRPr="0009028A" w:rsidRDefault="0095454A" w:rsidP="00B57F47">
            <w:pPr>
              <w:spacing w:before="60" w:after="0" w:line="240" w:lineRule="auto"/>
              <w:rPr>
                <w:rFonts w:ascii="Arial" w:hAnsi="Arial" w:cs="Arial"/>
                <w:sz w:val="18"/>
                <w:szCs w:val="18"/>
                <w:lang w:val="es-VE" w:eastAsia="es-CL"/>
              </w:rPr>
            </w:pPr>
            <w:r w:rsidRPr="0009028A">
              <w:rPr>
                <w:rFonts w:ascii="Arial" w:eastAsia="Times New Roman" w:hAnsi="Arial" w:cs="Arial"/>
                <w:sz w:val="18"/>
                <w:szCs w:val="18"/>
                <w:lang w:val="es-VE" w:eastAsia="es-CL"/>
              </w:rPr>
              <w:t>Características de cancelación anticipada con compensación negativa</w:t>
            </w:r>
          </w:p>
        </w:tc>
        <w:tc>
          <w:tcPr>
            <w:tcW w:w="3737" w:type="dxa"/>
            <w:shd w:val="clear" w:color="auto" w:fill="auto"/>
          </w:tcPr>
          <w:p w14:paraId="1B93CAA5" w14:textId="77777777" w:rsidR="0095454A" w:rsidRPr="0009028A" w:rsidRDefault="0095454A" w:rsidP="00B57F47">
            <w:pPr>
              <w:spacing w:before="60" w:after="0" w:line="240" w:lineRule="auto"/>
              <w:rPr>
                <w:rFonts w:ascii="Arial" w:hAnsi="Arial" w:cs="Arial"/>
                <w:sz w:val="18"/>
                <w:szCs w:val="18"/>
                <w:lang w:val="es-VE" w:eastAsia="es-CL"/>
              </w:rPr>
            </w:pPr>
            <w:r w:rsidRPr="0009028A">
              <w:rPr>
                <w:rFonts w:ascii="Arial" w:eastAsia="Times New Roman" w:hAnsi="Arial" w:cs="Arial"/>
                <w:sz w:val="18"/>
                <w:szCs w:val="18"/>
                <w:lang w:val="es-ES" w:eastAsia="es-CL"/>
              </w:rPr>
              <w:t>Las modificaciones a la NIIF 9 permiten a las empresas medir activos financieros, cancelados anticipadamente con compensación negativa a costo amortizado o valor razonable, a través de otro resultado integral si se cumple una condición específica; en lugar de hacerlo a valor razonable con beneficio o pérdida.</w:t>
            </w:r>
          </w:p>
        </w:tc>
      </w:tr>
      <w:tr w:rsidR="0095454A" w:rsidRPr="0009028A" w14:paraId="4CB4066D" w14:textId="77777777" w:rsidTr="00B57F47">
        <w:tc>
          <w:tcPr>
            <w:tcW w:w="2925" w:type="dxa"/>
            <w:vMerge w:val="restart"/>
            <w:shd w:val="clear" w:color="auto" w:fill="auto"/>
          </w:tcPr>
          <w:p w14:paraId="0302E006" w14:textId="77777777" w:rsidR="0095454A" w:rsidRPr="0009028A" w:rsidRDefault="0095454A" w:rsidP="00B57F47">
            <w:pPr>
              <w:spacing w:before="60" w:after="0" w:line="240" w:lineRule="auto"/>
              <w:rPr>
                <w:rFonts w:ascii="Arial" w:eastAsia="Times New Roman" w:hAnsi="Arial" w:cs="Arial"/>
                <w:sz w:val="18"/>
                <w:szCs w:val="18"/>
                <w:lang w:val="es-ES" w:eastAsia="es-CL"/>
              </w:rPr>
            </w:pPr>
            <w:r w:rsidRPr="0009028A">
              <w:rPr>
                <w:rFonts w:ascii="Arial" w:eastAsia="Times New Roman" w:hAnsi="Arial" w:cs="Arial"/>
                <w:sz w:val="18"/>
                <w:szCs w:val="18"/>
                <w:lang w:val="es-CL" w:eastAsia="es-CL"/>
              </w:rPr>
              <w:t>Mejoras al ciclo 2015-2017</w:t>
            </w:r>
          </w:p>
        </w:tc>
        <w:tc>
          <w:tcPr>
            <w:tcW w:w="3410" w:type="dxa"/>
            <w:shd w:val="clear" w:color="auto" w:fill="auto"/>
          </w:tcPr>
          <w:p w14:paraId="20590067" w14:textId="77777777" w:rsidR="0095454A" w:rsidRPr="0009028A" w:rsidRDefault="0095454A" w:rsidP="00B57F47">
            <w:pPr>
              <w:spacing w:before="60" w:after="0" w:line="240" w:lineRule="auto"/>
              <w:rPr>
                <w:rFonts w:ascii="Arial" w:eastAsia="Times New Roman" w:hAnsi="Arial" w:cs="Arial"/>
                <w:sz w:val="18"/>
                <w:szCs w:val="18"/>
                <w:lang w:val="es-VE" w:eastAsia="es-CL"/>
              </w:rPr>
            </w:pPr>
            <w:r w:rsidRPr="0009028A">
              <w:rPr>
                <w:rFonts w:ascii="Arial" w:eastAsia="Times New Roman" w:hAnsi="Arial" w:cs="Arial"/>
                <w:sz w:val="18"/>
                <w:szCs w:val="18"/>
                <w:lang w:val="es-CL" w:eastAsia="es-CL"/>
              </w:rPr>
              <w:t>Modificaciones a la NIIF 3 – Combinación de negocios</w:t>
            </w:r>
          </w:p>
        </w:tc>
        <w:tc>
          <w:tcPr>
            <w:tcW w:w="3737" w:type="dxa"/>
            <w:vMerge w:val="restart"/>
            <w:shd w:val="clear" w:color="auto" w:fill="auto"/>
          </w:tcPr>
          <w:p w14:paraId="11712812" w14:textId="77777777" w:rsidR="0095454A" w:rsidRPr="0009028A" w:rsidRDefault="0095454A" w:rsidP="00B57F47">
            <w:pPr>
              <w:spacing w:before="60" w:after="0" w:line="240" w:lineRule="auto"/>
              <w:rPr>
                <w:rFonts w:ascii="Arial" w:eastAsia="Times New Roman" w:hAnsi="Arial" w:cs="Arial"/>
                <w:sz w:val="18"/>
                <w:szCs w:val="18"/>
                <w:lang w:val="es-ES" w:eastAsia="es-CL"/>
              </w:rPr>
            </w:pPr>
          </w:p>
          <w:p w14:paraId="3D1AEAF1" w14:textId="77777777" w:rsidR="0095454A" w:rsidRPr="0009028A" w:rsidRDefault="0095454A" w:rsidP="00B57F47">
            <w:pPr>
              <w:spacing w:before="60" w:after="0" w:line="240" w:lineRule="auto"/>
              <w:rPr>
                <w:rFonts w:ascii="Arial" w:eastAsia="Times New Roman" w:hAnsi="Arial" w:cs="Arial"/>
                <w:sz w:val="18"/>
                <w:szCs w:val="18"/>
                <w:lang w:val="es-ES" w:eastAsia="es-CL"/>
              </w:rPr>
            </w:pPr>
            <w:r w:rsidRPr="0009028A">
              <w:rPr>
                <w:rFonts w:ascii="Arial" w:eastAsia="Times New Roman" w:hAnsi="Arial" w:cs="Arial"/>
                <w:sz w:val="18"/>
                <w:szCs w:val="18"/>
                <w:lang w:val="es-ES" w:eastAsia="es-CL"/>
              </w:rPr>
              <w:t>Participaciones anteriormente mantenidas en una operación conjunta.</w:t>
            </w:r>
          </w:p>
        </w:tc>
      </w:tr>
      <w:tr w:rsidR="0095454A" w:rsidRPr="0009028A" w14:paraId="686C878B" w14:textId="77777777" w:rsidTr="00B57F47">
        <w:tc>
          <w:tcPr>
            <w:tcW w:w="2925" w:type="dxa"/>
            <w:vMerge/>
            <w:shd w:val="clear" w:color="auto" w:fill="auto"/>
          </w:tcPr>
          <w:p w14:paraId="31676C80" w14:textId="77777777" w:rsidR="0095454A" w:rsidRPr="0009028A" w:rsidRDefault="0095454A" w:rsidP="00B57F47">
            <w:pPr>
              <w:spacing w:before="60" w:after="0" w:line="240" w:lineRule="auto"/>
              <w:rPr>
                <w:rFonts w:ascii="Arial" w:eastAsia="Times New Roman" w:hAnsi="Arial" w:cs="Arial"/>
                <w:sz w:val="18"/>
                <w:szCs w:val="18"/>
                <w:lang w:val="es-CL" w:eastAsia="es-CL"/>
              </w:rPr>
            </w:pPr>
          </w:p>
        </w:tc>
        <w:tc>
          <w:tcPr>
            <w:tcW w:w="3410" w:type="dxa"/>
            <w:shd w:val="clear" w:color="auto" w:fill="auto"/>
          </w:tcPr>
          <w:p w14:paraId="67BA295D" w14:textId="77777777" w:rsidR="0095454A" w:rsidRPr="0009028A" w:rsidRDefault="0095454A" w:rsidP="00B57F47">
            <w:pPr>
              <w:spacing w:before="60" w:after="0" w:line="240" w:lineRule="auto"/>
              <w:rPr>
                <w:rFonts w:ascii="Arial" w:eastAsia="Times New Roman" w:hAnsi="Arial" w:cs="Arial"/>
                <w:sz w:val="18"/>
                <w:szCs w:val="18"/>
                <w:lang w:val="es-CL" w:eastAsia="es-CL"/>
              </w:rPr>
            </w:pPr>
            <w:r w:rsidRPr="0009028A">
              <w:rPr>
                <w:rFonts w:ascii="Arial" w:eastAsia="Times New Roman" w:hAnsi="Arial" w:cs="Arial"/>
                <w:sz w:val="18"/>
                <w:szCs w:val="18"/>
                <w:lang w:val="es-CL" w:eastAsia="es-CL"/>
              </w:rPr>
              <w:t xml:space="preserve">Modificaciones a la NIIF 11 – Acuerdos conjuntos </w:t>
            </w:r>
          </w:p>
        </w:tc>
        <w:tc>
          <w:tcPr>
            <w:tcW w:w="3737" w:type="dxa"/>
            <w:vMerge/>
            <w:shd w:val="clear" w:color="auto" w:fill="auto"/>
          </w:tcPr>
          <w:p w14:paraId="6BD1BDD5" w14:textId="77777777" w:rsidR="0095454A" w:rsidRPr="0009028A" w:rsidRDefault="0095454A" w:rsidP="00B57F47">
            <w:pPr>
              <w:spacing w:before="60" w:after="0" w:line="240" w:lineRule="auto"/>
              <w:rPr>
                <w:rFonts w:ascii="Arial" w:eastAsia="Times New Roman" w:hAnsi="Arial" w:cs="Arial"/>
                <w:sz w:val="18"/>
                <w:szCs w:val="18"/>
                <w:lang w:val="es-ES" w:eastAsia="es-CL"/>
              </w:rPr>
            </w:pPr>
          </w:p>
        </w:tc>
      </w:tr>
      <w:tr w:rsidR="0095454A" w:rsidRPr="0009028A" w14:paraId="67DB7D56" w14:textId="77777777" w:rsidTr="00B57F47">
        <w:tc>
          <w:tcPr>
            <w:tcW w:w="2925" w:type="dxa"/>
            <w:vMerge/>
            <w:shd w:val="clear" w:color="auto" w:fill="auto"/>
          </w:tcPr>
          <w:p w14:paraId="2698C061" w14:textId="77777777" w:rsidR="0095454A" w:rsidRPr="0009028A" w:rsidRDefault="0095454A" w:rsidP="00B57F47">
            <w:pPr>
              <w:spacing w:before="60" w:after="0" w:line="240" w:lineRule="auto"/>
              <w:rPr>
                <w:rFonts w:ascii="Arial" w:eastAsia="Times New Roman" w:hAnsi="Arial" w:cs="Arial"/>
                <w:sz w:val="18"/>
                <w:szCs w:val="18"/>
                <w:lang w:val="es-CL" w:eastAsia="es-CL"/>
              </w:rPr>
            </w:pPr>
          </w:p>
        </w:tc>
        <w:tc>
          <w:tcPr>
            <w:tcW w:w="3410" w:type="dxa"/>
            <w:shd w:val="clear" w:color="auto" w:fill="auto"/>
          </w:tcPr>
          <w:p w14:paraId="4D191DC2" w14:textId="77777777" w:rsidR="0095454A" w:rsidRPr="0009028A" w:rsidRDefault="0095454A" w:rsidP="00B57F47">
            <w:pPr>
              <w:autoSpaceDE w:val="0"/>
              <w:autoSpaceDN w:val="0"/>
              <w:adjustRightInd w:val="0"/>
              <w:spacing w:after="0" w:line="240" w:lineRule="auto"/>
              <w:rPr>
                <w:rFonts w:ascii="Arial" w:hAnsi="Arial" w:cs="Arial"/>
                <w:b/>
                <w:bCs/>
                <w:sz w:val="18"/>
                <w:szCs w:val="18"/>
                <w:lang w:eastAsia="es-CO"/>
              </w:rPr>
            </w:pPr>
            <w:r w:rsidRPr="0009028A">
              <w:rPr>
                <w:rFonts w:ascii="Arial" w:eastAsia="Times New Roman" w:hAnsi="Arial" w:cs="Arial"/>
                <w:sz w:val="18"/>
                <w:szCs w:val="18"/>
                <w:lang w:val="es-CL" w:eastAsia="es-CL"/>
              </w:rPr>
              <w:t>Modificación a la NIC 12 – Impuesto a las Ganancias</w:t>
            </w:r>
          </w:p>
        </w:tc>
        <w:tc>
          <w:tcPr>
            <w:tcW w:w="3737" w:type="dxa"/>
            <w:shd w:val="clear" w:color="auto" w:fill="auto"/>
          </w:tcPr>
          <w:p w14:paraId="5797711E" w14:textId="77777777" w:rsidR="0095454A" w:rsidRPr="0009028A" w:rsidRDefault="0095454A" w:rsidP="00B57F47">
            <w:pPr>
              <w:spacing w:before="60" w:after="0" w:line="240" w:lineRule="auto"/>
              <w:rPr>
                <w:rFonts w:ascii="Arial" w:eastAsia="Times New Roman" w:hAnsi="Arial" w:cs="Arial"/>
                <w:sz w:val="18"/>
                <w:szCs w:val="18"/>
                <w:lang w:val="es-ES" w:eastAsia="es-CL"/>
              </w:rPr>
            </w:pPr>
            <w:r w:rsidRPr="0009028A">
              <w:rPr>
                <w:rFonts w:ascii="Arial" w:eastAsia="Times New Roman" w:hAnsi="Arial" w:cs="Arial"/>
                <w:sz w:val="18"/>
                <w:szCs w:val="18"/>
                <w:lang w:val="es-ES" w:eastAsia="es-CL"/>
              </w:rPr>
              <w:t>Consecuencias en el impuesto a las ganancias de los pagos por instrumentos financieros clasificados como patrimonio.</w:t>
            </w:r>
          </w:p>
        </w:tc>
      </w:tr>
      <w:tr w:rsidR="0095454A" w:rsidRPr="0009028A" w14:paraId="266A6A3C" w14:textId="77777777" w:rsidTr="00B57F47">
        <w:tc>
          <w:tcPr>
            <w:tcW w:w="2925" w:type="dxa"/>
            <w:vMerge/>
            <w:shd w:val="clear" w:color="auto" w:fill="auto"/>
          </w:tcPr>
          <w:p w14:paraId="6A644C98" w14:textId="77777777" w:rsidR="0095454A" w:rsidRPr="0009028A" w:rsidRDefault="0095454A" w:rsidP="00B57F47">
            <w:pPr>
              <w:spacing w:before="60" w:after="0" w:line="240" w:lineRule="auto"/>
              <w:rPr>
                <w:rFonts w:ascii="Arial" w:eastAsia="Times New Roman" w:hAnsi="Arial" w:cs="Arial"/>
                <w:sz w:val="18"/>
                <w:szCs w:val="18"/>
                <w:lang w:val="es-CL" w:eastAsia="es-CL"/>
              </w:rPr>
            </w:pPr>
          </w:p>
        </w:tc>
        <w:tc>
          <w:tcPr>
            <w:tcW w:w="3410" w:type="dxa"/>
            <w:shd w:val="clear" w:color="auto" w:fill="auto"/>
          </w:tcPr>
          <w:p w14:paraId="24DB42D4" w14:textId="77777777" w:rsidR="0095454A" w:rsidRPr="0009028A" w:rsidRDefault="0095454A" w:rsidP="00B57F47">
            <w:pPr>
              <w:autoSpaceDE w:val="0"/>
              <w:autoSpaceDN w:val="0"/>
              <w:adjustRightInd w:val="0"/>
              <w:spacing w:after="0" w:line="240" w:lineRule="auto"/>
              <w:rPr>
                <w:rFonts w:ascii="Arial" w:eastAsia="Times New Roman" w:hAnsi="Arial" w:cs="Arial"/>
                <w:sz w:val="18"/>
                <w:szCs w:val="18"/>
                <w:lang w:val="es-CL" w:eastAsia="es-CL"/>
              </w:rPr>
            </w:pPr>
            <w:r w:rsidRPr="0009028A">
              <w:rPr>
                <w:rFonts w:ascii="Arial" w:eastAsia="Times New Roman" w:hAnsi="Arial" w:cs="Arial"/>
                <w:sz w:val="18"/>
                <w:szCs w:val="18"/>
                <w:lang w:val="es-CL" w:eastAsia="es-CL"/>
              </w:rPr>
              <w:t>Modificación a la NIC 23  - Costos por préstamos</w:t>
            </w:r>
          </w:p>
        </w:tc>
        <w:tc>
          <w:tcPr>
            <w:tcW w:w="3737" w:type="dxa"/>
            <w:shd w:val="clear" w:color="auto" w:fill="auto"/>
          </w:tcPr>
          <w:p w14:paraId="0A9F902B" w14:textId="77777777" w:rsidR="0095454A" w:rsidRPr="0009028A" w:rsidRDefault="0095454A" w:rsidP="00B57F47">
            <w:pPr>
              <w:spacing w:before="60" w:after="0" w:line="240" w:lineRule="auto"/>
              <w:rPr>
                <w:rFonts w:ascii="Arial" w:eastAsia="Times New Roman" w:hAnsi="Arial" w:cs="Arial"/>
                <w:sz w:val="18"/>
                <w:szCs w:val="18"/>
                <w:lang w:val="es-ES" w:eastAsia="es-CL"/>
              </w:rPr>
            </w:pPr>
            <w:r w:rsidRPr="0009028A">
              <w:rPr>
                <w:rFonts w:ascii="Arial" w:eastAsia="Times New Roman" w:hAnsi="Arial" w:cs="Arial"/>
                <w:sz w:val="18"/>
                <w:szCs w:val="18"/>
                <w:lang w:val="es-ES" w:eastAsia="es-CL"/>
              </w:rPr>
              <w:t>Costos por préstamos susceptibles de capitalización.</w:t>
            </w:r>
          </w:p>
        </w:tc>
      </w:tr>
      <w:tr w:rsidR="0095454A" w:rsidRPr="0009028A" w14:paraId="18E0FAAE" w14:textId="77777777" w:rsidTr="00B57F47">
        <w:tc>
          <w:tcPr>
            <w:tcW w:w="2925" w:type="dxa"/>
            <w:shd w:val="clear" w:color="auto" w:fill="auto"/>
          </w:tcPr>
          <w:p w14:paraId="5B7A4481" w14:textId="77777777" w:rsidR="0095454A" w:rsidRPr="0009028A" w:rsidRDefault="0095454A" w:rsidP="00B57F47">
            <w:pPr>
              <w:spacing w:before="60" w:after="0" w:line="240" w:lineRule="auto"/>
              <w:rPr>
                <w:rFonts w:ascii="Arial" w:eastAsia="Times New Roman" w:hAnsi="Arial" w:cs="Arial"/>
                <w:sz w:val="18"/>
                <w:szCs w:val="18"/>
                <w:lang w:val="es-CL" w:eastAsia="es-CL"/>
              </w:rPr>
            </w:pPr>
            <w:r w:rsidRPr="0009028A">
              <w:rPr>
                <w:rFonts w:ascii="Arial" w:eastAsia="Times New Roman" w:hAnsi="Arial" w:cs="Arial"/>
                <w:sz w:val="18"/>
                <w:szCs w:val="18"/>
                <w:lang w:val="es-ES" w:eastAsia="es-CL"/>
              </w:rPr>
              <w:t>CINIIF 22</w:t>
            </w:r>
          </w:p>
        </w:tc>
        <w:tc>
          <w:tcPr>
            <w:tcW w:w="3410" w:type="dxa"/>
            <w:shd w:val="clear" w:color="auto" w:fill="auto"/>
          </w:tcPr>
          <w:p w14:paraId="7CA2F85A" w14:textId="77777777" w:rsidR="0095454A" w:rsidRPr="0009028A" w:rsidRDefault="0095454A" w:rsidP="00B57F47">
            <w:pPr>
              <w:autoSpaceDE w:val="0"/>
              <w:autoSpaceDN w:val="0"/>
              <w:adjustRightInd w:val="0"/>
              <w:spacing w:after="0" w:line="240" w:lineRule="auto"/>
              <w:rPr>
                <w:rFonts w:ascii="Arial" w:eastAsia="Times New Roman" w:hAnsi="Arial" w:cs="Arial"/>
                <w:sz w:val="18"/>
                <w:szCs w:val="18"/>
                <w:lang w:val="es-CL" w:eastAsia="es-CL"/>
              </w:rPr>
            </w:pPr>
            <w:r w:rsidRPr="0009028A">
              <w:rPr>
                <w:rFonts w:ascii="Arial" w:eastAsia="Times New Roman" w:hAnsi="Arial" w:cs="Arial"/>
                <w:sz w:val="18"/>
                <w:szCs w:val="18"/>
                <w:lang w:val="es-ES" w:eastAsia="es-CL"/>
              </w:rPr>
              <w:t>Transacciones en moneda extranjera y contraprestación anticipada</w:t>
            </w:r>
          </w:p>
        </w:tc>
        <w:tc>
          <w:tcPr>
            <w:tcW w:w="3737" w:type="dxa"/>
            <w:shd w:val="clear" w:color="auto" w:fill="auto"/>
          </w:tcPr>
          <w:p w14:paraId="131E9FB1" w14:textId="77777777" w:rsidR="0095454A" w:rsidRPr="0009028A" w:rsidRDefault="0095454A" w:rsidP="00B57F47">
            <w:pPr>
              <w:spacing w:before="60" w:after="0" w:line="240" w:lineRule="auto"/>
              <w:rPr>
                <w:rFonts w:ascii="Arial" w:eastAsia="Times New Roman" w:hAnsi="Arial" w:cs="Arial"/>
                <w:sz w:val="18"/>
                <w:szCs w:val="18"/>
                <w:lang w:val="es-ES" w:eastAsia="es-CL"/>
              </w:rPr>
            </w:pPr>
            <w:r w:rsidRPr="0009028A">
              <w:rPr>
                <w:rFonts w:ascii="Arial" w:eastAsia="Times New Roman" w:hAnsi="Arial" w:cs="Arial"/>
                <w:sz w:val="18"/>
                <w:szCs w:val="18"/>
                <w:lang w:val="es-ES" w:eastAsia="es-CL"/>
              </w:rPr>
              <w:t xml:space="preserve">Subsana la falta de claridad que había sobre la fecha y el tipo de cambio que debe utilizarse para la conversión de transacciones en moneda extranjera en las que se efectúa un pago o un cobro anticipado. </w:t>
            </w:r>
          </w:p>
        </w:tc>
      </w:tr>
    </w:tbl>
    <w:p w14:paraId="115F2B2F" w14:textId="77777777" w:rsidR="00DD7A9E" w:rsidRPr="0009028A" w:rsidRDefault="00DD7A9E" w:rsidP="00DD7A9E">
      <w:pPr>
        <w:pStyle w:val="Prrafodelista"/>
        <w:tabs>
          <w:tab w:val="left" w:pos="284"/>
        </w:tabs>
        <w:autoSpaceDE w:val="0"/>
        <w:autoSpaceDN w:val="0"/>
        <w:adjustRightInd w:val="0"/>
        <w:spacing w:after="0" w:line="240" w:lineRule="auto"/>
        <w:ind w:left="0"/>
        <w:jc w:val="both"/>
        <w:rPr>
          <w:rFonts w:ascii="Arial" w:hAnsi="Arial" w:cs="Arial"/>
          <w:sz w:val="20"/>
        </w:rPr>
      </w:pPr>
    </w:p>
    <w:p w14:paraId="1B1D4C66" w14:textId="77777777" w:rsidR="00AD7386" w:rsidRDefault="00AD7386" w:rsidP="00AD7386">
      <w:pPr>
        <w:jc w:val="both"/>
      </w:pPr>
      <w:r w:rsidRPr="638D0890">
        <w:rPr>
          <w:rFonts w:ascii="Franklin Gothic Book" w:eastAsia="Franklin Gothic Book" w:hAnsi="Franklin Gothic Book" w:cs="Franklin Gothic Book"/>
          <w:color w:val="002060"/>
          <w:sz w:val="24"/>
          <w:szCs w:val="24"/>
        </w:rPr>
        <w:t>Impacto de la adopción de nuevas normas (NIIF 16)</w:t>
      </w:r>
    </w:p>
    <w:p w14:paraId="3CECD2C4" w14:textId="7F135E91" w:rsidR="00AD7386" w:rsidRDefault="00AD7386" w:rsidP="00AD7386">
      <w:pPr>
        <w:jc w:val="both"/>
      </w:pPr>
      <w:r w:rsidRPr="638D0890">
        <w:rPr>
          <w:rFonts w:ascii="Arial" w:eastAsia="Arial" w:hAnsi="Arial" w:cs="Arial"/>
          <w:sz w:val="20"/>
          <w:szCs w:val="20"/>
        </w:rPr>
        <w:t>La NIIF 16 – Arrendamientos reemplaza las guías sobre arrendamientos existentes incluyendo la NIC 17 Arrendamientos, la CINIIF 4 Determinación de si un acuerdo contiene un arrendamiento, la SIC-15 Arrendamientos operativos – Incentivos y la SIC 27 Evaluación de la esencia de las transacciones que adoptan la forma legal de un arrendamiento.</w:t>
      </w:r>
    </w:p>
    <w:p w14:paraId="17A55C61" w14:textId="05C203AB" w:rsidR="00AD7386" w:rsidRDefault="00AD7386" w:rsidP="00AD7386">
      <w:pPr>
        <w:jc w:val="both"/>
      </w:pPr>
      <w:r w:rsidRPr="638D0890">
        <w:rPr>
          <w:rFonts w:ascii="Arial" w:eastAsia="Arial" w:hAnsi="Arial" w:cs="Arial"/>
          <w:sz w:val="20"/>
          <w:szCs w:val="20"/>
        </w:rPr>
        <w:t>La Norma es efectiva para los períodos anuales que comiencen a partir del 1 de enero de 2019. La adopción anticipada está permitida para las entidades que aplican la Norma NIIF 15 en la fecha de aplicación inicial de la NIIF 16 o antes de esa fecha.</w:t>
      </w:r>
    </w:p>
    <w:p w14:paraId="4ADE2D52" w14:textId="251FE603" w:rsidR="00AD7386" w:rsidRDefault="00AD7386" w:rsidP="00AD7386">
      <w:pPr>
        <w:jc w:val="both"/>
      </w:pPr>
      <w:r w:rsidRPr="638D0890">
        <w:rPr>
          <w:rFonts w:ascii="Arial" w:eastAsia="Arial" w:hAnsi="Arial" w:cs="Arial"/>
          <w:sz w:val="20"/>
          <w:szCs w:val="20"/>
        </w:rPr>
        <w:t>La NIIF 16 introduce un modelo de arrendamiento contable único para los arrendatarios. El arrendatario reconoce un activo por derecho de uso que representa su derecho a usar el activo subyacente y un pasivo por arrendamiento que representa su obligación de hacer pagos por arrendamiento. Existen exenciones de reconocimiento para los arrendamientos de corto plazo y los arrendamientos de partidas de bajo valor. La contabilidad del arrendador permanece similar a la de la norma actual, es decir, los arrendadores continúan clasificando los arrendamientos como financieros u operativos.</w:t>
      </w:r>
    </w:p>
    <w:p w14:paraId="1339A61C" w14:textId="53C7D096" w:rsidR="00AD7386" w:rsidRDefault="00AD7386" w:rsidP="00AD7386">
      <w:pPr>
        <w:jc w:val="both"/>
      </w:pPr>
      <w:r w:rsidRPr="638D0890">
        <w:rPr>
          <w:rFonts w:ascii="Arial" w:eastAsia="Arial" w:hAnsi="Arial" w:cs="Arial"/>
          <w:sz w:val="20"/>
          <w:szCs w:val="20"/>
        </w:rPr>
        <w:t>Odinsa S.A. ha terminado su evaluación inicial del posible impacto sobre sus estados financieros separados pero aún no ha finalizado su evaluación detallada. El impacto real de la aplicación de la NIIF 16 sobre los estados financieros del período de aplicación inicial dependerá de las condiciones económicas futuras, incluyendo la tasa de los préstamos al 1 de enero de 2019, la composición de la cartera de arrendamientos de Odinsa S.A. a esa fecha, la última evaluación de Odinsa S.A. con respecto a si ejercerá alguna opción de renovación de arrendamiento y la medida en que Odinsa S.A. escoja usar las soluciones prácticas y las exenciones de reconocimiento.</w:t>
      </w:r>
    </w:p>
    <w:p w14:paraId="42C848BD" w14:textId="41036076" w:rsidR="00380EEE" w:rsidRDefault="00380EEE" w:rsidP="00AD7386">
      <w:pPr>
        <w:jc w:val="both"/>
        <w:rPr>
          <w:rFonts w:ascii="Arial" w:eastAsia="Arial" w:hAnsi="Arial" w:cs="Arial"/>
          <w:sz w:val="20"/>
          <w:szCs w:val="20"/>
        </w:rPr>
      </w:pPr>
      <w:r w:rsidRPr="00380EEE">
        <w:rPr>
          <w:rFonts w:ascii="Arial" w:eastAsia="Arial" w:hAnsi="Arial" w:cs="Arial"/>
          <w:sz w:val="20"/>
          <w:szCs w:val="20"/>
        </w:rPr>
        <w:t>Hasta ahora, el impacto más significativo identificado es que Odinsa S.A. reconocerá nuevos activos y pasivos por sus arrendamientos operativos de las construcciones y edificaciones y vehículos. Al 31 de diciembre de 2018, los pagos de arrendamiento mínimos futuros bajo arrendamientos operativos no cancelables ascendía a $</w:t>
      </w:r>
      <w:r>
        <w:rPr>
          <w:rFonts w:ascii="Arial" w:eastAsia="Arial" w:hAnsi="Arial" w:cs="Arial"/>
          <w:sz w:val="20"/>
          <w:szCs w:val="20"/>
        </w:rPr>
        <w:t>1.390.230.</w:t>
      </w:r>
    </w:p>
    <w:p w14:paraId="51C92EBA" w14:textId="2453ED6E" w:rsidR="00AD7386" w:rsidRDefault="00AD7386" w:rsidP="00AD7386">
      <w:pPr>
        <w:jc w:val="both"/>
      </w:pPr>
      <w:r w:rsidRPr="638D0890">
        <w:rPr>
          <w:rFonts w:ascii="Arial" w:eastAsia="Arial" w:hAnsi="Arial" w:cs="Arial"/>
          <w:sz w:val="20"/>
          <w:szCs w:val="20"/>
        </w:rPr>
        <w:t>Además, la naturaleza de los gastos relacionados con esos arrendamientos cambiará ya que la NIIF 16 reemplaza el gasto por arrendamiento operativo lineal por un cargo por depreciación por activos por derecho de uso y el gasto por intereses por los pasivos por arrendamiento.</w:t>
      </w:r>
    </w:p>
    <w:p w14:paraId="56622F15" w14:textId="73B246D8" w:rsidR="00AD7386" w:rsidRPr="00E86C9C" w:rsidRDefault="00AD7386" w:rsidP="00AD7386">
      <w:pPr>
        <w:jc w:val="both"/>
        <w:rPr>
          <w:b/>
          <w:bCs/>
          <w:color w:val="002060"/>
          <w:sz w:val="20"/>
          <w:szCs w:val="20"/>
        </w:rPr>
      </w:pPr>
      <w:r w:rsidRPr="00E86C9C">
        <w:rPr>
          <w:rFonts w:ascii="Arial" w:eastAsia="Arial" w:hAnsi="Arial" w:cs="Arial"/>
          <w:b/>
          <w:bCs/>
          <w:color w:val="002060"/>
          <w:sz w:val="20"/>
          <w:szCs w:val="20"/>
          <w:lang w:val="es-CL"/>
        </w:rPr>
        <w:t>Determinación de si un acuerdo contiene un arrendamiento</w:t>
      </w:r>
    </w:p>
    <w:p w14:paraId="69B839FB" w14:textId="77777777" w:rsidR="00380EEE" w:rsidRPr="00380EEE" w:rsidRDefault="00380EEE" w:rsidP="00380EEE">
      <w:pPr>
        <w:tabs>
          <w:tab w:val="left" w:pos="284"/>
        </w:tabs>
        <w:autoSpaceDE w:val="0"/>
        <w:autoSpaceDN w:val="0"/>
        <w:adjustRightInd w:val="0"/>
        <w:spacing w:line="240" w:lineRule="auto"/>
        <w:jc w:val="both"/>
        <w:rPr>
          <w:rFonts w:ascii="Arial" w:hAnsi="Arial" w:cs="Arial"/>
          <w:sz w:val="20"/>
        </w:rPr>
      </w:pPr>
      <w:r w:rsidRPr="00380EEE">
        <w:rPr>
          <w:rFonts w:ascii="Arial" w:hAnsi="Arial" w:cs="Arial"/>
          <w:sz w:val="20"/>
        </w:rPr>
        <w:t xml:space="preserve">En la aplicación de la NIIF 16, el Grupo optó por no reexpresar la información comparativa, reconociendo al 1° de enero de 2019 el efecto acumulado de la transición de la NIC 17 a la NIIF 16 directamente en el patrimonio en las ganancias acumuladas. En el reconocimiento inicial, se reconocerá un pasivo por arrendamiento equivalente al valor presente de los pagos mínimos del arrendamiento pendiente de pago descontados a la tasa incremental por préstamos del arrendatario en la fecha de transición y un activo por un valor igual al pasivo por arrendamiento ajustado por cualquier gasto pagado por anticipado o pasivo por pagar reconocido en el estado de situación financiera bajo NIC 17. </w:t>
      </w:r>
    </w:p>
    <w:p w14:paraId="5B9543EC" w14:textId="77777777" w:rsidR="00380EEE" w:rsidRPr="00380EEE" w:rsidRDefault="00380EEE" w:rsidP="00380EEE">
      <w:pPr>
        <w:tabs>
          <w:tab w:val="left" w:pos="284"/>
        </w:tabs>
        <w:autoSpaceDE w:val="0"/>
        <w:autoSpaceDN w:val="0"/>
        <w:adjustRightInd w:val="0"/>
        <w:spacing w:line="240" w:lineRule="auto"/>
        <w:jc w:val="both"/>
        <w:rPr>
          <w:rFonts w:ascii="Arial" w:hAnsi="Arial" w:cs="Arial"/>
          <w:sz w:val="20"/>
        </w:rPr>
      </w:pPr>
      <w:r w:rsidRPr="00380EEE">
        <w:rPr>
          <w:rFonts w:ascii="Arial" w:hAnsi="Arial" w:cs="Arial"/>
          <w:sz w:val="20"/>
        </w:rPr>
        <w:t xml:space="preserve">El Grupo optó por aplicar las siguientes soluciones prácticas disponibles en NIIF 16: </w:t>
      </w:r>
    </w:p>
    <w:p w14:paraId="085BAA9A" w14:textId="3FA20BB1" w:rsidR="00380EEE" w:rsidRPr="00380EEE" w:rsidRDefault="00380EEE" w:rsidP="00835247">
      <w:pPr>
        <w:pStyle w:val="Prrafodelista"/>
        <w:numPr>
          <w:ilvl w:val="0"/>
          <w:numId w:val="28"/>
        </w:numPr>
        <w:tabs>
          <w:tab w:val="left" w:pos="284"/>
        </w:tabs>
        <w:autoSpaceDE w:val="0"/>
        <w:autoSpaceDN w:val="0"/>
        <w:adjustRightInd w:val="0"/>
        <w:spacing w:line="240" w:lineRule="auto"/>
        <w:jc w:val="both"/>
        <w:rPr>
          <w:rFonts w:ascii="Arial" w:hAnsi="Arial" w:cs="Arial"/>
          <w:sz w:val="20"/>
        </w:rPr>
      </w:pPr>
      <w:r w:rsidRPr="00380EEE">
        <w:rPr>
          <w:rFonts w:ascii="Arial" w:hAnsi="Arial" w:cs="Arial"/>
          <w:sz w:val="20"/>
        </w:rPr>
        <w:t xml:space="preserve">No aplicar los requerimientos de reconocimiento a arrendamientos para los cuáles el activo subyacente es de bajo valor, esto es, activos operativos y activos de apoyo o soporte cuyo valor a nuevo sea igual o inferior a US 5.000 y US 3.500, respectivamente. </w:t>
      </w:r>
    </w:p>
    <w:p w14:paraId="3FAC7EB5" w14:textId="4F7FCDAA" w:rsidR="00380EEE" w:rsidRPr="00380EEE" w:rsidRDefault="00380EEE" w:rsidP="00835247">
      <w:pPr>
        <w:pStyle w:val="Prrafodelista"/>
        <w:numPr>
          <w:ilvl w:val="0"/>
          <w:numId w:val="28"/>
        </w:numPr>
        <w:tabs>
          <w:tab w:val="left" w:pos="284"/>
        </w:tabs>
        <w:autoSpaceDE w:val="0"/>
        <w:autoSpaceDN w:val="0"/>
        <w:adjustRightInd w:val="0"/>
        <w:spacing w:line="240" w:lineRule="auto"/>
        <w:jc w:val="both"/>
        <w:rPr>
          <w:rFonts w:ascii="Arial" w:hAnsi="Arial" w:cs="Arial"/>
          <w:sz w:val="20"/>
        </w:rPr>
      </w:pPr>
      <w:r w:rsidRPr="00380EEE">
        <w:rPr>
          <w:rFonts w:ascii="Arial" w:hAnsi="Arial" w:cs="Arial"/>
          <w:sz w:val="20"/>
        </w:rPr>
        <w:t xml:space="preserve">Excluir los costos directos iniciales de la medición del activo por derecho de uso en la fecha inicial. </w:t>
      </w:r>
    </w:p>
    <w:p w14:paraId="5785B866" w14:textId="404E028B" w:rsidR="00380EEE" w:rsidRPr="00380EEE" w:rsidRDefault="00380EEE" w:rsidP="00835247">
      <w:pPr>
        <w:pStyle w:val="Prrafodelista"/>
        <w:numPr>
          <w:ilvl w:val="0"/>
          <w:numId w:val="28"/>
        </w:numPr>
        <w:tabs>
          <w:tab w:val="left" w:pos="284"/>
        </w:tabs>
        <w:autoSpaceDE w:val="0"/>
        <w:autoSpaceDN w:val="0"/>
        <w:adjustRightInd w:val="0"/>
        <w:spacing w:line="240" w:lineRule="auto"/>
        <w:jc w:val="both"/>
        <w:rPr>
          <w:rFonts w:ascii="Arial" w:hAnsi="Arial" w:cs="Arial"/>
          <w:sz w:val="20"/>
        </w:rPr>
      </w:pPr>
      <w:r w:rsidRPr="00380EEE">
        <w:rPr>
          <w:rFonts w:ascii="Arial" w:hAnsi="Arial" w:cs="Arial"/>
          <w:sz w:val="20"/>
        </w:rPr>
        <w:t xml:space="preserve">Usar el razonamiento en retrospectiva, si el contrato contiene opciones de ampliación o terminación. </w:t>
      </w:r>
    </w:p>
    <w:p w14:paraId="6C8A7608" w14:textId="089BA027" w:rsidR="0095454A" w:rsidRDefault="00380EEE" w:rsidP="00835247">
      <w:pPr>
        <w:pStyle w:val="Prrafodelista"/>
        <w:numPr>
          <w:ilvl w:val="0"/>
          <w:numId w:val="29"/>
        </w:numPr>
        <w:tabs>
          <w:tab w:val="left" w:pos="284"/>
        </w:tabs>
        <w:autoSpaceDE w:val="0"/>
        <w:autoSpaceDN w:val="0"/>
        <w:adjustRightInd w:val="0"/>
        <w:spacing w:line="240" w:lineRule="auto"/>
        <w:jc w:val="both"/>
        <w:rPr>
          <w:rFonts w:ascii="Arial" w:hAnsi="Arial" w:cs="Arial"/>
          <w:sz w:val="20"/>
        </w:rPr>
      </w:pPr>
      <w:r w:rsidRPr="00380EEE">
        <w:rPr>
          <w:rFonts w:ascii="Arial" w:hAnsi="Arial" w:cs="Arial"/>
          <w:sz w:val="20"/>
        </w:rPr>
        <w:t>No evaluar nuevamente si un contrato es, o contiene, un arrendamiento, y utilizar los análisis realizados bajo NIC 17 y CINIIF 14.</w:t>
      </w:r>
    </w:p>
    <w:p w14:paraId="3AC01BCD" w14:textId="77777777" w:rsidR="00380EEE" w:rsidRPr="0009028A" w:rsidRDefault="00380EEE" w:rsidP="00DD7A9E">
      <w:pPr>
        <w:pStyle w:val="Prrafodelista"/>
        <w:tabs>
          <w:tab w:val="left" w:pos="284"/>
        </w:tabs>
        <w:autoSpaceDE w:val="0"/>
        <w:autoSpaceDN w:val="0"/>
        <w:adjustRightInd w:val="0"/>
        <w:spacing w:after="0" w:line="240" w:lineRule="auto"/>
        <w:ind w:left="0"/>
        <w:jc w:val="both"/>
        <w:rPr>
          <w:rFonts w:ascii="Arial" w:hAnsi="Arial" w:cs="Arial"/>
          <w:sz w:val="20"/>
        </w:rPr>
      </w:pPr>
    </w:p>
    <w:p w14:paraId="0B08626D" w14:textId="77777777" w:rsidR="00DD7A9E" w:rsidRPr="0009028A" w:rsidRDefault="00DD7A9E" w:rsidP="00D100F1">
      <w:pPr>
        <w:pStyle w:val="Ttulo1"/>
      </w:pPr>
      <w:bookmarkStart w:id="46" w:name="_Toc8735040"/>
      <w:bookmarkStart w:id="47" w:name="_Toc6294434"/>
      <w:bookmarkStart w:id="48" w:name="_Toc6322772"/>
      <w:r w:rsidRPr="0009028A">
        <w:t xml:space="preserve">Nota 4: </w:t>
      </w:r>
      <w:r w:rsidR="00992EAB" w:rsidRPr="0009028A">
        <w:t>Políticas</w:t>
      </w:r>
      <w:r w:rsidRPr="0009028A">
        <w:t xml:space="preserve"> contables significativ</w:t>
      </w:r>
      <w:r w:rsidR="00992EAB" w:rsidRPr="0009028A">
        <w:t>a</w:t>
      </w:r>
      <w:r w:rsidRPr="0009028A">
        <w:t>s</w:t>
      </w:r>
      <w:bookmarkEnd w:id="46"/>
      <w:r w:rsidRPr="0009028A">
        <w:t xml:space="preserve"> </w:t>
      </w:r>
      <w:bookmarkEnd w:id="47"/>
      <w:bookmarkEnd w:id="48"/>
    </w:p>
    <w:p w14:paraId="5BB4937D" w14:textId="1BBF7384" w:rsidR="00DD7A9E" w:rsidRPr="0009028A" w:rsidRDefault="005B5ED6" w:rsidP="00DD7A9E">
      <w:pPr>
        <w:pStyle w:val="Prrafodelista"/>
        <w:widowControl w:val="0"/>
        <w:autoSpaceDE w:val="0"/>
        <w:autoSpaceDN w:val="0"/>
        <w:adjustRightInd w:val="0"/>
        <w:spacing w:before="200" w:line="240" w:lineRule="auto"/>
        <w:ind w:left="0"/>
        <w:contextualSpacing w:val="0"/>
        <w:jc w:val="both"/>
        <w:rPr>
          <w:rFonts w:ascii="Arial" w:hAnsi="Arial" w:cs="Arial"/>
          <w:sz w:val="20"/>
        </w:rPr>
      </w:pPr>
      <w:r w:rsidRPr="005B5ED6">
        <w:rPr>
          <w:rFonts w:ascii="Arial" w:hAnsi="Arial" w:cs="Arial"/>
          <w:sz w:val="20"/>
        </w:rPr>
        <w:t>Las políticas contables establecidas más adelante han sido aplicadas consistentemente en la preparación de los estados financieros intermedios, bajo Normas de Contabilidad y de Información Financiera aceptadas en Colombia.</w:t>
      </w:r>
    </w:p>
    <w:p w14:paraId="398AFC7A" w14:textId="7C62AA9B" w:rsidR="00DD7A9E" w:rsidRPr="0009028A" w:rsidRDefault="00DD7A9E" w:rsidP="00DD7A9E">
      <w:pPr>
        <w:pStyle w:val="Ttulo2"/>
        <w:spacing w:afterAutospacing="0"/>
        <w:rPr>
          <w:rFonts w:ascii="Arial" w:hAnsi="Arial" w:cs="Arial"/>
          <w:b w:val="0"/>
        </w:rPr>
      </w:pPr>
      <w:bookmarkStart w:id="49" w:name="_Toc6294435"/>
      <w:bookmarkStart w:id="50" w:name="_Toc6322773"/>
      <w:bookmarkStart w:id="51" w:name="_Toc8735041"/>
      <w:r w:rsidRPr="0009028A">
        <w:rPr>
          <w:rFonts w:ascii="Arial" w:hAnsi="Arial" w:cs="Arial"/>
          <w:b w:val="0"/>
        </w:rPr>
        <w:t xml:space="preserve">4.1. </w:t>
      </w:r>
      <w:bookmarkEnd w:id="49"/>
      <w:bookmarkEnd w:id="50"/>
      <w:r w:rsidR="00603CD2" w:rsidRPr="00603CD2">
        <w:rPr>
          <w:rFonts w:ascii="Arial" w:hAnsi="Arial" w:cs="Arial"/>
          <w:b w:val="0"/>
        </w:rPr>
        <w:t>Las inversiones en subsidiarias, asociadas y negocios conjuntos</w:t>
      </w:r>
      <w:bookmarkEnd w:id="51"/>
    </w:p>
    <w:p w14:paraId="5EC318CB" w14:textId="77777777" w:rsidR="00DD7A9E" w:rsidRPr="0009028A" w:rsidRDefault="00DD7A9E" w:rsidP="00DD7A9E">
      <w:pPr>
        <w:pStyle w:val="Prrafodelista"/>
        <w:widowControl w:val="0"/>
        <w:autoSpaceDE w:val="0"/>
        <w:autoSpaceDN w:val="0"/>
        <w:adjustRightInd w:val="0"/>
        <w:spacing w:before="200" w:line="240" w:lineRule="auto"/>
        <w:ind w:left="0"/>
        <w:contextualSpacing w:val="0"/>
        <w:jc w:val="both"/>
        <w:rPr>
          <w:rFonts w:ascii="Arial" w:hAnsi="Arial" w:cs="Arial"/>
          <w:sz w:val="20"/>
        </w:rPr>
      </w:pPr>
      <w:r w:rsidRPr="0009028A">
        <w:rPr>
          <w:rFonts w:ascii="Arial" w:hAnsi="Arial" w:cs="Arial"/>
          <w:sz w:val="20"/>
        </w:rPr>
        <w:t xml:space="preserve">Las subsidiarias son entidades controladas por la </w:t>
      </w:r>
      <w:r w:rsidR="00A43D62" w:rsidRPr="0009028A">
        <w:rPr>
          <w:rFonts w:ascii="Arial" w:hAnsi="Arial" w:cs="Arial"/>
          <w:sz w:val="20"/>
        </w:rPr>
        <w:t>Compañía</w:t>
      </w:r>
      <w:r w:rsidRPr="0009028A">
        <w:rPr>
          <w:rFonts w:ascii="Arial" w:hAnsi="Arial" w:cs="Arial"/>
          <w:sz w:val="20"/>
        </w:rPr>
        <w:t>.</w:t>
      </w:r>
    </w:p>
    <w:p w14:paraId="7D9B1974" w14:textId="77777777" w:rsidR="00DD7A9E" w:rsidRPr="0009028A" w:rsidRDefault="00DD7A9E" w:rsidP="00DD7A9E">
      <w:pPr>
        <w:pStyle w:val="Prrafodelista"/>
        <w:widowControl w:val="0"/>
        <w:autoSpaceDE w:val="0"/>
        <w:autoSpaceDN w:val="0"/>
        <w:adjustRightInd w:val="0"/>
        <w:spacing w:before="200" w:line="240" w:lineRule="auto"/>
        <w:ind w:left="0"/>
        <w:contextualSpacing w:val="0"/>
        <w:jc w:val="both"/>
        <w:rPr>
          <w:rFonts w:ascii="Arial" w:hAnsi="Arial" w:cs="Arial"/>
          <w:sz w:val="20"/>
        </w:rPr>
      </w:pPr>
      <w:r w:rsidRPr="0009028A">
        <w:rPr>
          <w:rFonts w:ascii="Arial" w:hAnsi="Arial" w:cs="Arial"/>
          <w:sz w:val="20"/>
        </w:rPr>
        <w:t xml:space="preserve">Un negocio conjunto es un acuerdo en el que la </w:t>
      </w:r>
      <w:r w:rsidR="00A43D62" w:rsidRPr="0009028A">
        <w:rPr>
          <w:rFonts w:ascii="Arial" w:hAnsi="Arial" w:cs="Arial"/>
          <w:sz w:val="20"/>
        </w:rPr>
        <w:t xml:space="preserve">Compañía </w:t>
      </w:r>
      <w:r w:rsidRPr="0009028A">
        <w:rPr>
          <w:rFonts w:ascii="Arial" w:hAnsi="Arial" w:cs="Arial"/>
          <w:sz w:val="20"/>
        </w:rPr>
        <w:t>tiene control conjunto, y tiene derecho solo a los activos netos del acuerdo y no derechos sobre sus activos y obligaciones por pasivos.</w:t>
      </w:r>
    </w:p>
    <w:p w14:paraId="422C850E" w14:textId="7FFE4E26" w:rsidR="00DD7A9E" w:rsidRPr="0009028A" w:rsidRDefault="00DD7A9E" w:rsidP="00DD7A9E">
      <w:pPr>
        <w:pStyle w:val="Prrafodelista"/>
        <w:widowControl w:val="0"/>
        <w:autoSpaceDE w:val="0"/>
        <w:autoSpaceDN w:val="0"/>
        <w:adjustRightInd w:val="0"/>
        <w:spacing w:before="200" w:line="240" w:lineRule="auto"/>
        <w:ind w:left="0"/>
        <w:contextualSpacing w:val="0"/>
        <w:jc w:val="both"/>
        <w:rPr>
          <w:rFonts w:ascii="Arial" w:hAnsi="Arial" w:cs="Arial"/>
          <w:sz w:val="20"/>
        </w:rPr>
      </w:pPr>
      <w:r w:rsidRPr="0009028A">
        <w:rPr>
          <w:rFonts w:ascii="Arial" w:hAnsi="Arial" w:cs="Arial"/>
          <w:sz w:val="20"/>
        </w:rPr>
        <w:t xml:space="preserve">Las entidades asociadas son aquellas entidades en donde la </w:t>
      </w:r>
      <w:r w:rsidR="00A43D62" w:rsidRPr="0009028A">
        <w:rPr>
          <w:rFonts w:ascii="Arial" w:hAnsi="Arial" w:cs="Arial"/>
          <w:sz w:val="20"/>
        </w:rPr>
        <w:t xml:space="preserve">Compañía </w:t>
      </w:r>
      <w:r w:rsidRPr="0009028A">
        <w:rPr>
          <w:rFonts w:ascii="Arial" w:hAnsi="Arial" w:cs="Arial"/>
          <w:sz w:val="20"/>
        </w:rPr>
        <w:t>tiene influencia significativa, pero no control o control conjunto, sobre las políticas financieras y operativas. Se presume que existe infl</w:t>
      </w:r>
      <w:r w:rsidR="00703DFE">
        <w:rPr>
          <w:rFonts w:ascii="Arial" w:hAnsi="Arial" w:cs="Arial"/>
          <w:sz w:val="20"/>
        </w:rPr>
        <w:t>uencia significativa cuando la C</w:t>
      </w:r>
      <w:r w:rsidRPr="0009028A">
        <w:rPr>
          <w:rFonts w:ascii="Arial" w:hAnsi="Arial" w:cs="Arial"/>
          <w:sz w:val="20"/>
        </w:rPr>
        <w:t>ompañía posee entre el 20% y el 50% del derecho de voto de otra entidad, cuando mantiene representación en el máximo órgano de dirección, cuando participa en los procesos de fijación de políticas en la entidad receptora de la inversión, cuando existen transacciones de importancia relativa entre la Compañía y la participada, o cuando se intercambia personal directivo o se suministra información técnica esencial.</w:t>
      </w:r>
    </w:p>
    <w:p w14:paraId="40F94520" w14:textId="77777777" w:rsidR="00DD7A9E" w:rsidRPr="0009028A" w:rsidRDefault="00DD7A9E" w:rsidP="00DD7A9E">
      <w:pPr>
        <w:pStyle w:val="Prrafodelista"/>
        <w:widowControl w:val="0"/>
        <w:autoSpaceDE w:val="0"/>
        <w:autoSpaceDN w:val="0"/>
        <w:adjustRightInd w:val="0"/>
        <w:spacing w:before="240" w:line="240" w:lineRule="auto"/>
        <w:ind w:left="0"/>
        <w:contextualSpacing w:val="0"/>
        <w:jc w:val="both"/>
        <w:rPr>
          <w:rFonts w:ascii="Arial" w:hAnsi="Arial" w:cs="Arial"/>
          <w:sz w:val="20"/>
        </w:rPr>
      </w:pPr>
      <w:r w:rsidRPr="0009028A">
        <w:rPr>
          <w:rFonts w:ascii="Arial" w:hAnsi="Arial" w:cs="Arial"/>
          <w:sz w:val="20"/>
        </w:rPr>
        <w:t xml:space="preserve">Las inversiones en subsidiarias, asociadas y negocios conjuntos reconocidas según el método de participación se reconocen inicialmente al costo. El costo de la inversión incluye los costos de transacción. Posteriormente se reconoce como mayor valor de la inversión la participación de la </w:t>
      </w:r>
      <w:r w:rsidR="00AE4352" w:rsidRPr="0009028A">
        <w:rPr>
          <w:rFonts w:ascii="Arial" w:hAnsi="Arial" w:cs="Arial"/>
          <w:sz w:val="20"/>
        </w:rPr>
        <w:t xml:space="preserve">Compañía </w:t>
      </w:r>
      <w:r w:rsidRPr="0009028A">
        <w:rPr>
          <w:rFonts w:ascii="Arial" w:hAnsi="Arial" w:cs="Arial"/>
          <w:sz w:val="20"/>
        </w:rPr>
        <w:t>en las utilidades o pérdidas y otros resultados, después de realizar ajustes para alinear las políticas contables; los dividendos se manejan como un menor valor de la inversión.</w:t>
      </w:r>
    </w:p>
    <w:p w14:paraId="35DDAAB4" w14:textId="77777777" w:rsidR="00DD7A9E" w:rsidRPr="0009028A" w:rsidRDefault="00DD7A9E" w:rsidP="00DD7A9E">
      <w:pPr>
        <w:pStyle w:val="Ttulo2"/>
        <w:spacing w:afterAutospacing="0"/>
        <w:rPr>
          <w:rFonts w:ascii="Arial" w:hAnsi="Arial" w:cs="Arial"/>
          <w:b w:val="0"/>
        </w:rPr>
      </w:pPr>
      <w:bookmarkStart w:id="52" w:name="_Toc6294436"/>
      <w:bookmarkStart w:id="53" w:name="_Toc6322774"/>
      <w:bookmarkStart w:id="54" w:name="_Toc8735042"/>
      <w:r w:rsidRPr="0009028A">
        <w:rPr>
          <w:rFonts w:ascii="Arial" w:hAnsi="Arial" w:cs="Arial"/>
          <w:b w:val="0"/>
        </w:rPr>
        <w:t>4.2. Moneda extranjera</w:t>
      </w:r>
      <w:bookmarkEnd w:id="52"/>
      <w:bookmarkEnd w:id="53"/>
      <w:bookmarkEnd w:id="54"/>
    </w:p>
    <w:p w14:paraId="13EA7936" w14:textId="77777777" w:rsidR="00DD7A9E" w:rsidRPr="0009028A" w:rsidRDefault="00DD7A9E" w:rsidP="00DD7A9E">
      <w:pPr>
        <w:pStyle w:val="Prrafodelista"/>
        <w:autoSpaceDE w:val="0"/>
        <w:autoSpaceDN w:val="0"/>
        <w:adjustRightInd w:val="0"/>
        <w:spacing w:before="220" w:line="240" w:lineRule="auto"/>
        <w:ind w:left="0"/>
        <w:contextualSpacing w:val="0"/>
        <w:jc w:val="both"/>
        <w:rPr>
          <w:rFonts w:ascii="Arial" w:hAnsi="Arial" w:cs="Arial"/>
          <w:b/>
          <w:sz w:val="20"/>
          <w:szCs w:val="20"/>
          <w:u w:val="single"/>
        </w:rPr>
      </w:pPr>
      <w:r w:rsidRPr="0009028A">
        <w:rPr>
          <w:rFonts w:ascii="Arial" w:eastAsiaTheme="majorEastAsia" w:hAnsi="Arial" w:cs="Arial"/>
          <w:b/>
          <w:color w:val="002060"/>
          <w:sz w:val="20"/>
          <w:szCs w:val="20"/>
        </w:rPr>
        <w:t>Transacciones en moneda extranjera</w:t>
      </w:r>
    </w:p>
    <w:p w14:paraId="2538BA7A" w14:textId="3EF904FA" w:rsidR="00DD7A9E" w:rsidRPr="0009028A" w:rsidRDefault="00DD7A9E" w:rsidP="00DD7A9E">
      <w:pPr>
        <w:pStyle w:val="Prrafodelista"/>
        <w:autoSpaceDE w:val="0"/>
        <w:autoSpaceDN w:val="0"/>
        <w:adjustRightInd w:val="0"/>
        <w:spacing w:before="220" w:line="240" w:lineRule="auto"/>
        <w:ind w:left="0"/>
        <w:contextualSpacing w:val="0"/>
        <w:jc w:val="both"/>
        <w:rPr>
          <w:rFonts w:ascii="Arial" w:hAnsi="Arial" w:cs="Arial"/>
          <w:sz w:val="20"/>
        </w:rPr>
      </w:pPr>
      <w:r w:rsidRPr="0009028A">
        <w:rPr>
          <w:rFonts w:ascii="Arial" w:hAnsi="Arial" w:cs="Arial"/>
          <w:sz w:val="20"/>
        </w:rPr>
        <w:t xml:space="preserve">Las transacciones en moneda extranjera son convertidas a la moneda funcional de la </w:t>
      </w:r>
      <w:r w:rsidR="00A43D62" w:rsidRPr="0009028A">
        <w:rPr>
          <w:rFonts w:ascii="Arial" w:hAnsi="Arial" w:cs="Arial"/>
          <w:sz w:val="20"/>
        </w:rPr>
        <w:t xml:space="preserve">Compañía </w:t>
      </w:r>
      <w:r w:rsidRPr="0009028A">
        <w:rPr>
          <w:rFonts w:ascii="Arial" w:hAnsi="Arial" w:cs="Arial"/>
          <w:sz w:val="20"/>
        </w:rPr>
        <w:t xml:space="preserve">en las fechas de las transacciones. Los activos y pasivos monetarios denominados en monedas extranjeras a la fecha de reporte son reconvertidos a la moneda funcional a la tasa de cambio de esa fecha. Los activos y pasivos no monetarios denominados en monedas extranjeras que son valorizados al valor </w:t>
      </w:r>
      <w:r w:rsidR="00B57F47" w:rsidRPr="0009028A">
        <w:rPr>
          <w:rFonts w:ascii="Arial" w:hAnsi="Arial" w:cs="Arial"/>
          <w:sz w:val="20"/>
        </w:rPr>
        <w:t>razonable</w:t>
      </w:r>
      <w:r w:rsidRPr="0009028A">
        <w:rPr>
          <w:rFonts w:ascii="Arial" w:hAnsi="Arial" w:cs="Arial"/>
          <w:sz w:val="20"/>
        </w:rPr>
        <w:t xml:space="preserve"> son reconvertidos a la moneda funcional a la tasa de cambio a la fecha en que se determinó el valor razonable. Las partidas no monetarias que son valorizadas al costo histórico en una moneda extranjera no se convierten.</w:t>
      </w:r>
    </w:p>
    <w:p w14:paraId="0C569418" w14:textId="77777777" w:rsidR="00DD7A9E" w:rsidRPr="0009028A" w:rsidRDefault="00DD7A9E" w:rsidP="00DD7A9E">
      <w:pPr>
        <w:pStyle w:val="Prrafodelista"/>
        <w:autoSpaceDE w:val="0"/>
        <w:autoSpaceDN w:val="0"/>
        <w:adjustRightInd w:val="0"/>
        <w:spacing w:before="220" w:line="240" w:lineRule="auto"/>
        <w:ind w:left="0"/>
        <w:contextualSpacing w:val="0"/>
        <w:jc w:val="both"/>
        <w:rPr>
          <w:rFonts w:ascii="Arial" w:hAnsi="Arial" w:cs="Arial"/>
          <w:sz w:val="20"/>
        </w:rPr>
      </w:pPr>
      <w:r w:rsidRPr="0009028A">
        <w:rPr>
          <w:rFonts w:ascii="Arial" w:hAnsi="Arial" w:cs="Arial"/>
          <w:sz w:val="20"/>
        </w:rPr>
        <w:t xml:space="preserve">Las ganancias o pérdidas por conversión de moneda extranjera en partidas monetarias es la diferencia entre el costo amortizado de la moneda funcional al comienzo del período, ajustada por intereses y pagos efectivos durante el período, y el costo amortizado en moneda extranjera convertido a la tasa de cambio al final del período. </w:t>
      </w:r>
    </w:p>
    <w:p w14:paraId="707C11EA" w14:textId="77777777" w:rsidR="00DD7A9E" w:rsidRPr="0009028A" w:rsidRDefault="00DD7A9E" w:rsidP="00DD7A9E">
      <w:pPr>
        <w:pStyle w:val="Prrafodelista"/>
        <w:autoSpaceDE w:val="0"/>
        <w:autoSpaceDN w:val="0"/>
        <w:adjustRightInd w:val="0"/>
        <w:spacing w:before="220" w:line="240" w:lineRule="auto"/>
        <w:ind w:left="0"/>
        <w:contextualSpacing w:val="0"/>
        <w:jc w:val="both"/>
        <w:rPr>
          <w:rFonts w:ascii="Arial" w:hAnsi="Arial" w:cs="Arial"/>
          <w:sz w:val="20"/>
        </w:rPr>
      </w:pPr>
      <w:r w:rsidRPr="0009028A">
        <w:rPr>
          <w:rFonts w:ascii="Arial" w:hAnsi="Arial" w:cs="Arial"/>
          <w:sz w:val="20"/>
        </w:rPr>
        <w:t xml:space="preserve">Las diferencias en moneda extranjera que surgen durante la reconversión por lo general son reconocidas en resultados. </w:t>
      </w:r>
    </w:p>
    <w:p w14:paraId="62C83CDC" w14:textId="77777777" w:rsidR="00DD7A9E" w:rsidRPr="0009028A" w:rsidRDefault="00DD7A9E" w:rsidP="00DD7A9E">
      <w:pPr>
        <w:pStyle w:val="Prrafodelista"/>
        <w:autoSpaceDE w:val="0"/>
        <w:autoSpaceDN w:val="0"/>
        <w:adjustRightInd w:val="0"/>
        <w:spacing w:before="220" w:line="240" w:lineRule="auto"/>
        <w:ind w:left="0"/>
        <w:contextualSpacing w:val="0"/>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Negocios en el extranjero</w:t>
      </w:r>
    </w:p>
    <w:p w14:paraId="36D3B1B1" w14:textId="59F100B9" w:rsidR="00DD7A9E" w:rsidRPr="0009028A" w:rsidRDefault="00603CD2" w:rsidP="00DD7A9E">
      <w:pPr>
        <w:pStyle w:val="Prrafodelista"/>
        <w:autoSpaceDE w:val="0"/>
        <w:autoSpaceDN w:val="0"/>
        <w:adjustRightInd w:val="0"/>
        <w:spacing w:before="220" w:line="240" w:lineRule="auto"/>
        <w:ind w:left="0"/>
        <w:contextualSpacing w:val="0"/>
        <w:jc w:val="both"/>
        <w:rPr>
          <w:rFonts w:ascii="Arial" w:hAnsi="Arial" w:cs="Arial"/>
          <w:sz w:val="20"/>
        </w:rPr>
      </w:pPr>
      <w:r w:rsidRPr="00603CD2">
        <w:rPr>
          <w:rFonts w:ascii="Arial" w:hAnsi="Arial" w:cs="Arial"/>
          <w:sz w:val="20"/>
        </w:rPr>
        <w:t>Los activos y pasivos de operaciones en el extranjero, incluido la plusvalía y los ajustes al valor razonable que surgen en la adquisición, son convertidos a pesos a las tasas de cambio a la fecha de reporte. Las diferencias en moneda extranjera son reconocidas en otro resultado integral; tales diferencias se reconocen en la reserva de conversión a moneda extrajera.</w:t>
      </w:r>
      <w:r w:rsidR="00DD7A9E" w:rsidRPr="0009028A">
        <w:rPr>
          <w:rFonts w:ascii="Arial" w:hAnsi="Arial" w:cs="Arial"/>
          <w:sz w:val="20"/>
        </w:rPr>
        <w:t xml:space="preserve"> </w:t>
      </w:r>
    </w:p>
    <w:p w14:paraId="7254B11C" w14:textId="77777777" w:rsidR="00DD7A9E" w:rsidRPr="0009028A" w:rsidRDefault="00DD7A9E" w:rsidP="00DD7A9E">
      <w:pPr>
        <w:pStyle w:val="Prrafodelista"/>
        <w:autoSpaceDE w:val="0"/>
        <w:autoSpaceDN w:val="0"/>
        <w:adjustRightInd w:val="0"/>
        <w:spacing w:before="220" w:line="240" w:lineRule="auto"/>
        <w:ind w:left="0"/>
        <w:contextualSpacing w:val="0"/>
        <w:jc w:val="both"/>
        <w:rPr>
          <w:rFonts w:ascii="Arial" w:hAnsi="Arial" w:cs="Arial"/>
          <w:sz w:val="20"/>
        </w:rPr>
      </w:pPr>
      <w:r w:rsidRPr="0009028A">
        <w:rPr>
          <w:rFonts w:ascii="Arial" w:hAnsi="Arial" w:cs="Arial"/>
          <w:sz w:val="20"/>
        </w:rPr>
        <w:t xml:space="preserve">Cuando se vende una operación en el extranjero, el monto correspondiente en la conversión se transfiere a resultados como parte del resultado de la venta. </w:t>
      </w:r>
    </w:p>
    <w:p w14:paraId="361B68E6" w14:textId="15571C9F" w:rsidR="00DD7A9E" w:rsidRPr="0009028A" w:rsidRDefault="00DD7A9E" w:rsidP="00DD7A9E">
      <w:pPr>
        <w:pStyle w:val="Prrafodelista"/>
        <w:autoSpaceDE w:val="0"/>
        <w:autoSpaceDN w:val="0"/>
        <w:adjustRightInd w:val="0"/>
        <w:spacing w:before="220" w:line="240" w:lineRule="auto"/>
        <w:ind w:left="0"/>
        <w:contextualSpacing w:val="0"/>
        <w:jc w:val="both"/>
        <w:rPr>
          <w:rFonts w:ascii="Arial" w:hAnsi="Arial" w:cs="Arial"/>
          <w:sz w:val="20"/>
        </w:rPr>
      </w:pPr>
      <w:r w:rsidRPr="0009028A">
        <w:rPr>
          <w:rFonts w:ascii="Arial" w:hAnsi="Arial" w:cs="Arial"/>
          <w:sz w:val="20"/>
        </w:rPr>
        <w:t xml:space="preserve">Las ganancias o pérdidas en moneda extranjera que surgen de una partida monetaria por cobrar o pagar a una operación en el extranjero, cuya liquidación no está planificada ni tiene probabilidad de ocurrir en un futuro previsible y que, en esencia se considera forma parte de la inversión neta en la operación en el extranjero, se reconocen en el otro resultado integral en la reserva de conversión. </w:t>
      </w:r>
    </w:p>
    <w:p w14:paraId="5493FE6B" w14:textId="77777777" w:rsidR="00DD7A9E" w:rsidRPr="0009028A" w:rsidRDefault="00DD7A9E" w:rsidP="00DD7A9E">
      <w:pPr>
        <w:pStyle w:val="Ttulo2"/>
        <w:spacing w:afterAutospacing="0"/>
        <w:rPr>
          <w:rFonts w:ascii="Arial" w:hAnsi="Arial" w:cs="Arial"/>
          <w:b w:val="0"/>
        </w:rPr>
      </w:pPr>
      <w:bookmarkStart w:id="55" w:name="_Toc6294437"/>
      <w:bookmarkStart w:id="56" w:name="_Toc6322775"/>
      <w:bookmarkStart w:id="57" w:name="_Toc8735043"/>
      <w:r w:rsidRPr="0009028A">
        <w:rPr>
          <w:rFonts w:ascii="Arial" w:hAnsi="Arial" w:cs="Arial"/>
          <w:b w:val="0"/>
        </w:rPr>
        <w:t>4.3. Instrumentos financieros</w:t>
      </w:r>
      <w:bookmarkEnd w:id="55"/>
      <w:bookmarkEnd w:id="56"/>
      <w:bookmarkEnd w:id="57"/>
    </w:p>
    <w:p w14:paraId="4C9437EC" w14:textId="77777777" w:rsidR="00DD7A9E" w:rsidRPr="0009028A" w:rsidRDefault="00DD7A9E" w:rsidP="00DD7A9E">
      <w:pPr>
        <w:pStyle w:val="Prrafodelista"/>
        <w:widowControl w:val="0"/>
        <w:autoSpaceDE w:val="0"/>
        <w:autoSpaceDN w:val="0"/>
        <w:adjustRightInd w:val="0"/>
        <w:spacing w:line="240" w:lineRule="auto"/>
        <w:ind w:left="0"/>
        <w:contextualSpacing w:val="0"/>
        <w:jc w:val="both"/>
        <w:rPr>
          <w:rFonts w:ascii="Arial" w:hAnsi="Arial" w:cs="Arial"/>
          <w:sz w:val="20"/>
        </w:rPr>
      </w:pPr>
    </w:p>
    <w:p w14:paraId="6D322589" w14:textId="77777777" w:rsidR="00DD7A9E" w:rsidRPr="0009028A" w:rsidRDefault="00DD7A9E" w:rsidP="00DD7A9E">
      <w:pPr>
        <w:pStyle w:val="Prrafodelista"/>
        <w:widowControl w:val="0"/>
        <w:autoSpaceDE w:val="0"/>
        <w:autoSpaceDN w:val="0"/>
        <w:adjustRightInd w:val="0"/>
        <w:spacing w:line="240" w:lineRule="auto"/>
        <w:ind w:left="0"/>
        <w:contextualSpacing w:val="0"/>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Política aplicable a partir del 1 de enero de 2018.</w:t>
      </w:r>
    </w:p>
    <w:p w14:paraId="37D6D994" w14:textId="77777777" w:rsidR="00DD7A9E" w:rsidRPr="0009028A" w:rsidRDefault="00DD7A9E" w:rsidP="00DD7A9E">
      <w:pPr>
        <w:pStyle w:val="Prrafodelista"/>
        <w:widowControl w:val="0"/>
        <w:autoSpaceDE w:val="0"/>
        <w:autoSpaceDN w:val="0"/>
        <w:adjustRightInd w:val="0"/>
        <w:spacing w:line="240" w:lineRule="auto"/>
        <w:ind w:left="0"/>
        <w:contextualSpacing w:val="0"/>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Activos y pasivos financieros</w:t>
      </w:r>
    </w:p>
    <w:p w14:paraId="4865D051" w14:textId="77777777" w:rsidR="00DD7A9E" w:rsidRPr="0009028A" w:rsidRDefault="00DD7A9E" w:rsidP="00DD7A9E">
      <w:pPr>
        <w:pStyle w:val="Prrafodelista"/>
        <w:widowControl w:val="0"/>
        <w:autoSpaceDE w:val="0"/>
        <w:autoSpaceDN w:val="0"/>
        <w:adjustRightInd w:val="0"/>
        <w:spacing w:line="240" w:lineRule="auto"/>
        <w:ind w:left="0"/>
        <w:contextualSpacing w:val="0"/>
        <w:jc w:val="both"/>
        <w:rPr>
          <w:rFonts w:ascii="Arial" w:hAnsi="Arial" w:cs="Arial"/>
          <w:sz w:val="20"/>
        </w:rPr>
      </w:pPr>
      <w:r w:rsidRPr="0009028A">
        <w:rPr>
          <w:rFonts w:ascii="Arial" w:hAnsi="Arial" w:cs="Arial"/>
          <w:sz w:val="20"/>
        </w:rPr>
        <w:t>Métodos de medición</w:t>
      </w:r>
    </w:p>
    <w:p w14:paraId="2CF27061" w14:textId="4A4B03A3" w:rsidR="00401CAE" w:rsidRPr="0009028A" w:rsidRDefault="00401CAE" w:rsidP="00401CAE">
      <w:pPr>
        <w:pStyle w:val="Ttulo2"/>
        <w:spacing w:afterAutospacing="0"/>
        <w:rPr>
          <w:rFonts w:ascii="Arial" w:hAnsi="Arial" w:cs="Arial"/>
          <w:b w:val="0"/>
        </w:rPr>
      </w:pPr>
      <w:bookmarkStart w:id="58" w:name="_Toc6292890"/>
      <w:bookmarkStart w:id="59" w:name="_Toc6294440"/>
      <w:bookmarkStart w:id="60" w:name="_Toc6322778"/>
      <w:bookmarkStart w:id="61" w:name="_Toc7029611"/>
      <w:bookmarkStart w:id="62" w:name="_Toc7029826"/>
      <w:bookmarkStart w:id="63" w:name="_Toc8735044"/>
      <w:bookmarkStart w:id="64" w:name="_Toc6292888"/>
      <w:bookmarkStart w:id="65" w:name="_Toc6294438"/>
      <w:bookmarkStart w:id="66" w:name="_Toc6322776"/>
      <w:bookmarkStart w:id="67" w:name="_Toc7029609"/>
      <w:bookmarkStart w:id="68" w:name="_Toc7029824"/>
      <w:r w:rsidRPr="0009028A">
        <w:rPr>
          <w:rFonts w:ascii="Arial" w:hAnsi="Arial" w:cs="Arial"/>
          <w:b w:val="0"/>
        </w:rPr>
        <w:t>4.3.</w:t>
      </w:r>
      <w:r>
        <w:rPr>
          <w:rFonts w:ascii="Arial" w:hAnsi="Arial" w:cs="Arial"/>
          <w:b w:val="0"/>
        </w:rPr>
        <w:t>1</w:t>
      </w:r>
      <w:r w:rsidRPr="0009028A">
        <w:rPr>
          <w:rFonts w:ascii="Arial" w:hAnsi="Arial" w:cs="Arial"/>
          <w:b w:val="0"/>
        </w:rPr>
        <w:t>. Reconocimiento y medición inicial</w:t>
      </w:r>
      <w:bookmarkEnd w:id="58"/>
      <w:bookmarkEnd w:id="59"/>
      <w:bookmarkEnd w:id="60"/>
      <w:bookmarkEnd w:id="61"/>
      <w:bookmarkEnd w:id="62"/>
      <w:bookmarkEnd w:id="63"/>
    </w:p>
    <w:p w14:paraId="6BCE0F41" w14:textId="77777777" w:rsidR="00401CAE" w:rsidRPr="0009028A" w:rsidRDefault="00401CAE" w:rsidP="00401CAE">
      <w:pPr>
        <w:widowControl w:val="0"/>
        <w:autoSpaceDE w:val="0"/>
        <w:autoSpaceDN w:val="0"/>
        <w:adjustRightInd w:val="0"/>
        <w:spacing w:before="240" w:after="0" w:line="240" w:lineRule="auto"/>
        <w:jc w:val="both"/>
        <w:rPr>
          <w:rFonts w:ascii="Arial" w:hAnsi="Arial" w:cs="Arial"/>
          <w:sz w:val="20"/>
        </w:rPr>
      </w:pPr>
      <w:r w:rsidRPr="0009028A">
        <w:rPr>
          <w:rFonts w:ascii="Arial" w:hAnsi="Arial" w:cs="Arial"/>
          <w:sz w:val="20"/>
        </w:rPr>
        <w:t xml:space="preserve">Los activos y pasivos financieros se reconocen cuando la entidad se vuelve parte de las disposiciones contractuales del instrumento. Las compras y ventas periódicas de activos financieros se reconocen en la fecha de negociación, fecha en la que la Compañía se compromete a comprar o vender el activo. </w:t>
      </w:r>
    </w:p>
    <w:p w14:paraId="5B2C1E88" w14:textId="77777777" w:rsidR="00401CAE" w:rsidRPr="0009028A" w:rsidRDefault="00401CAE" w:rsidP="00401CAE">
      <w:pPr>
        <w:widowControl w:val="0"/>
        <w:autoSpaceDE w:val="0"/>
        <w:autoSpaceDN w:val="0"/>
        <w:adjustRightInd w:val="0"/>
        <w:spacing w:before="240" w:after="0" w:line="240" w:lineRule="auto"/>
        <w:jc w:val="both"/>
        <w:rPr>
          <w:rFonts w:ascii="Arial" w:hAnsi="Arial" w:cs="Arial"/>
          <w:sz w:val="20"/>
        </w:rPr>
      </w:pPr>
      <w:r w:rsidRPr="0009028A">
        <w:rPr>
          <w:rFonts w:ascii="Arial" w:hAnsi="Arial" w:cs="Arial"/>
          <w:sz w:val="20"/>
        </w:rPr>
        <w:t xml:space="preserve">En el reconocimiento inicial, la Compañía mide un activo o pasivo financiero a su valor razonable más o menos, en el caso de un activo o pasivo financiero que no se continuara midiendo a valor razonable con cambios en resultados, los costos de transacción que son incrementales y directamente atribuibles a la adquisición o emisión del activo o pasivo financiero, como honorarios y comisiones. Los costos de transacción de los activos y pasivos financieros contabilizados a valor razonable con cambios en resultados se contabilizan en el estado de resultados. Inmediatamente después del reconocimiento inicial, se reconoce una provisión por pérdida crediticia esperada para los activos financieros medidos al costo amortizado y las inversiones en instrumentos de deuda medidos al valor razonable con cambios en otro resultado integral, lo que resulta en una pérdida contable que se reconoce en el resultado cuando se origina un nuevo activo. </w:t>
      </w:r>
    </w:p>
    <w:p w14:paraId="469C333A" w14:textId="77777777" w:rsidR="00401CAE" w:rsidRPr="0009028A" w:rsidRDefault="00401CAE" w:rsidP="00401CAE">
      <w:pPr>
        <w:widowControl w:val="0"/>
        <w:autoSpaceDE w:val="0"/>
        <w:autoSpaceDN w:val="0"/>
        <w:adjustRightInd w:val="0"/>
        <w:spacing w:before="240" w:after="0" w:line="240" w:lineRule="auto"/>
        <w:jc w:val="both"/>
        <w:rPr>
          <w:rFonts w:ascii="Arial" w:hAnsi="Arial" w:cs="Arial"/>
          <w:sz w:val="20"/>
        </w:rPr>
      </w:pPr>
      <w:r w:rsidRPr="0009028A">
        <w:rPr>
          <w:rFonts w:ascii="Arial" w:hAnsi="Arial" w:cs="Arial"/>
          <w:sz w:val="20"/>
        </w:rPr>
        <w:t xml:space="preserve">Cuando el valor razonable de los activos y pasivos financieros difiere del precio de la transacción en el reconocimiento inicial, la entidad reconoce la diferencia de la siguiente manera: </w:t>
      </w:r>
    </w:p>
    <w:p w14:paraId="71662085" w14:textId="77777777" w:rsidR="00401CAE" w:rsidRPr="0009028A" w:rsidRDefault="00401CAE" w:rsidP="00835247">
      <w:pPr>
        <w:pStyle w:val="Prrafodelista"/>
        <w:widowControl w:val="0"/>
        <w:numPr>
          <w:ilvl w:val="0"/>
          <w:numId w:val="7"/>
        </w:numPr>
        <w:autoSpaceDE w:val="0"/>
        <w:autoSpaceDN w:val="0"/>
        <w:adjustRightInd w:val="0"/>
        <w:spacing w:before="240" w:after="0" w:line="240" w:lineRule="auto"/>
        <w:ind w:left="426" w:hanging="426"/>
        <w:jc w:val="both"/>
        <w:rPr>
          <w:rFonts w:ascii="Arial" w:hAnsi="Arial" w:cs="Arial"/>
          <w:sz w:val="20"/>
        </w:rPr>
      </w:pPr>
      <w:r w:rsidRPr="0009028A">
        <w:rPr>
          <w:rFonts w:ascii="Arial" w:hAnsi="Arial" w:cs="Arial"/>
          <w:sz w:val="20"/>
        </w:rPr>
        <w:t>Cuando el valor razonable se evidencia por un precio cotizado en un mercado activo para un activo o pasivo idéntico (es decir, una medición de Nivel 1) o con base en una técnica de valoración que utiliza solo datos de mercados observables, la diferencia se reconoce como ganancia o pérdida.</w:t>
      </w:r>
    </w:p>
    <w:p w14:paraId="75FA7018" w14:textId="77777777" w:rsidR="00401CAE" w:rsidRPr="0009028A" w:rsidRDefault="00401CAE" w:rsidP="00401CAE">
      <w:pPr>
        <w:pStyle w:val="Prrafodelista"/>
        <w:widowControl w:val="0"/>
        <w:autoSpaceDE w:val="0"/>
        <w:autoSpaceDN w:val="0"/>
        <w:adjustRightInd w:val="0"/>
        <w:spacing w:before="240" w:after="0" w:line="240" w:lineRule="auto"/>
        <w:ind w:left="426" w:hanging="426"/>
        <w:jc w:val="both"/>
        <w:rPr>
          <w:rFonts w:ascii="Arial" w:hAnsi="Arial" w:cs="Arial"/>
          <w:sz w:val="20"/>
        </w:rPr>
      </w:pPr>
    </w:p>
    <w:p w14:paraId="23AB4A92" w14:textId="77777777" w:rsidR="00401CAE" w:rsidRPr="0009028A" w:rsidRDefault="00401CAE" w:rsidP="00835247">
      <w:pPr>
        <w:pStyle w:val="Prrafodelista"/>
        <w:widowControl w:val="0"/>
        <w:numPr>
          <w:ilvl w:val="0"/>
          <w:numId w:val="7"/>
        </w:numPr>
        <w:autoSpaceDE w:val="0"/>
        <w:autoSpaceDN w:val="0"/>
        <w:adjustRightInd w:val="0"/>
        <w:spacing w:before="240" w:after="0" w:line="240" w:lineRule="auto"/>
        <w:ind w:left="426" w:hanging="426"/>
        <w:jc w:val="both"/>
        <w:rPr>
          <w:rFonts w:ascii="Arial" w:hAnsi="Arial" w:cs="Arial"/>
          <w:sz w:val="20"/>
        </w:rPr>
      </w:pPr>
      <w:r w:rsidRPr="0009028A">
        <w:rPr>
          <w:rFonts w:ascii="Arial" w:hAnsi="Arial" w:cs="Arial"/>
          <w:sz w:val="20"/>
        </w:rPr>
        <w:t xml:space="preserve">En todos los demás casos, la diferencia se difiere y el momento del reconocimiento de la ganancia o pérdida diferida del primer día se determina individualmente. Se amortiza a lo largo de la vida del instrumento, se difiere hasta que el valor razonable del instrumento se pueda determinar utilizando insumos observables del mercado, o se realiza a través de la liquidación.  </w:t>
      </w:r>
    </w:p>
    <w:p w14:paraId="474A3884" w14:textId="77777777" w:rsidR="00401CAE" w:rsidRDefault="00401CAE" w:rsidP="00DD7A9E">
      <w:pPr>
        <w:pStyle w:val="Ttulo2"/>
        <w:spacing w:afterAutospacing="0"/>
        <w:rPr>
          <w:rFonts w:ascii="Arial" w:hAnsi="Arial" w:cs="Arial"/>
          <w:b w:val="0"/>
        </w:rPr>
      </w:pPr>
    </w:p>
    <w:p w14:paraId="1C68E9F5" w14:textId="270B88C3" w:rsidR="00401CAE" w:rsidRPr="0009028A" w:rsidRDefault="00401CAE" w:rsidP="00401CAE">
      <w:pPr>
        <w:pStyle w:val="Ttulo2"/>
        <w:spacing w:afterAutospacing="0"/>
        <w:rPr>
          <w:rFonts w:ascii="Arial" w:hAnsi="Arial" w:cs="Arial"/>
          <w:b w:val="0"/>
        </w:rPr>
      </w:pPr>
      <w:bookmarkStart w:id="69" w:name="_Toc6292895"/>
      <w:bookmarkStart w:id="70" w:name="_Toc6294445"/>
      <w:bookmarkStart w:id="71" w:name="_Toc6322783"/>
      <w:bookmarkStart w:id="72" w:name="_Toc7029616"/>
      <w:bookmarkStart w:id="73" w:name="_Toc7029831"/>
      <w:bookmarkStart w:id="74" w:name="_Toc8735045"/>
      <w:bookmarkStart w:id="75" w:name="_Toc6292891"/>
      <w:bookmarkStart w:id="76" w:name="_Toc6294441"/>
      <w:bookmarkStart w:id="77" w:name="_Toc6322779"/>
      <w:bookmarkStart w:id="78" w:name="_Toc7029612"/>
      <w:bookmarkStart w:id="79" w:name="_Toc7029827"/>
      <w:r w:rsidRPr="0009028A">
        <w:rPr>
          <w:rFonts w:ascii="Arial" w:hAnsi="Arial" w:cs="Arial"/>
          <w:b w:val="0"/>
        </w:rPr>
        <w:t>4.3.</w:t>
      </w:r>
      <w:r>
        <w:rPr>
          <w:rFonts w:ascii="Arial" w:hAnsi="Arial" w:cs="Arial"/>
          <w:b w:val="0"/>
        </w:rPr>
        <w:t>2</w:t>
      </w:r>
      <w:r w:rsidRPr="0009028A">
        <w:rPr>
          <w:rFonts w:ascii="Arial" w:hAnsi="Arial" w:cs="Arial"/>
          <w:b w:val="0"/>
        </w:rPr>
        <w:t>. Reconocimiento y medición</w:t>
      </w:r>
      <w:bookmarkEnd w:id="69"/>
      <w:bookmarkEnd w:id="70"/>
      <w:bookmarkEnd w:id="71"/>
      <w:bookmarkEnd w:id="72"/>
      <w:bookmarkEnd w:id="73"/>
      <w:bookmarkEnd w:id="74"/>
    </w:p>
    <w:p w14:paraId="7FE412C6" w14:textId="77777777" w:rsidR="00401CAE" w:rsidRPr="0009028A" w:rsidRDefault="00401CAE" w:rsidP="00401CA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Compras y ventas convencionales de activos financieros se reconocen en la fecha de negociación, que es la fecha en la cual la Compañía se compromete a adquirir o vender el activo. Los activos financieros se dan de baja cuando los derechos a recibir flujos de efectivo han vencido o se han transferido y la Compañía ha traspasado sustancialmente todos los riesgos y beneficios inherentes a la propiedad.</w:t>
      </w:r>
    </w:p>
    <w:p w14:paraId="6BB12DAA" w14:textId="77777777" w:rsidR="00401CAE" w:rsidRPr="0009028A" w:rsidRDefault="00401CAE" w:rsidP="00401CA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 xml:space="preserve">En el reconocimiento inicial, la Compañía valora los activos financieros a su valor razonable más, en el caso de un activo financiero que no se mide al valor razonable con cambios en resultados, los costos de transacción que son directamente atribuibles a la adquisición del activo financiero. Los costos de transacción de activos financieros que se miden a su valor razonable con cambios en resultados se contabilizan directamente en la cuenta de resultados. </w:t>
      </w:r>
    </w:p>
    <w:p w14:paraId="0731B6CA" w14:textId="77777777" w:rsidR="00401CAE" w:rsidRPr="0009028A" w:rsidRDefault="00401CAE" w:rsidP="00401CA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Las ganancias o pérdidas de un instrumento de deuda que se valora posteriormente a su valor razonable y no es parte de una relación de cobertura se reconocen en los resultados y se presentan en el estado de resultados dentro de "otras (pérdidas) / ganancias - neto" en el período en que se producen.</w:t>
      </w:r>
    </w:p>
    <w:p w14:paraId="193E29BE" w14:textId="77777777" w:rsidR="00401CAE" w:rsidRPr="0009028A" w:rsidRDefault="00401CAE" w:rsidP="00401CA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 xml:space="preserve">Las ganancias o pérdidas de un instrumento de deuda que se valora posteriormente a su costo amortizado y no forma parte de una relación de cobertura se reconocen en los resultados del período cuando el activo financiero se da de baja o se deteriora y a través del proceso de amortización utilizando el método de interés efectivo. </w:t>
      </w:r>
    </w:p>
    <w:p w14:paraId="00D42702" w14:textId="77777777" w:rsidR="00401CAE" w:rsidRPr="0009028A" w:rsidRDefault="00401CAE" w:rsidP="00401CA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Posteriormente, la Compañía mide todos los instrumentos de patrimonio a valor razonable. Cuando la Gerencia haya elegido presentar ganancias o pérdidas de valor razonable no realizadas y realizadas y pérdidas en instrumentos de patrimonio en otros resultados integrales, no pueden ser recicladas las ganancias y pérdidas de valor razonable a los resultados del ejercicio. Los dividendos de los instrumentos de patrimonio son reconocidos en los resultados, siempre y cuando representan un retorno de la inversión.</w:t>
      </w:r>
    </w:p>
    <w:p w14:paraId="65E9280E" w14:textId="77777777" w:rsidR="00401CAE" w:rsidRPr="0009028A" w:rsidRDefault="00401CAE" w:rsidP="00401CA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La Compañía debe reclasificar todos los instrumentos de deuda afectados cuando, y sólo cuando su modelo de negocio para la gestión de los activos financieros cambie.</w:t>
      </w:r>
    </w:p>
    <w:p w14:paraId="2BEF533F" w14:textId="77777777" w:rsidR="00401CAE" w:rsidRDefault="00401CAE" w:rsidP="00401CAE">
      <w:pPr>
        <w:pStyle w:val="Ttulo2"/>
        <w:spacing w:afterAutospacing="0"/>
        <w:rPr>
          <w:rFonts w:ascii="Arial" w:hAnsi="Arial" w:cs="Arial"/>
          <w:b w:val="0"/>
        </w:rPr>
      </w:pPr>
    </w:p>
    <w:p w14:paraId="5B927394" w14:textId="77777777" w:rsidR="00401CAE" w:rsidRDefault="00401CAE" w:rsidP="00401CAE">
      <w:pPr>
        <w:pStyle w:val="Ttulo2"/>
        <w:spacing w:afterAutospacing="0"/>
        <w:rPr>
          <w:rFonts w:ascii="Arial" w:hAnsi="Arial" w:cs="Arial"/>
          <w:b w:val="0"/>
        </w:rPr>
      </w:pPr>
    </w:p>
    <w:p w14:paraId="326B11C3" w14:textId="564473EC" w:rsidR="00401CAE" w:rsidRPr="0009028A" w:rsidRDefault="00401CAE" w:rsidP="00401CAE">
      <w:pPr>
        <w:pStyle w:val="Ttulo2"/>
        <w:spacing w:afterAutospacing="0"/>
        <w:rPr>
          <w:rFonts w:ascii="Arial" w:hAnsi="Arial" w:cs="Arial"/>
          <w:b w:val="0"/>
        </w:rPr>
      </w:pPr>
      <w:bookmarkStart w:id="80" w:name="_Toc8735046"/>
      <w:r w:rsidRPr="0009028A">
        <w:rPr>
          <w:rFonts w:ascii="Arial" w:hAnsi="Arial" w:cs="Arial"/>
          <w:b w:val="0"/>
        </w:rPr>
        <w:t>4.3.</w:t>
      </w:r>
      <w:r>
        <w:rPr>
          <w:rFonts w:ascii="Arial" w:hAnsi="Arial" w:cs="Arial"/>
          <w:b w:val="0"/>
        </w:rPr>
        <w:t>3</w:t>
      </w:r>
      <w:r w:rsidRPr="0009028A">
        <w:rPr>
          <w:rFonts w:ascii="Arial" w:hAnsi="Arial" w:cs="Arial"/>
          <w:b w:val="0"/>
        </w:rPr>
        <w:t>. Activos financieros</w:t>
      </w:r>
      <w:bookmarkEnd w:id="75"/>
      <w:bookmarkEnd w:id="76"/>
      <w:bookmarkEnd w:id="77"/>
      <w:bookmarkEnd w:id="78"/>
      <w:bookmarkEnd w:id="79"/>
      <w:bookmarkEnd w:id="80"/>
    </w:p>
    <w:p w14:paraId="50953018" w14:textId="77777777" w:rsidR="00401CAE" w:rsidRPr="0009028A" w:rsidRDefault="00401CAE" w:rsidP="00401CAE">
      <w:pPr>
        <w:pStyle w:val="Prrafodelista"/>
        <w:widowControl w:val="0"/>
        <w:autoSpaceDE w:val="0"/>
        <w:autoSpaceDN w:val="0"/>
        <w:adjustRightInd w:val="0"/>
        <w:spacing w:before="240" w:line="240" w:lineRule="auto"/>
        <w:ind w:left="0"/>
        <w:contextualSpacing w:val="0"/>
        <w:jc w:val="both"/>
        <w:rPr>
          <w:rFonts w:ascii="Arial" w:hAnsi="Arial" w:cs="Arial"/>
          <w:sz w:val="20"/>
        </w:rPr>
      </w:pPr>
      <w:r w:rsidRPr="0009028A">
        <w:rPr>
          <w:rFonts w:ascii="Arial" w:hAnsi="Arial" w:cs="Arial"/>
          <w:sz w:val="20"/>
        </w:rPr>
        <w:t xml:space="preserve"> </w:t>
      </w:r>
      <w:r w:rsidRPr="0009028A">
        <w:rPr>
          <w:rFonts w:ascii="Arial" w:eastAsiaTheme="majorEastAsia" w:hAnsi="Arial" w:cs="Arial"/>
          <w:b/>
          <w:color w:val="002060"/>
          <w:sz w:val="20"/>
          <w:szCs w:val="20"/>
        </w:rPr>
        <w:t>(i) Clasificación y medición posterior</w:t>
      </w:r>
    </w:p>
    <w:p w14:paraId="0662E2C9" w14:textId="77777777" w:rsidR="00401CAE" w:rsidRPr="0009028A" w:rsidRDefault="00401CAE" w:rsidP="00401CAE">
      <w:pPr>
        <w:pStyle w:val="Prrafodelista"/>
        <w:widowControl w:val="0"/>
        <w:autoSpaceDE w:val="0"/>
        <w:autoSpaceDN w:val="0"/>
        <w:adjustRightInd w:val="0"/>
        <w:spacing w:before="240" w:after="240" w:line="240" w:lineRule="auto"/>
        <w:ind w:left="0"/>
        <w:contextualSpacing w:val="0"/>
        <w:jc w:val="both"/>
        <w:rPr>
          <w:rFonts w:ascii="Arial" w:hAnsi="Arial" w:cs="Arial"/>
          <w:sz w:val="20"/>
        </w:rPr>
      </w:pPr>
      <w:r w:rsidRPr="0009028A">
        <w:rPr>
          <w:rFonts w:ascii="Arial" w:hAnsi="Arial" w:cs="Arial"/>
          <w:sz w:val="20"/>
        </w:rPr>
        <w:t>Desde el 1 de enero de 2018, la Compañía aplica la NIIF 9 y clasifica sus activos financieros en las siguientes categorías de medición:</w:t>
      </w:r>
    </w:p>
    <w:p w14:paraId="1AA2F93C" w14:textId="77777777" w:rsidR="00401CAE" w:rsidRPr="0009028A" w:rsidRDefault="00401CAE" w:rsidP="00835247">
      <w:pPr>
        <w:pStyle w:val="Prrafodelista"/>
        <w:widowControl w:val="0"/>
        <w:numPr>
          <w:ilvl w:val="0"/>
          <w:numId w:val="8"/>
        </w:numPr>
        <w:autoSpaceDE w:val="0"/>
        <w:autoSpaceDN w:val="0"/>
        <w:adjustRightInd w:val="0"/>
        <w:spacing w:after="0" w:line="240" w:lineRule="auto"/>
        <w:ind w:left="0" w:firstLine="0"/>
        <w:jc w:val="both"/>
        <w:rPr>
          <w:rFonts w:ascii="Arial" w:hAnsi="Arial" w:cs="Arial"/>
          <w:sz w:val="20"/>
        </w:rPr>
      </w:pPr>
      <w:r w:rsidRPr="0009028A">
        <w:rPr>
          <w:rFonts w:ascii="Arial" w:hAnsi="Arial" w:cs="Arial"/>
          <w:sz w:val="20"/>
        </w:rPr>
        <w:t xml:space="preserve">Valor razonable con cambios en resultados </w:t>
      </w:r>
    </w:p>
    <w:p w14:paraId="79403FD2" w14:textId="77777777" w:rsidR="00401CAE" w:rsidRPr="0009028A" w:rsidRDefault="00401CAE" w:rsidP="00835247">
      <w:pPr>
        <w:pStyle w:val="Prrafodelista"/>
        <w:widowControl w:val="0"/>
        <w:numPr>
          <w:ilvl w:val="0"/>
          <w:numId w:val="8"/>
        </w:numPr>
        <w:autoSpaceDE w:val="0"/>
        <w:autoSpaceDN w:val="0"/>
        <w:adjustRightInd w:val="0"/>
        <w:spacing w:after="0" w:line="240" w:lineRule="auto"/>
        <w:ind w:left="0" w:firstLine="0"/>
        <w:contextualSpacing w:val="0"/>
        <w:jc w:val="both"/>
        <w:rPr>
          <w:rFonts w:ascii="Arial" w:hAnsi="Arial" w:cs="Arial"/>
          <w:sz w:val="20"/>
        </w:rPr>
      </w:pPr>
      <w:r w:rsidRPr="0009028A">
        <w:rPr>
          <w:rFonts w:ascii="Arial" w:hAnsi="Arial" w:cs="Arial"/>
          <w:sz w:val="20"/>
        </w:rPr>
        <w:t xml:space="preserve">Valor razonable con cambios en otro resultado integral; o </w:t>
      </w:r>
    </w:p>
    <w:p w14:paraId="30DD5101" w14:textId="77777777" w:rsidR="00401CAE" w:rsidRPr="0009028A" w:rsidRDefault="00401CAE" w:rsidP="00835247">
      <w:pPr>
        <w:pStyle w:val="Prrafodelista"/>
        <w:widowControl w:val="0"/>
        <w:numPr>
          <w:ilvl w:val="0"/>
          <w:numId w:val="8"/>
        </w:numPr>
        <w:autoSpaceDE w:val="0"/>
        <w:autoSpaceDN w:val="0"/>
        <w:adjustRightInd w:val="0"/>
        <w:spacing w:after="0" w:line="240" w:lineRule="auto"/>
        <w:ind w:left="0" w:firstLine="0"/>
        <w:contextualSpacing w:val="0"/>
        <w:jc w:val="both"/>
        <w:rPr>
          <w:rFonts w:ascii="Arial" w:hAnsi="Arial" w:cs="Arial"/>
          <w:sz w:val="20"/>
          <w:szCs w:val="20"/>
        </w:rPr>
      </w:pPr>
      <w:r w:rsidRPr="0009028A">
        <w:rPr>
          <w:rFonts w:ascii="Arial" w:hAnsi="Arial" w:cs="Arial"/>
          <w:sz w:val="20"/>
        </w:rPr>
        <w:t>Costo amortizado</w:t>
      </w:r>
    </w:p>
    <w:p w14:paraId="357954A0" w14:textId="77777777" w:rsidR="00401CAE" w:rsidRPr="0009028A" w:rsidRDefault="00401CAE" w:rsidP="00401CAE">
      <w:pPr>
        <w:pStyle w:val="Prrafodelista"/>
        <w:widowControl w:val="0"/>
        <w:autoSpaceDE w:val="0"/>
        <w:autoSpaceDN w:val="0"/>
        <w:adjustRightInd w:val="0"/>
        <w:spacing w:before="240" w:after="240" w:line="240" w:lineRule="auto"/>
        <w:ind w:left="0"/>
        <w:contextualSpacing w:val="0"/>
        <w:jc w:val="both"/>
        <w:rPr>
          <w:rFonts w:ascii="Arial" w:hAnsi="Arial" w:cs="Arial"/>
          <w:sz w:val="20"/>
        </w:rPr>
      </w:pPr>
      <w:r w:rsidRPr="0009028A">
        <w:rPr>
          <w:rFonts w:ascii="Arial" w:hAnsi="Arial" w:cs="Arial"/>
          <w:sz w:val="20"/>
        </w:rPr>
        <w:t>Los requerimientos de clasificación para instrumentos de deuda y de patrimonio se describen a continuación:</w:t>
      </w:r>
    </w:p>
    <w:p w14:paraId="0AB05FFC" w14:textId="77777777" w:rsidR="00401CAE" w:rsidRPr="0009028A" w:rsidRDefault="00401CAE" w:rsidP="00401CAE">
      <w:pPr>
        <w:pStyle w:val="Prrafodelista"/>
        <w:widowControl w:val="0"/>
        <w:autoSpaceDE w:val="0"/>
        <w:autoSpaceDN w:val="0"/>
        <w:adjustRightInd w:val="0"/>
        <w:spacing w:before="240" w:after="240" w:line="240" w:lineRule="auto"/>
        <w:ind w:left="0"/>
        <w:contextualSpacing w:val="0"/>
        <w:jc w:val="both"/>
        <w:rPr>
          <w:rFonts w:ascii="Arial" w:hAnsi="Arial" w:cs="Arial"/>
          <w:sz w:val="20"/>
        </w:rPr>
      </w:pPr>
      <w:r w:rsidRPr="0009028A">
        <w:rPr>
          <w:rFonts w:ascii="Arial" w:hAnsi="Arial" w:cs="Arial"/>
          <w:sz w:val="20"/>
        </w:rPr>
        <w:t>Instrumentos de deuda</w:t>
      </w:r>
    </w:p>
    <w:p w14:paraId="2B5F0291" w14:textId="77777777" w:rsidR="00401CAE" w:rsidRPr="0009028A" w:rsidRDefault="00401CAE" w:rsidP="00401CAE">
      <w:pPr>
        <w:pStyle w:val="Prrafodelista"/>
        <w:widowControl w:val="0"/>
        <w:autoSpaceDE w:val="0"/>
        <w:autoSpaceDN w:val="0"/>
        <w:adjustRightInd w:val="0"/>
        <w:spacing w:before="240" w:after="240" w:line="240" w:lineRule="auto"/>
        <w:ind w:left="0"/>
        <w:jc w:val="both"/>
        <w:rPr>
          <w:rFonts w:ascii="Arial" w:hAnsi="Arial" w:cs="Arial"/>
          <w:sz w:val="20"/>
        </w:rPr>
      </w:pPr>
      <w:r w:rsidRPr="0009028A">
        <w:rPr>
          <w:rFonts w:ascii="Arial" w:hAnsi="Arial" w:cs="Arial"/>
          <w:sz w:val="20"/>
        </w:rPr>
        <w:t xml:space="preserve">Los instrumentos de deuda son aquellos instrumentos que cumplen con la definición de un pasivo financiero desde la perspectiva del emisor, tales como préstamos, bonos gubernamentales y corporativos y cuentas por cobrar comerciales adquiridas a clientes en arreglos de factoraje sin recurso. </w:t>
      </w:r>
    </w:p>
    <w:p w14:paraId="76F23B1B" w14:textId="77777777" w:rsidR="00401CAE" w:rsidRPr="0009028A" w:rsidRDefault="00401CAE" w:rsidP="00401CAE">
      <w:pPr>
        <w:pStyle w:val="Prrafodelista"/>
        <w:widowControl w:val="0"/>
        <w:autoSpaceDE w:val="0"/>
        <w:autoSpaceDN w:val="0"/>
        <w:adjustRightInd w:val="0"/>
        <w:spacing w:before="240" w:after="240" w:line="240" w:lineRule="auto"/>
        <w:ind w:left="0"/>
        <w:jc w:val="both"/>
        <w:rPr>
          <w:rFonts w:ascii="Arial" w:hAnsi="Arial" w:cs="Arial"/>
          <w:sz w:val="20"/>
        </w:rPr>
      </w:pPr>
    </w:p>
    <w:p w14:paraId="45D2711F" w14:textId="77777777" w:rsidR="00401CAE" w:rsidRPr="0009028A" w:rsidRDefault="00401CAE" w:rsidP="00401CAE">
      <w:pPr>
        <w:pStyle w:val="Prrafodelista"/>
        <w:widowControl w:val="0"/>
        <w:autoSpaceDE w:val="0"/>
        <w:autoSpaceDN w:val="0"/>
        <w:adjustRightInd w:val="0"/>
        <w:spacing w:before="240" w:after="240" w:line="240" w:lineRule="auto"/>
        <w:ind w:left="0"/>
        <w:jc w:val="both"/>
        <w:rPr>
          <w:rFonts w:ascii="Arial" w:hAnsi="Arial" w:cs="Arial"/>
          <w:sz w:val="20"/>
        </w:rPr>
      </w:pPr>
      <w:r w:rsidRPr="0009028A">
        <w:rPr>
          <w:rFonts w:ascii="Arial" w:hAnsi="Arial" w:cs="Arial"/>
          <w:sz w:val="20"/>
        </w:rPr>
        <w:t xml:space="preserve">La clasificación y medición posterior de los instrumentos de deuda dependen de: </w:t>
      </w:r>
    </w:p>
    <w:p w14:paraId="354A84E9" w14:textId="77777777" w:rsidR="00401CAE" w:rsidRPr="0009028A" w:rsidRDefault="00401CAE" w:rsidP="00401CAE">
      <w:pPr>
        <w:pStyle w:val="Prrafodelista"/>
        <w:widowControl w:val="0"/>
        <w:autoSpaceDE w:val="0"/>
        <w:autoSpaceDN w:val="0"/>
        <w:adjustRightInd w:val="0"/>
        <w:spacing w:before="240" w:after="240" w:line="240" w:lineRule="auto"/>
        <w:ind w:left="0"/>
        <w:jc w:val="both"/>
        <w:rPr>
          <w:rFonts w:ascii="Arial" w:hAnsi="Arial" w:cs="Arial"/>
          <w:sz w:val="20"/>
        </w:rPr>
      </w:pPr>
    </w:p>
    <w:p w14:paraId="06D99F89" w14:textId="77777777" w:rsidR="00401CAE" w:rsidRPr="0009028A" w:rsidRDefault="00401CAE" w:rsidP="00835247">
      <w:pPr>
        <w:pStyle w:val="Prrafodelista"/>
        <w:widowControl w:val="0"/>
        <w:numPr>
          <w:ilvl w:val="0"/>
          <w:numId w:val="9"/>
        </w:numPr>
        <w:autoSpaceDE w:val="0"/>
        <w:autoSpaceDN w:val="0"/>
        <w:adjustRightInd w:val="0"/>
        <w:spacing w:before="240" w:after="240" w:line="240" w:lineRule="auto"/>
        <w:ind w:left="0" w:firstLine="0"/>
        <w:jc w:val="both"/>
        <w:rPr>
          <w:rFonts w:ascii="Arial" w:hAnsi="Arial" w:cs="Arial"/>
          <w:sz w:val="20"/>
        </w:rPr>
      </w:pPr>
      <w:r w:rsidRPr="0009028A">
        <w:rPr>
          <w:rFonts w:ascii="Arial" w:hAnsi="Arial" w:cs="Arial"/>
          <w:sz w:val="20"/>
        </w:rPr>
        <w:t xml:space="preserve">Modelo de negocio de la Compañía para administrar el activo; y </w:t>
      </w:r>
    </w:p>
    <w:p w14:paraId="65CA09C8" w14:textId="77777777" w:rsidR="00401CAE" w:rsidRPr="0009028A" w:rsidRDefault="00401CAE" w:rsidP="00835247">
      <w:pPr>
        <w:pStyle w:val="Prrafodelista"/>
        <w:widowControl w:val="0"/>
        <w:numPr>
          <w:ilvl w:val="0"/>
          <w:numId w:val="9"/>
        </w:numPr>
        <w:autoSpaceDE w:val="0"/>
        <w:autoSpaceDN w:val="0"/>
        <w:adjustRightInd w:val="0"/>
        <w:spacing w:before="240" w:after="240" w:line="240" w:lineRule="auto"/>
        <w:ind w:left="0" w:firstLine="0"/>
        <w:jc w:val="both"/>
        <w:rPr>
          <w:rFonts w:ascii="Arial" w:hAnsi="Arial" w:cs="Arial"/>
          <w:sz w:val="20"/>
        </w:rPr>
      </w:pPr>
      <w:r w:rsidRPr="0009028A">
        <w:rPr>
          <w:rFonts w:ascii="Arial" w:hAnsi="Arial" w:cs="Arial"/>
          <w:sz w:val="20"/>
        </w:rPr>
        <w:t xml:space="preserve">Características de flujo de efectivo del activo. </w:t>
      </w:r>
    </w:p>
    <w:p w14:paraId="12E634A5" w14:textId="77777777" w:rsidR="00401CAE" w:rsidRPr="0009028A" w:rsidRDefault="00401CAE" w:rsidP="00401CAE">
      <w:pPr>
        <w:pStyle w:val="Prrafodelista"/>
        <w:widowControl w:val="0"/>
        <w:autoSpaceDE w:val="0"/>
        <w:autoSpaceDN w:val="0"/>
        <w:adjustRightInd w:val="0"/>
        <w:spacing w:before="240" w:after="240" w:line="240" w:lineRule="auto"/>
        <w:ind w:left="0"/>
        <w:jc w:val="both"/>
        <w:rPr>
          <w:rFonts w:ascii="Arial" w:hAnsi="Arial" w:cs="Arial"/>
          <w:sz w:val="20"/>
        </w:rPr>
      </w:pPr>
    </w:p>
    <w:p w14:paraId="247E6281" w14:textId="77777777" w:rsidR="00401CAE" w:rsidRPr="0009028A" w:rsidRDefault="00401CAE" w:rsidP="00401CAE">
      <w:pPr>
        <w:pStyle w:val="Prrafodelista"/>
        <w:widowControl w:val="0"/>
        <w:autoSpaceDE w:val="0"/>
        <w:autoSpaceDN w:val="0"/>
        <w:adjustRightInd w:val="0"/>
        <w:spacing w:before="240" w:after="240" w:line="240" w:lineRule="auto"/>
        <w:ind w:left="0"/>
        <w:contextualSpacing w:val="0"/>
        <w:jc w:val="both"/>
        <w:rPr>
          <w:rFonts w:ascii="Arial" w:hAnsi="Arial" w:cs="Arial"/>
          <w:sz w:val="20"/>
        </w:rPr>
      </w:pPr>
      <w:r w:rsidRPr="0009028A">
        <w:rPr>
          <w:rFonts w:ascii="Arial" w:hAnsi="Arial" w:cs="Arial"/>
          <w:sz w:val="20"/>
        </w:rPr>
        <w:t>Con base en estos factores, la Compañía clasifica sus instrumentos de deuda dentro de una de las siguientes categorías de medición:</w:t>
      </w:r>
    </w:p>
    <w:p w14:paraId="1F95AA0F" w14:textId="77777777" w:rsidR="00401CAE" w:rsidRPr="0009028A" w:rsidRDefault="00401CAE" w:rsidP="00835247">
      <w:pPr>
        <w:pStyle w:val="Prrafodelista"/>
        <w:widowControl w:val="0"/>
        <w:numPr>
          <w:ilvl w:val="0"/>
          <w:numId w:val="10"/>
        </w:numPr>
        <w:autoSpaceDE w:val="0"/>
        <w:autoSpaceDN w:val="0"/>
        <w:adjustRightInd w:val="0"/>
        <w:spacing w:before="240" w:after="240" w:line="240" w:lineRule="auto"/>
        <w:ind w:left="284" w:hanging="284"/>
        <w:jc w:val="both"/>
        <w:rPr>
          <w:rFonts w:ascii="Arial" w:hAnsi="Arial" w:cs="Arial"/>
          <w:sz w:val="20"/>
        </w:rPr>
      </w:pPr>
      <w:r w:rsidRPr="0009028A">
        <w:rPr>
          <w:rFonts w:ascii="Arial" w:hAnsi="Arial" w:cs="Arial"/>
          <w:sz w:val="20"/>
        </w:rPr>
        <w:t>Costo amortizado: los activos que se mantienen para el cobro de flujos de efectivo contractuales donde dichos flujos de efectivo representan solo pagos de principal e intereses, y que no están designados al valor razonable con cambios en resultados, se miden al costo amortizado. El importe en libros de estos activos se ajusta por cualquier estimación de pérdida crediticia esperada reconocida. Los ingresos por intereses de estos activos financieros se incluyen en "intereses e ingresos similares" utilizando el método de la tasa de interés efectiva.</w:t>
      </w:r>
    </w:p>
    <w:p w14:paraId="4BA9C7F5" w14:textId="77777777" w:rsidR="00401CAE" w:rsidRPr="0009028A" w:rsidRDefault="00401CAE" w:rsidP="00401CAE">
      <w:pPr>
        <w:pStyle w:val="Prrafodelista"/>
        <w:widowControl w:val="0"/>
        <w:autoSpaceDE w:val="0"/>
        <w:autoSpaceDN w:val="0"/>
        <w:adjustRightInd w:val="0"/>
        <w:spacing w:before="240" w:after="240" w:line="240" w:lineRule="auto"/>
        <w:ind w:left="284" w:hanging="284"/>
        <w:jc w:val="both"/>
        <w:rPr>
          <w:rFonts w:ascii="Arial" w:hAnsi="Arial" w:cs="Arial"/>
          <w:sz w:val="20"/>
        </w:rPr>
      </w:pPr>
    </w:p>
    <w:p w14:paraId="4B68D8EC" w14:textId="77777777" w:rsidR="00401CAE" w:rsidRPr="0009028A" w:rsidRDefault="00401CAE" w:rsidP="00835247">
      <w:pPr>
        <w:pStyle w:val="Prrafodelista"/>
        <w:widowControl w:val="0"/>
        <w:numPr>
          <w:ilvl w:val="0"/>
          <w:numId w:val="10"/>
        </w:numPr>
        <w:autoSpaceDE w:val="0"/>
        <w:autoSpaceDN w:val="0"/>
        <w:adjustRightInd w:val="0"/>
        <w:spacing w:before="240" w:after="240" w:line="240" w:lineRule="auto"/>
        <w:ind w:left="284" w:hanging="284"/>
        <w:jc w:val="both"/>
        <w:rPr>
          <w:rFonts w:ascii="Arial" w:hAnsi="Arial" w:cs="Arial"/>
          <w:sz w:val="20"/>
        </w:rPr>
      </w:pPr>
      <w:r w:rsidRPr="0009028A">
        <w:rPr>
          <w:rFonts w:ascii="Arial" w:hAnsi="Arial" w:cs="Arial"/>
          <w:sz w:val="20"/>
        </w:rPr>
        <w:t>Valor razonable con cambios en otro resultado integral: los activos financieros que se mantienen para el cobro de flujos de efectivo contractuales y para vender los activos, donde los flujos de efectivo de los activos representan solo pagos de principal e intereses, y que no son designados al valor razonable con cambios en resultados, se miden al valor razonable con cambios en otro resultado integral. Los movimientos en el importe en libros se toman a través de otro resultado integral, excepto por el reconocimiento de ganancias o pérdidas por deterioro, ingresos por intereses y ganancias y pérdidas cambiarias en el costo amortizado del instrumento que se reconocen en el estado de resultados. Cuando el activo financiero se da de baja en cuentas, la ganancia o pérdida acumulada previamente reconocida en otro resultado integral se reclasifica de patrimonio al estado de resultados. Los ingresos por intereses de estos activos financieros se incluyen en "ingresos por intereses" utilizando el método de la tasa de interés efectiva.</w:t>
      </w:r>
    </w:p>
    <w:p w14:paraId="1056A430" w14:textId="77777777" w:rsidR="00401CAE" w:rsidRPr="0009028A" w:rsidRDefault="00401CAE" w:rsidP="00401CAE">
      <w:pPr>
        <w:pStyle w:val="Prrafodelista"/>
        <w:widowControl w:val="0"/>
        <w:autoSpaceDE w:val="0"/>
        <w:autoSpaceDN w:val="0"/>
        <w:adjustRightInd w:val="0"/>
        <w:spacing w:before="240" w:after="240" w:line="240" w:lineRule="auto"/>
        <w:ind w:left="284" w:hanging="284"/>
        <w:jc w:val="both"/>
        <w:rPr>
          <w:rFonts w:ascii="Arial" w:hAnsi="Arial" w:cs="Arial"/>
          <w:sz w:val="20"/>
        </w:rPr>
      </w:pPr>
    </w:p>
    <w:p w14:paraId="66E57FBB" w14:textId="77777777" w:rsidR="00401CAE" w:rsidRPr="0009028A" w:rsidRDefault="00401CAE" w:rsidP="00835247">
      <w:pPr>
        <w:pStyle w:val="Prrafodelista"/>
        <w:widowControl w:val="0"/>
        <w:numPr>
          <w:ilvl w:val="0"/>
          <w:numId w:val="10"/>
        </w:numPr>
        <w:autoSpaceDE w:val="0"/>
        <w:autoSpaceDN w:val="0"/>
        <w:adjustRightInd w:val="0"/>
        <w:spacing w:before="240" w:after="240" w:line="240" w:lineRule="auto"/>
        <w:ind w:left="284" w:hanging="284"/>
        <w:contextualSpacing w:val="0"/>
        <w:jc w:val="both"/>
        <w:rPr>
          <w:rFonts w:ascii="Arial" w:hAnsi="Arial" w:cs="Arial"/>
          <w:sz w:val="20"/>
        </w:rPr>
      </w:pPr>
      <w:r w:rsidRPr="0009028A">
        <w:rPr>
          <w:rFonts w:ascii="Arial" w:hAnsi="Arial" w:cs="Arial"/>
          <w:sz w:val="20"/>
        </w:rPr>
        <w:t>Valor razonable con cambios en resultados: los activos que no cumplen los requisitos para costo amortizado o valor razonable con cambios en otro resultado integral se miden al valor razonable con cambios en resultados. Una pérdida o ganancia en un instrumento de deuda que se mide posteriormente al valor razonable con cambios en resultados y no es parte de una relación de cobertura se reconoce en el estado de resultados para el periodo en el que surge, a menos que surja de instrumentos de deuda que fueron designados al valor razonable o que no son mantenidos para negociar. Los ingresos por intereses de estos activos financieros se incluyen en "ingresos por intereses" utilizando el método de la tasa de interés efectiva.</w:t>
      </w:r>
    </w:p>
    <w:p w14:paraId="0D620EEA" w14:textId="77777777" w:rsidR="00401CAE" w:rsidRPr="0009028A" w:rsidRDefault="00401CAE" w:rsidP="00401CAE">
      <w:pPr>
        <w:pStyle w:val="Prrafodelista"/>
        <w:widowControl w:val="0"/>
        <w:autoSpaceDE w:val="0"/>
        <w:autoSpaceDN w:val="0"/>
        <w:adjustRightInd w:val="0"/>
        <w:spacing w:before="240" w:after="240" w:line="240" w:lineRule="auto"/>
        <w:ind w:left="0"/>
        <w:jc w:val="both"/>
        <w:rPr>
          <w:rFonts w:ascii="Arial" w:hAnsi="Arial" w:cs="Arial"/>
          <w:sz w:val="20"/>
        </w:rPr>
      </w:pPr>
      <w:r w:rsidRPr="0009028A">
        <w:rPr>
          <w:rFonts w:ascii="Arial" w:hAnsi="Arial" w:cs="Arial"/>
          <w:sz w:val="20"/>
        </w:rPr>
        <w:t xml:space="preserve">Modelo de negocios: el modelo de negocios refleja cómo la Compañía administra los activos para generar flujos de efectivo. Es decir, si el objetivo de la Compañía es únicamente recaudar los flujos de efectivo contractuales de los activos o si el objetivo es recaudar tanto los flujos de efectivo contractuales como los flujos de efectivo que surgen de la venta de los activos. Si ninguno de estos aplica (por ejemplo, activos financieros mantenidos para negociación), entonces los activos financieros se clasifican como parte de “otro” modelo de negocios y se miden al valor razonable con cambios en resultados. Los factores considerados por la Compañía para determinar el modelo de negocio de un grupo de activos incluyen experiencias pasadas sobre cómo se cobraron los flujos de efectivo para estos activos, cómo se evalúa e informa el desempeño del activo al personal clave de administración, cómo se evalúan y gestionan los riesgos y cómo los gerentes son remunerados. Los valores mantenidos para negociar se mantienen principalmente con el propósito de vender en el corto plazo o son parte de una cartera de instrumentos financieros que son administrados conjuntamente y para los cuales hay evidencia de un patrón real reciente de toma de ganancias a corto plazo. Estos valores se clasifican en el "otro" modelo de negocios y se miden al valor razonable con cambios en resultados. </w:t>
      </w:r>
    </w:p>
    <w:p w14:paraId="05E2E2A8" w14:textId="77777777" w:rsidR="00401CAE" w:rsidRPr="0009028A" w:rsidRDefault="00401CAE" w:rsidP="00401CAE">
      <w:pPr>
        <w:pStyle w:val="Prrafodelista"/>
        <w:widowControl w:val="0"/>
        <w:autoSpaceDE w:val="0"/>
        <w:autoSpaceDN w:val="0"/>
        <w:adjustRightInd w:val="0"/>
        <w:spacing w:before="240" w:after="240" w:line="240" w:lineRule="auto"/>
        <w:ind w:left="0"/>
        <w:jc w:val="both"/>
        <w:rPr>
          <w:rFonts w:ascii="Arial" w:hAnsi="Arial" w:cs="Arial"/>
          <w:sz w:val="20"/>
        </w:rPr>
      </w:pPr>
    </w:p>
    <w:p w14:paraId="6C1DEA9F" w14:textId="77777777" w:rsidR="00401CAE" w:rsidRPr="0009028A" w:rsidRDefault="00401CAE" w:rsidP="00401CAE">
      <w:pPr>
        <w:pStyle w:val="Prrafodelista"/>
        <w:widowControl w:val="0"/>
        <w:autoSpaceDE w:val="0"/>
        <w:autoSpaceDN w:val="0"/>
        <w:adjustRightInd w:val="0"/>
        <w:spacing w:before="240" w:after="240" w:line="240" w:lineRule="auto"/>
        <w:ind w:left="0"/>
        <w:jc w:val="both"/>
        <w:rPr>
          <w:rFonts w:ascii="Arial" w:hAnsi="Arial" w:cs="Arial"/>
          <w:sz w:val="20"/>
        </w:rPr>
      </w:pPr>
      <w:r w:rsidRPr="0009028A">
        <w:rPr>
          <w:rFonts w:ascii="Arial" w:hAnsi="Arial" w:cs="Arial"/>
          <w:sz w:val="20"/>
        </w:rPr>
        <w:t xml:space="preserve">Solo pagos de principal e intereses (SPPI, por su acrónimo en inglés): Cuando el modelo de negocio se utiliza para mantener activos para cobrar flujos de efectivo contractuales o para cobrar flujos de efectivo contractuales y vender, la Compañía evalúa si los flujos de efectivo de los instrumentos financieros representan únicamente pagos de capital e intereses (la prueba "SPPI"). Al realizar esta evaluación, la Compañía considera si los flujos de efectivo contractuales son consistentes con un acuerdo de préstamo básico, es decir, el interés incluye solo la contraprestación por el valor del dinero en el tiempo, el riesgo crediticio, otros riesgos crediticios básicos y un margen de ganancia consistente con un acuerdo de préstamo básico. Cuando los términos contractuales introducen una exposición al riesgo o a la volatilidad y son inconsistentes con un acuerdo de préstamo básico, el activo financiero relacionado se clasifica y mide al valor razonable con cambios en resultados. </w:t>
      </w:r>
    </w:p>
    <w:p w14:paraId="52BEBA51" w14:textId="77777777" w:rsidR="00401CAE" w:rsidRPr="0009028A" w:rsidRDefault="00401CAE" w:rsidP="00401CAE">
      <w:pPr>
        <w:pStyle w:val="Prrafodelista"/>
        <w:widowControl w:val="0"/>
        <w:autoSpaceDE w:val="0"/>
        <w:autoSpaceDN w:val="0"/>
        <w:adjustRightInd w:val="0"/>
        <w:spacing w:before="240" w:after="240" w:line="240" w:lineRule="auto"/>
        <w:ind w:left="0"/>
        <w:jc w:val="both"/>
        <w:rPr>
          <w:rFonts w:ascii="Arial" w:hAnsi="Arial" w:cs="Arial"/>
          <w:sz w:val="20"/>
        </w:rPr>
      </w:pPr>
    </w:p>
    <w:p w14:paraId="79FE8645" w14:textId="77777777" w:rsidR="00401CAE" w:rsidRPr="0009028A" w:rsidRDefault="00401CAE" w:rsidP="00401CAE">
      <w:pPr>
        <w:pStyle w:val="Prrafodelista"/>
        <w:widowControl w:val="0"/>
        <w:autoSpaceDE w:val="0"/>
        <w:autoSpaceDN w:val="0"/>
        <w:adjustRightInd w:val="0"/>
        <w:spacing w:before="240" w:after="240" w:line="240" w:lineRule="auto"/>
        <w:ind w:left="0"/>
        <w:contextualSpacing w:val="0"/>
        <w:jc w:val="both"/>
        <w:rPr>
          <w:rFonts w:ascii="Arial" w:hAnsi="Arial" w:cs="Arial"/>
          <w:sz w:val="20"/>
        </w:rPr>
      </w:pPr>
      <w:r w:rsidRPr="0009028A">
        <w:rPr>
          <w:rFonts w:ascii="Arial" w:hAnsi="Arial" w:cs="Arial"/>
          <w:sz w:val="20"/>
        </w:rPr>
        <w:t>La Compañía reclasifica inversiones en instrumentos de deuda cuando y solo cuando cambia su modelo de negocio para administrar esos activos. La reclasificación se lleva a cabo desde el inicio del primer período reportado posterior al cambio. Se espera que tales cambios no sean frecuentes y que no hayan ocurrido durante el período.</w:t>
      </w:r>
    </w:p>
    <w:p w14:paraId="347204E5" w14:textId="77777777" w:rsidR="00401CAE" w:rsidRPr="0009028A" w:rsidRDefault="00401CAE" w:rsidP="00401CAE">
      <w:pPr>
        <w:pStyle w:val="Prrafodelista"/>
        <w:widowControl w:val="0"/>
        <w:autoSpaceDE w:val="0"/>
        <w:autoSpaceDN w:val="0"/>
        <w:adjustRightInd w:val="0"/>
        <w:spacing w:before="240" w:after="240" w:line="240" w:lineRule="auto"/>
        <w:ind w:left="0"/>
        <w:contextualSpacing w:val="0"/>
        <w:jc w:val="both"/>
        <w:rPr>
          <w:rFonts w:ascii="Arial" w:hAnsi="Arial" w:cs="Arial"/>
          <w:b/>
          <w:sz w:val="20"/>
        </w:rPr>
      </w:pPr>
      <w:r w:rsidRPr="0009028A">
        <w:rPr>
          <w:rFonts w:ascii="Arial" w:hAnsi="Arial" w:cs="Arial"/>
          <w:b/>
          <w:sz w:val="20"/>
        </w:rPr>
        <w:t>Instrumentos de patrimonio</w:t>
      </w:r>
    </w:p>
    <w:p w14:paraId="15329A8A" w14:textId="77777777" w:rsidR="00401CAE" w:rsidRPr="0009028A" w:rsidRDefault="00401CAE" w:rsidP="00401CAE">
      <w:pPr>
        <w:pStyle w:val="Prrafodelista"/>
        <w:widowControl w:val="0"/>
        <w:autoSpaceDE w:val="0"/>
        <w:autoSpaceDN w:val="0"/>
        <w:adjustRightInd w:val="0"/>
        <w:spacing w:before="240" w:after="240" w:line="240" w:lineRule="auto"/>
        <w:ind w:left="0"/>
        <w:jc w:val="both"/>
        <w:rPr>
          <w:rFonts w:ascii="Arial" w:hAnsi="Arial" w:cs="Arial"/>
          <w:sz w:val="20"/>
        </w:rPr>
      </w:pPr>
      <w:r w:rsidRPr="0009028A">
        <w:rPr>
          <w:rFonts w:ascii="Arial" w:hAnsi="Arial" w:cs="Arial"/>
          <w:sz w:val="20"/>
        </w:rPr>
        <w:t xml:space="preserve">Los instrumentos de patrimonio son aquellos instrumentos que cumplen con la definición de patrimonio desde la perspectiva del emisor; es decir, instrumentos que no poseen una obligación contractual para pagar y evidencian un interés residual en los activos netos del emisor. </w:t>
      </w:r>
    </w:p>
    <w:p w14:paraId="515F4F56" w14:textId="77777777" w:rsidR="00401CAE" w:rsidRPr="0009028A" w:rsidRDefault="00401CAE" w:rsidP="00401CAE">
      <w:pPr>
        <w:pStyle w:val="Prrafodelista"/>
        <w:widowControl w:val="0"/>
        <w:autoSpaceDE w:val="0"/>
        <w:autoSpaceDN w:val="0"/>
        <w:adjustRightInd w:val="0"/>
        <w:spacing w:before="240" w:after="240" w:line="240" w:lineRule="auto"/>
        <w:ind w:left="0"/>
        <w:jc w:val="both"/>
        <w:rPr>
          <w:rFonts w:ascii="Arial" w:hAnsi="Arial" w:cs="Arial"/>
          <w:sz w:val="20"/>
        </w:rPr>
      </w:pPr>
    </w:p>
    <w:p w14:paraId="507380B7" w14:textId="77777777" w:rsidR="00401CAE" w:rsidRPr="0009028A" w:rsidRDefault="00401CAE" w:rsidP="00401CAE">
      <w:pPr>
        <w:pStyle w:val="Prrafodelista"/>
        <w:widowControl w:val="0"/>
        <w:autoSpaceDE w:val="0"/>
        <w:autoSpaceDN w:val="0"/>
        <w:adjustRightInd w:val="0"/>
        <w:spacing w:before="240" w:after="240" w:line="240" w:lineRule="auto"/>
        <w:ind w:left="0"/>
        <w:jc w:val="both"/>
        <w:rPr>
          <w:rFonts w:ascii="Arial" w:hAnsi="Arial" w:cs="Arial"/>
          <w:sz w:val="20"/>
        </w:rPr>
      </w:pPr>
      <w:r w:rsidRPr="0009028A">
        <w:rPr>
          <w:rFonts w:ascii="Arial" w:hAnsi="Arial" w:cs="Arial"/>
          <w:sz w:val="20"/>
        </w:rPr>
        <w:t xml:space="preserve">La Compañía posteriormente mide todas las inversiones patrimoniales al valor razonable con cambios en resultados, excepto cuando la administración de la Compañía haya elegido, en el reconocimiento inicial, designar irrevocablemente una inversión de patrimonio al valor razonable con cambios en otro resultado integral. La política de la Compañía es designar inversiones de patrimonio al valor razonable con cambios en otro resultado integral cuando dichas inversiones se mantienen para propósitos diferentes al de generar rendimientos. Cuando se usa esta elección, las ganancias y pérdidas al valor razonable se reconocen en otro resultado integral y no se clasifican posteriormente al estado de resultados, incluyendo ganancias o pérdidas por ventas. Las pérdidas por deterioro (y el reverso de pérdidas por deterioro) no se informan separadamente de otros cambios en el valor razonable. Los dividendos, cuando representan un rendimiento de dichas inversiones, continúan siendo reconocidos en el estado de resultados como otros ingresos cuando se establece el derecho de la Compañía a recibir pagos. </w:t>
      </w:r>
    </w:p>
    <w:p w14:paraId="7A1DCA96" w14:textId="77777777" w:rsidR="00401CAE" w:rsidRPr="0009028A" w:rsidRDefault="00401CAE" w:rsidP="00401CAE">
      <w:pPr>
        <w:pStyle w:val="Prrafodelista"/>
        <w:widowControl w:val="0"/>
        <w:autoSpaceDE w:val="0"/>
        <w:autoSpaceDN w:val="0"/>
        <w:adjustRightInd w:val="0"/>
        <w:spacing w:before="240" w:after="240" w:line="240" w:lineRule="auto"/>
        <w:ind w:left="0"/>
        <w:jc w:val="both"/>
        <w:rPr>
          <w:rFonts w:ascii="Arial" w:hAnsi="Arial" w:cs="Arial"/>
          <w:sz w:val="20"/>
        </w:rPr>
      </w:pPr>
    </w:p>
    <w:p w14:paraId="63F1E216" w14:textId="77777777" w:rsidR="00401CAE" w:rsidRDefault="00401CAE" w:rsidP="00401CAE">
      <w:pPr>
        <w:pStyle w:val="Prrafodelista"/>
        <w:widowControl w:val="0"/>
        <w:autoSpaceDE w:val="0"/>
        <w:autoSpaceDN w:val="0"/>
        <w:adjustRightInd w:val="0"/>
        <w:spacing w:before="240" w:after="240" w:line="240" w:lineRule="auto"/>
        <w:ind w:left="0"/>
        <w:contextualSpacing w:val="0"/>
        <w:jc w:val="both"/>
        <w:rPr>
          <w:rFonts w:ascii="Arial" w:hAnsi="Arial" w:cs="Arial"/>
          <w:sz w:val="20"/>
        </w:rPr>
      </w:pPr>
      <w:r w:rsidRPr="0009028A">
        <w:rPr>
          <w:rFonts w:ascii="Arial" w:hAnsi="Arial" w:cs="Arial"/>
          <w:sz w:val="20"/>
        </w:rPr>
        <w:t>Las ganancias y pérdidas en inversiones de patrimonio al valor razonable con cambios en resultados se incluyen en la partida de “resultados de operaciones financieras” en el estado de resultados.</w:t>
      </w:r>
    </w:p>
    <w:p w14:paraId="7903AFB3" w14:textId="77777777" w:rsidR="00061540" w:rsidRPr="0009028A" w:rsidRDefault="00061540" w:rsidP="00401CAE">
      <w:pPr>
        <w:pStyle w:val="Prrafodelista"/>
        <w:widowControl w:val="0"/>
        <w:autoSpaceDE w:val="0"/>
        <w:autoSpaceDN w:val="0"/>
        <w:adjustRightInd w:val="0"/>
        <w:spacing w:before="240" w:after="240" w:line="240" w:lineRule="auto"/>
        <w:ind w:left="0"/>
        <w:contextualSpacing w:val="0"/>
        <w:jc w:val="both"/>
        <w:rPr>
          <w:rFonts w:ascii="Arial" w:hAnsi="Arial" w:cs="Arial"/>
          <w:sz w:val="20"/>
        </w:rPr>
      </w:pPr>
    </w:p>
    <w:p w14:paraId="517B6119" w14:textId="77777777" w:rsidR="00401CAE" w:rsidRPr="0009028A" w:rsidRDefault="00401CAE" w:rsidP="00401CAE">
      <w:pPr>
        <w:pStyle w:val="Prrafodelista"/>
        <w:widowControl w:val="0"/>
        <w:autoSpaceDE w:val="0"/>
        <w:autoSpaceDN w:val="0"/>
        <w:adjustRightInd w:val="0"/>
        <w:spacing w:before="240" w:after="240" w:line="240" w:lineRule="auto"/>
        <w:ind w:left="0"/>
        <w:contextualSpacing w:val="0"/>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(ii) Deterioro</w:t>
      </w:r>
    </w:p>
    <w:p w14:paraId="0548E6A2" w14:textId="77777777" w:rsidR="00401CAE" w:rsidRPr="0009028A" w:rsidRDefault="00401CAE" w:rsidP="00401CAE">
      <w:pPr>
        <w:pStyle w:val="Prrafodelista"/>
        <w:widowControl w:val="0"/>
        <w:autoSpaceDE w:val="0"/>
        <w:autoSpaceDN w:val="0"/>
        <w:adjustRightInd w:val="0"/>
        <w:spacing w:before="240" w:after="240" w:line="240" w:lineRule="auto"/>
        <w:ind w:left="0"/>
        <w:jc w:val="both"/>
        <w:rPr>
          <w:rFonts w:ascii="Arial" w:hAnsi="Arial" w:cs="Arial"/>
          <w:sz w:val="20"/>
        </w:rPr>
      </w:pPr>
      <w:r w:rsidRPr="0009028A">
        <w:rPr>
          <w:rFonts w:ascii="Arial" w:hAnsi="Arial" w:cs="Arial"/>
          <w:sz w:val="20"/>
        </w:rPr>
        <w:t xml:space="preserve">La Compañía evalúa, de manera prospectiva, las pérdidas crediticias esperadas asociadas con los instrumentos de deuda contabilizados al costo amortizado y al valor razonable con cambios en otro resultado integral y con la exposición derivada de los compromisos de préstamo y los contratos de garantía financiera. La Compañía reconoce una reserva para pérdidas para dichas pérdidas en cada fecha de presentación. La medición de las pérdidas crediticias esperadas refleja: </w:t>
      </w:r>
    </w:p>
    <w:p w14:paraId="58C49391" w14:textId="77777777" w:rsidR="00401CAE" w:rsidRPr="0009028A" w:rsidRDefault="00401CAE" w:rsidP="00401CAE">
      <w:pPr>
        <w:pStyle w:val="Prrafodelista"/>
        <w:widowControl w:val="0"/>
        <w:autoSpaceDE w:val="0"/>
        <w:autoSpaceDN w:val="0"/>
        <w:adjustRightInd w:val="0"/>
        <w:spacing w:before="240" w:line="240" w:lineRule="auto"/>
        <w:ind w:left="0" w:hanging="567"/>
        <w:jc w:val="both"/>
        <w:rPr>
          <w:rFonts w:ascii="Arial" w:hAnsi="Arial" w:cs="Arial"/>
          <w:sz w:val="20"/>
        </w:rPr>
      </w:pPr>
    </w:p>
    <w:p w14:paraId="085DFCCB" w14:textId="77777777" w:rsidR="00401CAE" w:rsidRPr="0009028A" w:rsidRDefault="00401CAE" w:rsidP="00835247">
      <w:pPr>
        <w:pStyle w:val="Prrafodelista"/>
        <w:widowControl w:val="0"/>
        <w:numPr>
          <w:ilvl w:val="0"/>
          <w:numId w:val="11"/>
        </w:numPr>
        <w:tabs>
          <w:tab w:val="left" w:pos="284"/>
          <w:tab w:val="left" w:pos="426"/>
        </w:tabs>
        <w:autoSpaceDE w:val="0"/>
        <w:autoSpaceDN w:val="0"/>
        <w:adjustRightInd w:val="0"/>
        <w:spacing w:before="240" w:after="0" w:line="240" w:lineRule="auto"/>
        <w:ind w:left="0" w:firstLine="0"/>
        <w:jc w:val="both"/>
        <w:rPr>
          <w:rFonts w:ascii="Arial" w:hAnsi="Arial" w:cs="Arial"/>
          <w:sz w:val="20"/>
        </w:rPr>
      </w:pPr>
      <w:r w:rsidRPr="0009028A">
        <w:rPr>
          <w:rFonts w:ascii="Arial" w:hAnsi="Arial" w:cs="Arial"/>
          <w:sz w:val="20"/>
        </w:rPr>
        <w:t xml:space="preserve">Una cantidad imparcial y ponderada de probabilidad que se determina mediante la evaluación de un rango de posibles resultados; </w:t>
      </w:r>
    </w:p>
    <w:p w14:paraId="18B7A66E" w14:textId="77777777" w:rsidR="00401CAE" w:rsidRPr="0009028A" w:rsidRDefault="00401CAE" w:rsidP="00835247">
      <w:pPr>
        <w:pStyle w:val="Prrafodelista"/>
        <w:widowControl w:val="0"/>
        <w:numPr>
          <w:ilvl w:val="0"/>
          <w:numId w:val="11"/>
        </w:numPr>
        <w:tabs>
          <w:tab w:val="left" w:pos="284"/>
          <w:tab w:val="left" w:pos="426"/>
        </w:tabs>
        <w:autoSpaceDE w:val="0"/>
        <w:autoSpaceDN w:val="0"/>
        <w:adjustRightInd w:val="0"/>
        <w:spacing w:before="240" w:after="0" w:line="240" w:lineRule="auto"/>
        <w:ind w:left="0" w:firstLine="0"/>
        <w:jc w:val="both"/>
        <w:rPr>
          <w:rFonts w:ascii="Arial" w:hAnsi="Arial" w:cs="Arial"/>
          <w:sz w:val="20"/>
        </w:rPr>
      </w:pPr>
      <w:r w:rsidRPr="0009028A">
        <w:rPr>
          <w:rFonts w:ascii="Arial" w:hAnsi="Arial" w:cs="Arial"/>
          <w:sz w:val="20"/>
        </w:rPr>
        <w:t xml:space="preserve">El valor del dinero en el tiempo; e </w:t>
      </w:r>
    </w:p>
    <w:p w14:paraId="587883A8" w14:textId="77777777" w:rsidR="00401CAE" w:rsidRPr="0009028A" w:rsidRDefault="00401CAE" w:rsidP="00835247">
      <w:pPr>
        <w:pStyle w:val="Prrafodelista"/>
        <w:widowControl w:val="0"/>
        <w:numPr>
          <w:ilvl w:val="0"/>
          <w:numId w:val="11"/>
        </w:numPr>
        <w:tabs>
          <w:tab w:val="left" w:pos="284"/>
          <w:tab w:val="left" w:pos="426"/>
        </w:tabs>
        <w:autoSpaceDE w:val="0"/>
        <w:autoSpaceDN w:val="0"/>
        <w:adjustRightInd w:val="0"/>
        <w:spacing w:after="0" w:line="240" w:lineRule="auto"/>
        <w:ind w:left="0" w:firstLine="0"/>
        <w:contextualSpacing w:val="0"/>
        <w:jc w:val="both"/>
        <w:rPr>
          <w:rFonts w:ascii="Arial" w:hAnsi="Arial" w:cs="Arial"/>
          <w:sz w:val="20"/>
        </w:rPr>
      </w:pPr>
      <w:r w:rsidRPr="0009028A">
        <w:rPr>
          <w:rFonts w:ascii="Arial" w:hAnsi="Arial" w:cs="Arial"/>
          <w:sz w:val="20"/>
        </w:rPr>
        <w:t>Información razonable y respaldada disponible sin incurrir en costos o esfuerzos indebidos en la fecha de presentación acerca de hechos pasados, condiciones actuales y previsiones de condiciones económicas futuras.</w:t>
      </w:r>
    </w:p>
    <w:p w14:paraId="225F98A1" w14:textId="77777777" w:rsidR="00401CAE" w:rsidRPr="0009028A" w:rsidRDefault="00401CAE" w:rsidP="00401CAE">
      <w:pPr>
        <w:pStyle w:val="Prrafodelista"/>
        <w:widowControl w:val="0"/>
        <w:autoSpaceDE w:val="0"/>
        <w:autoSpaceDN w:val="0"/>
        <w:adjustRightInd w:val="0"/>
        <w:spacing w:before="240" w:after="240" w:line="240" w:lineRule="auto"/>
        <w:ind w:left="0"/>
        <w:contextualSpacing w:val="0"/>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(iii) Modificación</w:t>
      </w:r>
    </w:p>
    <w:p w14:paraId="486F0EBC" w14:textId="77777777" w:rsidR="00401CAE" w:rsidRPr="0009028A" w:rsidRDefault="00401CAE" w:rsidP="00401CAE">
      <w:pPr>
        <w:widowControl w:val="0"/>
        <w:autoSpaceDE w:val="0"/>
        <w:autoSpaceDN w:val="0"/>
        <w:adjustRightInd w:val="0"/>
        <w:spacing w:before="240" w:line="240" w:lineRule="auto"/>
        <w:jc w:val="both"/>
        <w:rPr>
          <w:rFonts w:ascii="Arial" w:hAnsi="Arial" w:cs="Arial"/>
          <w:sz w:val="20"/>
        </w:rPr>
      </w:pPr>
      <w:r w:rsidRPr="0009028A">
        <w:rPr>
          <w:rFonts w:ascii="Arial" w:hAnsi="Arial" w:cs="Arial"/>
          <w:sz w:val="20"/>
        </w:rPr>
        <w:t>La Compañía algunas veces renegocia o modifica los flujos de efectivo contractuales de los préstamos a los clientes. Cuando esto sucede, la Compañía evalúa si los nuevos términos son sustancialmente diferentes de los términos originales. La Compañía lo hace al considerar, entre otros, los siguientes factores:</w:t>
      </w:r>
    </w:p>
    <w:p w14:paraId="67952F9D" w14:textId="77777777" w:rsidR="00401CAE" w:rsidRPr="0009028A" w:rsidRDefault="00401CAE" w:rsidP="00835247">
      <w:pPr>
        <w:pStyle w:val="Prrafodelista"/>
        <w:widowControl w:val="0"/>
        <w:numPr>
          <w:ilvl w:val="0"/>
          <w:numId w:val="12"/>
        </w:numPr>
        <w:tabs>
          <w:tab w:val="left" w:pos="284"/>
        </w:tabs>
        <w:autoSpaceDE w:val="0"/>
        <w:autoSpaceDN w:val="0"/>
        <w:adjustRightInd w:val="0"/>
        <w:spacing w:before="240" w:after="0" w:line="240" w:lineRule="auto"/>
        <w:ind w:left="284" w:hanging="284"/>
        <w:jc w:val="both"/>
        <w:rPr>
          <w:rFonts w:ascii="Arial" w:hAnsi="Arial" w:cs="Arial"/>
          <w:sz w:val="20"/>
        </w:rPr>
      </w:pPr>
      <w:r w:rsidRPr="0009028A">
        <w:rPr>
          <w:rFonts w:ascii="Arial" w:hAnsi="Arial" w:cs="Arial"/>
          <w:sz w:val="20"/>
        </w:rPr>
        <w:t xml:space="preserve">Si el prestatario se encuentra en dificultades financieras, ya sea que la modificación simplemente reduzca los flujos de efectivo contractuales a cantidades que se espera que el prestatario pueda pagar. </w:t>
      </w:r>
    </w:p>
    <w:p w14:paraId="61509AC3" w14:textId="77777777" w:rsidR="00401CAE" w:rsidRPr="0009028A" w:rsidRDefault="00401CAE" w:rsidP="00835247">
      <w:pPr>
        <w:pStyle w:val="Prrafodelista"/>
        <w:widowControl w:val="0"/>
        <w:numPr>
          <w:ilvl w:val="0"/>
          <w:numId w:val="12"/>
        </w:numPr>
        <w:tabs>
          <w:tab w:val="left" w:pos="284"/>
        </w:tabs>
        <w:autoSpaceDE w:val="0"/>
        <w:autoSpaceDN w:val="0"/>
        <w:adjustRightInd w:val="0"/>
        <w:spacing w:before="240" w:after="0" w:line="240" w:lineRule="auto"/>
        <w:ind w:left="284" w:hanging="284"/>
        <w:jc w:val="both"/>
        <w:rPr>
          <w:rFonts w:ascii="Arial" w:hAnsi="Arial" w:cs="Arial"/>
          <w:sz w:val="20"/>
        </w:rPr>
      </w:pPr>
      <w:r w:rsidRPr="0009028A">
        <w:rPr>
          <w:rFonts w:ascii="Arial" w:hAnsi="Arial" w:cs="Arial"/>
          <w:sz w:val="20"/>
        </w:rPr>
        <w:t xml:space="preserve">Si se introducen nuevos términos sustanciales, como un rendimiento compartido basado en acciones/utilidades que afecta sustancialmente el perfil de riesgo del préstamo. </w:t>
      </w:r>
    </w:p>
    <w:p w14:paraId="6C4E06ED" w14:textId="77777777" w:rsidR="00401CAE" w:rsidRPr="0009028A" w:rsidRDefault="00401CAE" w:rsidP="00835247">
      <w:pPr>
        <w:pStyle w:val="Prrafodelista"/>
        <w:widowControl w:val="0"/>
        <w:numPr>
          <w:ilvl w:val="0"/>
          <w:numId w:val="12"/>
        </w:numPr>
        <w:tabs>
          <w:tab w:val="left" w:pos="284"/>
        </w:tabs>
        <w:autoSpaceDE w:val="0"/>
        <w:autoSpaceDN w:val="0"/>
        <w:adjustRightInd w:val="0"/>
        <w:spacing w:before="240" w:after="0" w:line="240" w:lineRule="auto"/>
        <w:ind w:left="284" w:hanging="284"/>
        <w:jc w:val="both"/>
        <w:rPr>
          <w:rFonts w:ascii="Arial" w:hAnsi="Arial" w:cs="Arial"/>
          <w:sz w:val="20"/>
        </w:rPr>
      </w:pPr>
      <w:r w:rsidRPr="0009028A">
        <w:rPr>
          <w:rFonts w:ascii="Arial" w:hAnsi="Arial" w:cs="Arial"/>
          <w:sz w:val="20"/>
        </w:rPr>
        <w:t xml:space="preserve">Extensión significativa del plazo del préstamo cuando el prestatario no se encuentra en dificultades financieras. </w:t>
      </w:r>
    </w:p>
    <w:p w14:paraId="086C9502" w14:textId="77777777" w:rsidR="00401CAE" w:rsidRPr="0009028A" w:rsidRDefault="00401CAE" w:rsidP="00835247">
      <w:pPr>
        <w:pStyle w:val="Prrafodelista"/>
        <w:widowControl w:val="0"/>
        <w:numPr>
          <w:ilvl w:val="0"/>
          <w:numId w:val="12"/>
        </w:numPr>
        <w:tabs>
          <w:tab w:val="left" w:pos="284"/>
        </w:tabs>
        <w:autoSpaceDE w:val="0"/>
        <w:autoSpaceDN w:val="0"/>
        <w:adjustRightInd w:val="0"/>
        <w:spacing w:before="240" w:after="0" w:line="240" w:lineRule="auto"/>
        <w:ind w:left="284" w:hanging="284"/>
        <w:jc w:val="both"/>
        <w:rPr>
          <w:rFonts w:ascii="Arial" w:hAnsi="Arial" w:cs="Arial"/>
          <w:sz w:val="20"/>
        </w:rPr>
      </w:pPr>
      <w:r w:rsidRPr="0009028A">
        <w:rPr>
          <w:rFonts w:ascii="Arial" w:hAnsi="Arial" w:cs="Arial"/>
          <w:sz w:val="20"/>
        </w:rPr>
        <w:t xml:space="preserve">Cambios significativos en la tasa de interés. </w:t>
      </w:r>
    </w:p>
    <w:p w14:paraId="489D1836" w14:textId="77777777" w:rsidR="00401CAE" w:rsidRPr="0009028A" w:rsidRDefault="00401CAE" w:rsidP="00835247">
      <w:pPr>
        <w:pStyle w:val="Prrafodelista"/>
        <w:widowControl w:val="0"/>
        <w:numPr>
          <w:ilvl w:val="0"/>
          <w:numId w:val="12"/>
        </w:numPr>
        <w:tabs>
          <w:tab w:val="left" w:pos="284"/>
        </w:tabs>
        <w:autoSpaceDE w:val="0"/>
        <w:autoSpaceDN w:val="0"/>
        <w:adjustRightInd w:val="0"/>
        <w:spacing w:before="240" w:after="0" w:line="240" w:lineRule="auto"/>
        <w:ind w:left="284" w:hanging="284"/>
        <w:jc w:val="both"/>
        <w:rPr>
          <w:rFonts w:ascii="Arial" w:hAnsi="Arial" w:cs="Arial"/>
          <w:sz w:val="20"/>
        </w:rPr>
      </w:pPr>
      <w:r w:rsidRPr="0009028A">
        <w:rPr>
          <w:rFonts w:ascii="Arial" w:hAnsi="Arial" w:cs="Arial"/>
          <w:sz w:val="20"/>
        </w:rPr>
        <w:t xml:space="preserve">Cambios en la moneda en la que el préstamo está denominado. </w:t>
      </w:r>
    </w:p>
    <w:p w14:paraId="4DB6A915" w14:textId="77777777" w:rsidR="00401CAE" w:rsidRPr="0009028A" w:rsidRDefault="00401CAE" w:rsidP="00835247">
      <w:pPr>
        <w:pStyle w:val="Prrafodelista"/>
        <w:widowControl w:val="0"/>
        <w:numPr>
          <w:ilvl w:val="0"/>
          <w:numId w:val="12"/>
        </w:numPr>
        <w:tabs>
          <w:tab w:val="left" w:pos="284"/>
        </w:tabs>
        <w:autoSpaceDE w:val="0"/>
        <w:autoSpaceDN w:val="0"/>
        <w:adjustRightInd w:val="0"/>
        <w:spacing w:before="240" w:after="0" w:line="240" w:lineRule="auto"/>
        <w:ind w:left="284" w:hanging="284"/>
        <w:jc w:val="both"/>
        <w:rPr>
          <w:rFonts w:ascii="Arial" w:hAnsi="Arial" w:cs="Arial"/>
          <w:sz w:val="20"/>
        </w:rPr>
      </w:pPr>
      <w:r w:rsidRPr="0009028A">
        <w:rPr>
          <w:rFonts w:ascii="Arial" w:hAnsi="Arial" w:cs="Arial"/>
          <w:sz w:val="20"/>
        </w:rPr>
        <w:t xml:space="preserve">Inserción de garantías, otros valores o mejoras crediticias que afectan significativamente el riesgo crediticio asociado con el préstamo. </w:t>
      </w:r>
    </w:p>
    <w:p w14:paraId="73815FD2" w14:textId="77777777" w:rsidR="00401CAE" w:rsidRPr="0009028A" w:rsidRDefault="00401CAE" w:rsidP="00401CAE">
      <w:pPr>
        <w:widowControl w:val="0"/>
        <w:autoSpaceDE w:val="0"/>
        <w:autoSpaceDN w:val="0"/>
        <w:adjustRightInd w:val="0"/>
        <w:spacing w:before="240" w:line="240" w:lineRule="auto"/>
        <w:jc w:val="both"/>
        <w:rPr>
          <w:rFonts w:ascii="Arial" w:hAnsi="Arial" w:cs="Arial"/>
          <w:sz w:val="20"/>
        </w:rPr>
      </w:pPr>
      <w:r w:rsidRPr="0009028A">
        <w:rPr>
          <w:rFonts w:ascii="Arial" w:hAnsi="Arial" w:cs="Arial"/>
          <w:sz w:val="20"/>
        </w:rPr>
        <w:t xml:space="preserve">Si los términos son sustancialmente diferentes, la Compañía da de baja el activo financiero original y reconoce un "nuevo" activo al valor razonable y vuelve a calcular una nueva tasa de interés efectiva para el activo. En consecuencia, la fecha de renegociación se considera como la fecha de reconocimiento inicial para calcular el deterioro, incluyendo la determinación de si ha ocurrido un aumento significativo en el riesgo crediticio. Sin embargo, la Compañía también evalúa si el nuevo activo financiero reconocido se considera con deterioro crediticio en el reconocimiento inicial, especialmente en circunstancias en que la renegociación fue impulsada por el hecho de que el deudor no pudo realizar los pagos acordados originalmente. Las diferencias en el importe en libros también se reconocen en resultados como una pérdida o ganancia en baja en cuentas. </w:t>
      </w:r>
    </w:p>
    <w:p w14:paraId="4545E949" w14:textId="77777777" w:rsidR="00401CAE" w:rsidRPr="0009028A" w:rsidRDefault="00401CAE" w:rsidP="00401CAE">
      <w:pPr>
        <w:widowControl w:val="0"/>
        <w:autoSpaceDE w:val="0"/>
        <w:autoSpaceDN w:val="0"/>
        <w:adjustRightInd w:val="0"/>
        <w:spacing w:before="240" w:line="240" w:lineRule="auto"/>
        <w:jc w:val="both"/>
        <w:rPr>
          <w:rFonts w:ascii="Arial" w:hAnsi="Arial" w:cs="Arial"/>
          <w:sz w:val="20"/>
        </w:rPr>
      </w:pPr>
      <w:r w:rsidRPr="0009028A">
        <w:rPr>
          <w:rFonts w:ascii="Arial" w:hAnsi="Arial" w:cs="Arial"/>
          <w:sz w:val="20"/>
        </w:rPr>
        <w:t>Si los términos no son sustancialmente diferentes, la renegociación o modificación no resulta en una baja en cuentas, y la Compañía recalcula el importe en libros bruto con base en los flujos de caja revisados del activo financiero y reconoce una modificación en ganancias o pérdidas en resultados. El nuevo importe en libros bruto se recalcula descontando los flujos de caja descontados a la tasa de interés efectiva original (o tasa de interés efectiva ajustada según el crédito para activos financieros con o sin crédito, adquiridos u originados).</w:t>
      </w:r>
    </w:p>
    <w:p w14:paraId="261361E0" w14:textId="77777777" w:rsidR="00401CAE" w:rsidRPr="0009028A" w:rsidRDefault="00401CAE" w:rsidP="00401CAE">
      <w:pPr>
        <w:widowControl w:val="0"/>
        <w:autoSpaceDE w:val="0"/>
        <w:autoSpaceDN w:val="0"/>
        <w:adjustRightInd w:val="0"/>
        <w:spacing w:before="240" w:line="240" w:lineRule="auto"/>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(iv) Baja en cuentas que no sea una modificación</w:t>
      </w:r>
    </w:p>
    <w:p w14:paraId="509E855F" w14:textId="77777777" w:rsidR="00401CAE" w:rsidRPr="0009028A" w:rsidRDefault="00401CAE" w:rsidP="00401CAE">
      <w:pPr>
        <w:widowControl w:val="0"/>
        <w:autoSpaceDE w:val="0"/>
        <w:autoSpaceDN w:val="0"/>
        <w:adjustRightInd w:val="0"/>
        <w:spacing w:before="240" w:line="240" w:lineRule="auto"/>
        <w:jc w:val="both"/>
        <w:rPr>
          <w:rFonts w:ascii="Arial" w:hAnsi="Arial" w:cs="Arial"/>
          <w:sz w:val="20"/>
        </w:rPr>
      </w:pPr>
      <w:r w:rsidRPr="0009028A">
        <w:rPr>
          <w:rFonts w:ascii="Arial" w:hAnsi="Arial" w:cs="Arial"/>
          <w:sz w:val="20"/>
        </w:rPr>
        <w:t xml:space="preserve">Los activos financieros, o una parte de los mismos, se dan de baja cuando los derechos contractuales para recibir los flujos de efectivo de los activos han expirado, o cuando se han transferido y (i) la Compañía transfiere sustancialmente todos los riesgos y ventajas de la propiedad, o (ii) la Compañía no transfiere ni retiene sustancialmente todos los riesgos y ventajas de la propiedad y no ha conservado el control. </w:t>
      </w:r>
    </w:p>
    <w:p w14:paraId="6C6F73C9" w14:textId="77777777" w:rsidR="00401CAE" w:rsidRPr="0009028A" w:rsidRDefault="00401CAE" w:rsidP="00401CAE">
      <w:pPr>
        <w:widowControl w:val="0"/>
        <w:autoSpaceDE w:val="0"/>
        <w:autoSpaceDN w:val="0"/>
        <w:adjustRightInd w:val="0"/>
        <w:spacing w:before="240" w:line="240" w:lineRule="auto"/>
        <w:jc w:val="both"/>
        <w:rPr>
          <w:rFonts w:ascii="Arial" w:hAnsi="Arial" w:cs="Arial"/>
          <w:sz w:val="20"/>
        </w:rPr>
      </w:pPr>
      <w:r w:rsidRPr="0009028A">
        <w:rPr>
          <w:rFonts w:ascii="Arial" w:hAnsi="Arial" w:cs="Arial"/>
          <w:sz w:val="20"/>
        </w:rPr>
        <w:t xml:space="preserve">La Compañía realiza transacciones en las que conserva los derechos contractuales para recibir flujos de efectivo de los activos, pero asume la obligación contractual de pagar esos flujos de efectivo a otras entidades y transfiere sustancialmente todos los riesgos y recompensas. Estas transacciones se contabilizan como transferencias que dan como resultado la baja en cuentas si la Compañía: </w:t>
      </w:r>
    </w:p>
    <w:p w14:paraId="0AB9E3E7" w14:textId="77777777" w:rsidR="00401CAE" w:rsidRPr="0009028A" w:rsidRDefault="00401CAE" w:rsidP="00835247">
      <w:pPr>
        <w:pStyle w:val="Prrafodelista"/>
        <w:widowControl w:val="0"/>
        <w:numPr>
          <w:ilvl w:val="0"/>
          <w:numId w:val="13"/>
        </w:numPr>
        <w:tabs>
          <w:tab w:val="left" w:pos="284"/>
        </w:tabs>
        <w:autoSpaceDE w:val="0"/>
        <w:autoSpaceDN w:val="0"/>
        <w:adjustRightInd w:val="0"/>
        <w:spacing w:before="240" w:after="0" w:line="240" w:lineRule="auto"/>
        <w:ind w:left="0" w:firstLine="0"/>
        <w:jc w:val="both"/>
        <w:rPr>
          <w:rFonts w:ascii="Arial" w:hAnsi="Arial" w:cs="Arial"/>
          <w:sz w:val="20"/>
        </w:rPr>
      </w:pPr>
      <w:r w:rsidRPr="0009028A">
        <w:rPr>
          <w:rFonts w:ascii="Arial" w:hAnsi="Arial" w:cs="Arial"/>
          <w:sz w:val="20"/>
        </w:rPr>
        <w:t xml:space="preserve">No tiene obligación de realizar pagos a menos que cobre montos equivalentes de los activos; </w:t>
      </w:r>
    </w:p>
    <w:p w14:paraId="1868CE64" w14:textId="77777777" w:rsidR="00401CAE" w:rsidRPr="0009028A" w:rsidRDefault="00401CAE" w:rsidP="00835247">
      <w:pPr>
        <w:pStyle w:val="Prrafodelista"/>
        <w:widowControl w:val="0"/>
        <w:numPr>
          <w:ilvl w:val="0"/>
          <w:numId w:val="13"/>
        </w:numPr>
        <w:tabs>
          <w:tab w:val="left" w:pos="284"/>
        </w:tabs>
        <w:autoSpaceDE w:val="0"/>
        <w:autoSpaceDN w:val="0"/>
        <w:adjustRightInd w:val="0"/>
        <w:spacing w:before="240" w:after="0" w:line="240" w:lineRule="auto"/>
        <w:ind w:left="0" w:firstLine="0"/>
        <w:jc w:val="both"/>
        <w:rPr>
          <w:rFonts w:ascii="Arial" w:hAnsi="Arial" w:cs="Arial"/>
          <w:sz w:val="20"/>
        </w:rPr>
      </w:pPr>
      <w:r w:rsidRPr="0009028A">
        <w:rPr>
          <w:rFonts w:ascii="Arial" w:hAnsi="Arial" w:cs="Arial"/>
          <w:sz w:val="20"/>
        </w:rPr>
        <w:t xml:space="preserve">Se le prohíbe vender o comprometer los activos; y </w:t>
      </w:r>
    </w:p>
    <w:p w14:paraId="07C29205" w14:textId="77777777" w:rsidR="00401CAE" w:rsidRPr="0009028A" w:rsidRDefault="00401CAE" w:rsidP="00835247">
      <w:pPr>
        <w:pStyle w:val="Prrafodelista"/>
        <w:widowControl w:val="0"/>
        <w:numPr>
          <w:ilvl w:val="0"/>
          <w:numId w:val="13"/>
        </w:numPr>
        <w:tabs>
          <w:tab w:val="left" w:pos="284"/>
        </w:tabs>
        <w:autoSpaceDE w:val="0"/>
        <w:autoSpaceDN w:val="0"/>
        <w:adjustRightInd w:val="0"/>
        <w:spacing w:before="240" w:after="0" w:line="240" w:lineRule="auto"/>
        <w:ind w:left="0" w:firstLine="0"/>
        <w:jc w:val="both"/>
        <w:rPr>
          <w:rFonts w:ascii="Arial" w:hAnsi="Arial" w:cs="Arial"/>
          <w:sz w:val="20"/>
        </w:rPr>
      </w:pPr>
      <w:r w:rsidRPr="0009028A">
        <w:rPr>
          <w:rFonts w:ascii="Arial" w:hAnsi="Arial" w:cs="Arial"/>
          <w:sz w:val="20"/>
        </w:rPr>
        <w:t xml:space="preserve">Tiene la obligación de remitir cualquier efectivo que reciba de los activos sin un retraso significativo. </w:t>
      </w:r>
    </w:p>
    <w:p w14:paraId="4E688C6D" w14:textId="77777777" w:rsidR="00401CAE" w:rsidRPr="0009028A" w:rsidRDefault="00401CAE" w:rsidP="00401CAE">
      <w:pPr>
        <w:widowControl w:val="0"/>
        <w:autoSpaceDE w:val="0"/>
        <w:autoSpaceDN w:val="0"/>
        <w:adjustRightInd w:val="0"/>
        <w:spacing w:before="240" w:line="240" w:lineRule="auto"/>
        <w:jc w:val="both"/>
        <w:rPr>
          <w:rFonts w:ascii="Arial" w:hAnsi="Arial" w:cs="Arial"/>
          <w:sz w:val="20"/>
        </w:rPr>
      </w:pPr>
      <w:r w:rsidRPr="0009028A">
        <w:rPr>
          <w:rFonts w:ascii="Arial" w:hAnsi="Arial" w:cs="Arial"/>
          <w:sz w:val="20"/>
        </w:rPr>
        <w:t>Las garantías (acciones y bonos) otorgadas por la Compañía bajo acuerdos de recompra estándar y transacciones de préstamos y préstamos de valores no se dan de baja porque la Compañía retiene sustancialmente todos los riesgos y recompensas sobre la base del precio de recompra predeterminado, y, por lo tanto, no se cumplen los criterios de baja en cuentas. Esto también se aplica a ciertas transacciones de titularización en las que la Compañía conserva un interés residual subordinado.</w:t>
      </w:r>
    </w:p>
    <w:p w14:paraId="1BE01DCC" w14:textId="396FBCC2" w:rsidR="00401CAE" w:rsidRPr="0009028A" w:rsidRDefault="00401CAE" w:rsidP="00401CAE">
      <w:pPr>
        <w:pStyle w:val="Ttulo2"/>
        <w:spacing w:afterAutospacing="0"/>
        <w:rPr>
          <w:rFonts w:ascii="Arial" w:hAnsi="Arial" w:cs="Arial"/>
          <w:b w:val="0"/>
        </w:rPr>
      </w:pPr>
      <w:bookmarkStart w:id="81" w:name="_Toc6292892"/>
      <w:bookmarkStart w:id="82" w:name="_Toc6294442"/>
      <w:bookmarkStart w:id="83" w:name="_Toc6322780"/>
      <w:bookmarkStart w:id="84" w:name="_Toc7029613"/>
      <w:bookmarkStart w:id="85" w:name="_Toc7029828"/>
      <w:bookmarkStart w:id="86" w:name="_Toc8735047"/>
      <w:r w:rsidRPr="0009028A">
        <w:rPr>
          <w:rFonts w:ascii="Arial" w:hAnsi="Arial" w:cs="Arial"/>
          <w:b w:val="0"/>
        </w:rPr>
        <w:t>4.3.</w:t>
      </w:r>
      <w:r>
        <w:rPr>
          <w:rFonts w:ascii="Arial" w:hAnsi="Arial" w:cs="Arial"/>
          <w:b w:val="0"/>
        </w:rPr>
        <w:t>4</w:t>
      </w:r>
      <w:r w:rsidRPr="0009028A">
        <w:rPr>
          <w:rFonts w:ascii="Arial" w:hAnsi="Arial" w:cs="Arial"/>
          <w:b w:val="0"/>
        </w:rPr>
        <w:t>. Pasivos financieros</w:t>
      </w:r>
      <w:bookmarkEnd w:id="81"/>
      <w:bookmarkEnd w:id="82"/>
      <w:bookmarkEnd w:id="83"/>
      <w:bookmarkEnd w:id="84"/>
      <w:bookmarkEnd w:id="85"/>
      <w:bookmarkEnd w:id="86"/>
    </w:p>
    <w:p w14:paraId="7FE3D9AC" w14:textId="77777777" w:rsidR="00401CAE" w:rsidRPr="0009028A" w:rsidRDefault="00401CAE" w:rsidP="00401CAE">
      <w:pPr>
        <w:widowControl w:val="0"/>
        <w:autoSpaceDE w:val="0"/>
        <w:autoSpaceDN w:val="0"/>
        <w:adjustRightInd w:val="0"/>
        <w:spacing w:before="240" w:line="240" w:lineRule="auto"/>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(i) Clasificación y medición posterior</w:t>
      </w:r>
    </w:p>
    <w:p w14:paraId="63228F06" w14:textId="77777777" w:rsidR="00401CAE" w:rsidRPr="0009028A" w:rsidRDefault="00401CAE" w:rsidP="00401CAE">
      <w:pPr>
        <w:pStyle w:val="Prrafodelista"/>
        <w:widowControl w:val="0"/>
        <w:autoSpaceDE w:val="0"/>
        <w:autoSpaceDN w:val="0"/>
        <w:adjustRightInd w:val="0"/>
        <w:spacing w:before="240" w:line="240" w:lineRule="auto"/>
        <w:ind w:left="0"/>
        <w:jc w:val="both"/>
        <w:rPr>
          <w:rFonts w:ascii="Arial" w:hAnsi="Arial" w:cs="Arial"/>
          <w:sz w:val="20"/>
        </w:rPr>
      </w:pPr>
      <w:r w:rsidRPr="0009028A">
        <w:rPr>
          <w:rFonts w:ascii="Arial" w:hAnsi="Arial" w:cs="Arial"/>
          <w:sz w:val="20"/>
        </w:rPr>
        <w:t xml:space="preserve">Los pasivos financieros se clasifican como medidos posteriormente al costo amortizado, excepto: </w:t>
      </w:r>
    </w:p>
    <w:p w14:paraId="3FD5B69E" w14:textId="77777777" w:rsidR="00401CAE" w:rsidRPr="0009028A" w:rsidRDefault="00401CAE" w:rsidP="00401CAE">
      <w:pPr>
        <w:pStyle w:val="Prrafodelista"/>
        <w:widowControl w:val="0"/>
        <w:autoSpaceDE w:val="0"/>
        <w:autoSpaceDN w:val="0"/>
        <w:adjustRightInd w:val="0"/>
        <w:spacing w:before="240" w:line="240" w:lineRule="auto"/>
        <w:ind w:left="0"/>
        <w:jc w:val="both"/>
        <w:rPr>
          <w:rFonts w:ascii="Arial" w:hAnsi="Arial" w:cs="Arial"/>
          <w:sz w:val="20"/>
        </w:rPr>
      </w:pPr>
    </w:p>
    <w:p w14:paraId="04CB9249" w14:textId="77777777" w:rsidR="00401CAE" w:rsidRPr="0009028A" w:rsidRDefault="00401CAE" w:rsidP="00835247">
      <w:pPr>
        <w:pStyle w:val="Prrafodelista"/>
        <w:widowControl w:val="0"/>
        <w:numPr>
          <w:ilvl w:val="0"/>
          <w:numId w:val="14"/>
        </w:numPr>
        <w:tabs>
          <w:tab w:val="left" w:pos="284"/>
        </w:tabs>
        <w:autoSpaceDE w:val="0"/>
        <w:autoSpaceDN w:val="0"/>
        <w:adjustRightInd w:val="0"/>
        <w:spacing w:before="240" w:after="0" w:line="240" w:lineRule="auto"/>
        <w:ind w:left="284" w:hanging="284"/>
        <w:jc w:val="both"/>
        <w:rPr>
          <w:rFonts w:ascii="Arial" w:hAnsi="Arial" w:cs="Arial"/>
          <w:sz w:val="20"/>
        </w:rPr>
      </w:pPr>
      <w:r w:rsidRPr="0009028A">
        <w:rPr>
          <w:rFonts w:ascii="Arial" w:hAnsi="Arial" w:cs="Arial"/>
          <w:sz w:val="20"/>
        </w:rPr>
        <w:t xml:space="preserve">Pasivos financieros al valor razonable con cambios en resultados: esta clasificación aplica a derivados, pasivos financieros mantenidos para negociar y otros pasivos financieros designados como tal en el reconocimiento inicial. Las pérdidas o ganancias en los pasivos financieros designados al valor razonable con cambios en resultados se presentan parcialmente en otro resultado integral (el monto del cambio en el valor razonable del pasivo financiero atribuible a cambios en el riesgo crediticio de dicho pasivo, el cual se determina como el monto no atribuible a cambios en las condiciones del mercado que aumentan los riesgos del mercado) y parcialmente en resultados (el monto restante del cambio en el valor razonable del pasivo). Esto ocurre a menos que dicha presentación genere, o amplíe, una incongruencia contable, en cuyo caso las ganancias y pérdidas atribuibles a los cambios en el riesgo crediticio del pasivo también se presentan en resultados; </w:t>
      </w:r>
    </w:p>
    <w:p w14:paraId="10B7A78E" w14:textId="77777777" w:rsidR="00401CAE" w:rsidRPr="0009028A" w:rsidRDefault="00401CAE" w:rsidP="00835247">
      <w:pPr>
        <w:pStyle w:val="Prrafodelista"/>
        <w:widowControl w:val="0"/>
        <w:numPr>
          <w:ilvl w:val="0"/>
          <w:numId w:val="14"/>
        </w:numPr>
        <w:tabs>
          <w:tab w:val="left" w:pos="284"/>
        </w:tabs>
        <w:autoSpaceDE w:val="0"/>
        <w:autoSpaceDN w:val="0"/>
        <w:adjustRightInd w:val="0"/>
        <w:spacing w:before="240" w:after="0" w:line="240" w:lineRule="auto"/>
        <w:ind w:left="284" w:hanging="284"/>
        <w:jc w:val="both"/>
        <w:rPr>
          <w:rFonts w:ascii="Arial" w:hAnsi="Arial" w:cs="Arial"/>
          <w:sz w:val="20"/>
        </w:rPr>
      </w:pPr>
      <w:r w:rsidRPr="0009028A">
        <w:rPr>
          <w:rFonts w:ascii="Arial" w:hAnsi="Arial" w:cs="Arial"/>
          <w:sz w:val="20"/>
        </w:rPr>
        <w:t xml:space="preserve">Los pasivos financieros que surgen de la transferencia de activos financieros que no calificaron para baja en cuentas, a través de los cuales un pasivo financiero se reconoce por la compensación recibida por la transferencia. En periodos posteriores, la Compañía reconoce cualquier gasto incurrido en el pasivo financiero; y </w:t>
      </w:r>
    </w:p>
    <w:p w14:paraId="70A3AC6E" w14:textId="77777777" w:rsidR="00401CAE" w:rsidRPr="0009028A" w:rsidRDefault="00401CAE" w:rsidP="00835247">
      <w:pPr>
        <w:pStyle w:val="Prrafodelista"/>
        <w:widowControl w:val="0"/>
        <w:numPr>
          <w:ilvl w:val="0"/>
          <w:numId w:val="14"/>
        </w:numPr>
        <w:tabs>
          <w:tab w:val="left" w:pos="284"/>
        </w:tabs>
        <w:autoSpaceDE w:val="0"/>
        <w:autoSpaceDN w:val="0"/>
        <w:adjustRightInd w:val="0"/>
        <w:spacing w:before="240" w:after="0" w:line="240" w:lineRule="auto"/>
        <w:ind w:left="284" w:hanging="284"/>
        <w:jc w:val="both"/>
        <w:rPr>
          <w:rFonts w:ascii="Arial" w:hAnsi="Arial" w:cs="Arial"/>
          <w:sz w:val="20"/>
        </w:rPr>
      </w:pPr>
      <w:r w:rsidRPr="0009028A">
        <w:rPr>
          <w:rFonts w:ascii="Arial" w:hAnsi="Arial" w:cs="Arial"/>
          <w:sz w:val="20"/>
        </w:rPr>
        <w:t>Contratos de garantía financiera y compromisos de préstamo.</w:t>
      </w:r>
    </w:p>
    <w:p w14:paraId="521ADA7E" w14:textId="77777777" w:rsidR="00401CAE" w:rsidRPr="0009028A" w:rsidRDefault="00401CAE" w:rsidP="00401CAE">
      <w:pPr>
        <w:pStyle w:val="Prrafodelista"/>
        <w:widowControl w:val="0"/>
        <w:autoSpaceDE w:val="0"/>
        <w:autoSpaceDN w:val="0"/>
        <w:adjustRightInd w:val="0"/>
        <w:spacing w:before="240" w:line="240" w:lineRule="auto"/>
        <w:ind w:left="0"/>
        <w:jc w:val="both"/>
        <w:rPr>
          <w:rFonts w:ascii="Arial" w:hAnsi="Arial" w:cs="Arial"/>
          <w:sz w:val="20"/>
        </w:rPr>
      </w:pPr>
    </w:p>
    <w:p w14:paraId="6B3CE837" w14:textId="77777777" w:rsidR="00401CAE" w:rsidRPr="0009028A" w:rsidRDefault="00401CAE" w:rsidP="00401CAE">
      <w:pPr>
        <w:pStyle w:val="Prrafodelista"/>
        <w:widowControl w:val="0"/>
        <w:autoSpaceDE w:val="0"/>
        <w:autoSpaceDN w:val="0"/>
        <w:adjustRightInd w:val="0"/>
        <w:spacing w:before="240" w:after="240" w:line="240" w:lineRule="auto"/>
        <w:ind w:left="0"/>
        <w:contextualSpacing w:val="0"/>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(ii) Baja en cuentas</w:t>
      </w:r>
    </w:p>
    <w:p w14:paraId="1AA57B05" w14:textId="77777777" w:rsidR="00401CAE" w:rsidRPr="0009028A" w:rsidRDefault="00401CAE" w:rsidP="00401CAE">
      <w:pPr>
        <w:pStyle w:val="Prrafodelista"/>
        <w:widowControl w:val="0"/>
        <w:autoSpaceDE w:val="0"/>
        <w:autoSpaceDN w:val="0"/>
        <w:adjustRightInd w:val="0"/>
        <w:spacing w:before="240" w:after="240" w:line="240" w:lineRule="auto"/>
        <w:ind w:left="0"/>
        <w:jc w:val="both"/>
        <w:rPr>
          <w:rFonts w:ascii="Arial" w:hAnsi="Arial" w:cs="Arial"/>
          <w:sz w:val="20"/>
        </w:rPr>
      </w:pPr>
      <w:r w:rsidRPr="0009028A">
        <w:rPr>
          <w:rFonts w:ascii="Arial" w:hAnsi="Arial" w:cs="Arial"/>
          <w:sz w:val="20"/>
        </w:rPr>
        <w:t xml:space="preserve">Los pasivos financieros se dan de baja en cuentas cuando están cancelados (es decir, cuando la obligación especificada en el contrato se cumpla, cancele o expire). </w:t>
      </w:r>
    </w:p>
    <w:p w14:paraId="596D3E2A" w14:textId="77777777" w:rsidR="00401CAE" w:rsidRPr="0009028A" w:rsidRDefault="00401CAE" w:rsidP="00401CAE">
      <w:pPr>
        <w:pStyle w:val="Prrafodelista"/>
        <w:widowControl w:val="0"/>
        <w:autoSpaceDE w:val="0"/>
        <w:autoSpaceDN w:val="0"/>
        <w:adjustRightInd w:val="0"/>
        <w:spacing w:before="240" w:after="240" w:line="240" w:lineRule="auto"/>
        <w:ind w:left="0"/>
        <w:jc w:val="both"/>
        <w:rPr>
          <w:rFonts w:ascii="Arial" w:hAnsi="Arial" w:cs="Arial"/>
          <w:sz w:val="20"/>
        </w:rPr>
      </w:pPr>
    </w:p>
    <w:p w14:paraId="4EF6B8CF" w14:textId="77777777" w:rsidR="00401CAE" w:rsidRPr="0009028A" w:rsidRDefault="00401CAE" w:rsidP="00401CAE">
      <w:pPr>
        <w:pStyle w:val="Prrafodelista"/>
        <w:widowControl w:val="0"/>
        <w:autoSpaceDE w:val="0"/>
        <w:autoSpaceDN w:val="0"/>
        <w:adjustRightInd w:val="0"/>
        <w:spacing w:before="240" w:after="240" w:line="240" w:lineRule="auto"/>
        <w:ind w:left="0"/>
        <w:contextualSpacing w:val="0"/>
        <w:jc w:val="both"/>
        <w:rPr>
          <w:rFonts w:ascii="Arial" w:hAnsi="Arial" w:cs="Arial"/>
          <w:sz w:val="20"/>
        </w:rPr>
      </w:pPr>
      <w:r w:rsidRPr="0009028A">
        <w:rPr>
          <w:rFonts w:ascii="Arial" w:hAnsi="Arial" w:cs="Arial"/>
          <w:sz w:val="20"/>
        </w:rPr>
        <w:t>El intercambio entre la Compañía y sus acreedores originales de instrumentos de deuda con términos sustancialmente diferentes, así como modificaciones sustanciales de los términos de pasivos financieros existentes, se contabilizan como una extinción del pasivo financiero original y el reconocimiento de un nuevo pasivo financiero. Los términos son sustancialmente diferentes si el valor actual descontado de los flujos de efectivo bajo los nuevos términos, incluyendo los honorarios pagados netos de los honorarios recibidos y descontados utilizando la tasa de interés efectiva original, es al menos un 10% diferente del valor presente descontado de los flujos de efectivo restantes del pasivo financiero original. Además, también se tienen en cuenta otros factores cualitativos como la moneda en la cual está denominado el instrumento, cambios en el tipo de tasa de interés, nuevas características de conversión adjuntas al instrumento y cambios en acuerdos. Si un intercambio de instrumentos de deuda o una modificación de términos se contabiliza como extinción, todos los costos u honorarios incurridos se reconocen como parte de las pérdidas o ganancias en la extinción. Si el intercambio o la modificación no se contabiliza como extinción, todos los costos u honorarios incurridos ajustan el importe en libros del pasivo y se amortizan sobre el plazo restante del pasivo modificado.</w:t>
      </w:r>
    </w:p>
    <w:p w14:paraId="04F58D32" w14:textId="0B753D87" w:rsidR="00DD7A9E" w:rsidRPr="0009028A" w:rsidRDefault="00DD7A9E" w:rsidP="00DD7A9E">
      <w:pPr>
        <w:pStyle w:val="Ttulo2"/>
        <w:spacing w:afterAutospacing="0"/>
        <w:rPr>
          <w:rFonts w:ascii="Arial" w:hAnsi="Arial" w:cs="Arial"/>
          <w:b w:val="0"/>
        </w:rPr>
      </w:pPr>
      <w:bookmarkStart w:id="87" w:name="_Toc8735048"/>
      <w:r w:rsidRPr="0009028A">
        <w:rPr>
          <w:rFonts w:ascii="Arial" w:hAnsi="Arial" w:cs="Arial"/>
          <w:b w:val="0"/>
        </w:rPr>
        <w:t>4.3.</w:t>
      </w:r>
      <w:r w:rsidR="00401CAE">
        <w:rPr>
          <w:rFonts w:ascii="Arial" w:hAnsi="Arial" w:cs="Arial"/>
          <w:b w:val="0"/>
        </w:rPr>
        <w:t>5</w:t>
      </w:r>
      <w:r w:rsidRPr="0009028A">
        <w:rPr>
          <w:rFonts w:ascii="Arial" w:hAnsi="Arial" w:cs="Arial"/>
          <w:b w:val="0"/>
        </w:rPr>
        <w:t>. Costo amortizado y tasa de interés efectiva</w:t>
      </w:r>
      <w:bookmarkEnd w:id="64"/>
      <w:bookmarkEnd w:id="65"/>
      <w:bookmarkEnd w:id="66"/>
      <w:bookmarkEnd w:id="67"/>
      <w:bookmarkEnd w:id="68"/>
      <w:bookmarkEnd w:id="87"/>
    </w:p>
    <w:p w14:paraId="5B365B81" w14:textId="77777777" w:rsidR="00DD7A9E" w:rsidRPr="0009028A" w:rsidRDefault="00DD7A9E" w:rsidP="00DD7A9E">
      <w:pPr>
        <w:spacing w:after="0" w:line="240" w:lineRule="auto"/>
        <w:rPr>
          <w:rFonts w:ascii="Arial" w:hAnsi="Arial" w:cs="Arial"/>
        </w:rPr>
      </w:pPr>
    </w:p>
    <w:p w14:paraId="4F614160" w14:textId="77777777" w:rsidR="00DD7A9E" w:rsidRPr="0009028A" w:rsidRDefault="00DD7A9E" w:rsidP="00DD7A9E">
      <w:pPr>
        <w:pStyle w:val="Prrafodelista"/>
        <w:widowControl w:val="0"/>
        <w:autoSpaceDE w:val="0"/>
        <w:autoSpaceDN w:val="0"/>
        <w:adjustRightInd w:val="0"/>
        <w:spacing w:line="240" w:lineRule="auto"/>
        <w:ind w:left="0"/>
        <w:contextualSpacing w:val="0"/>
        <w:jc w:val="both"/>
        <w:rPr>
          <w:rFonts w:ascii="Arial" w:hAnsi="Arial" w:cs="Arial"/>
          <w:sz w:val="20"/>
        </w:rPr>
      </w:pPr>
      <w:r w:rsidRPr="0009028A">
        <w:rPr>
          <w:rFonts w:ascii="Arial" w:hAnsi="Arial" w:cs="Arial"/>
          <w:sz w:val="20"/>
        </w:rPr>
        <w:t xml:space="preserve">El costo amortizado es el importe al que fue medido inicialmente el activo o el pasivo financiero menos los reembolsos del principal, más o menos la amortización acumulada, utilizando el método del interés efectivo de cualquier diferencia existente entre el importe inicial y el valor de reembolso en el vencimiento y, para los activos financieros, el ajuste por provisión por deterioro. </w:t>
      </w:r>
    </w:p>
    <w:p w14:paraId="6115CDB9" w14:textId="77777777" w:rsidR="00DD7A9E" w:rsidRPr="0009028A" w:rsidRDefault="00DD7A9E" w:rsidP="00DD7A9E">
      <w:pPr>
        <w:pStyle w:val="Prrafodelista"/>
        <w:widowControl w:val="0"/>
        <w:autoSpaceDE w:val="0"/>
        <w:autoSpaceDN w:val="0"/>
        <w:adjustRightInd w:val="0"/>
        <w:spacing w:line="240" w:lineRule="auto"/>
        <w:ind w:left="0"/>
        <w:contextualSpacing w:val="0"/>
        <w:jc w:val="both"/>
        <w:rPr>
          <w:rFonts w:ascii="Arial" w:hAnsi="Arial" w:cs="Arial"/>
          <w:sz w:val="20"/>
        </w:rPr>
      </w:pPr>
      <w:r w:rsidRPr="0009028A">
        <w:rPr>
          <w:rFonts w:ascii="Arial" w:hAnsi="Arial" w:cs="Arial"/>
          <w:sz w:val="20"/>
        </w:rPr>
        <w:t xml:space="preserve">La tasa de interés efectiva es la tasa que descuenta exactamente los pagos o recaudos futuros estimados en efectivo a lo largo de la vida esperada del activo financiero o pasivo financiero con el importe en libros bruto de un activo financiero (es decir, su costo amortizado antes de cualquier provisión por deterioro) o al costo amortizado de un pasivo financiero. El cálculo no tiene en cuenta pérdidas crediticias esperadas e incluye costos de transacción, primas o descuentos y honorarios y comisiones pagadas o recibidas que son parte integral de la tasa de interés efectiva, tales como costos de originación. En el caso de activos financieros con deterioro crediticio adquiridos u originados (POCI, por su acrónimo en inglés) - activos con deterioro crediticio en el momento del reconocimiento inicial, la Compañía calcula la tasa de interés efectiva crediticia ajustada, que se calcula con base en el costo amortizado del activo financiero en lugar de su importe en libros bruto e incorpora el impacto de las pérdidas crediticias esperadas en los flujos de efectivo futuros estimados. </w:t>
      </w:r>
    </w:p>
    <w:p w14:paraId="1C8227D9" w14:textId="77777777" w:rsidR="00DD7A9E" w:rsidRPr="0009028A" w:rsidRDefault="00DD7A9E" w:rsidP="00DD7A9E">
      <w:pPr>
        <w:pStyle w:val="Prrafodelista"/>
        <w:widowControl w:val="0"/>
        <w:autoSpaceDE w:val="0"/>
        <w:autoSpaceDN w:val="0"/>
        <w:adjustRightInd w:val="0"/>
        <w:spacing w:line="240" w:lineRule="auto"/>
        <w:ind w:left="0"/>
        <w:contextualSpacing w:val="0"/>
        <w:jc w:val="both"/>
        <w:rPr>
          <w:rFonts w:ascii="Arial" w:hAnsi="Arial" w:cs="Arial"/>
          <w:sz w:val="20"/>
        </w:rPr>
      </w:pPr>
      <w:r w:rsidRPr="0009028A">
        <w:rPr>
          <w:rFonts w:ascii="Arial" w:hAnsi="Arial" w:cs="Arial"/>
          <w:sz w:val="20"/>
        </w:rPr>
        <w:t>Cuando la Compañía revisa los estimados de flujos de efectivo futuros, el importe en libros de los respectivos activos o pasivos financieros se ajusta para reflejar el nuevo estimado descontado usando la tasa de interés efectiva original. Cualquier cambio se reconoce en el estado de resultados.</w:t>
      </w:r>
    </w:p>
    <w:p w14:paraId="483F6A0D" w14:textId="6761D36E" w:rsidR="00DD7A9E" w:rsidRPr="0009028A" w:rsidRDefault="00DD7A9E" w:rsidP="00DD7A9E">
      <w:pPr>
        <w:pStyle w:val="Ttulo2"/>
        <w:spacing w:afterAutospacing="0"/>
        <w:rPr>
          <w:rFonts w:ascii="Arial" w:hAnsi="Arial" w:cs="Arial"/>
          <w:b w:val="0"/>
        </w:rPr>
      </w:pPr>
      <w:bookmarkStart w:id="88" w:name="_Toc6292889"/>
      <w:bookmarkStart w:id="89" w:name="_Toc6294439"/>
      <w:bookmarkStart w:id="90" w:name="_Toc6322777"/>
      <w:bookmarkStart w:id="91" w:name="_Toc7029610"/>
      <w:bookmarkStart w:id="92" w:name="_Toc7029825"/>
      <w:bookmarkStart w:id="93" w:name="_Toc8735049"/>
      <w:r w:rsidRPr="0009028A">
        <w:rPr>
          <w:rFonts w:ascii="Arial" w:hAnsi="Arial" w:cs="Arial"/>
          <w:b w:val="0"/>
        </w:rPr>
        <w:t>4.3.</w:t>
      </w:r>
      <w:r w:rsidR="00401CAE">
        <w:rPr>
          <w:rFonts w:ascii="Arial" w:hAnsi="Arial" w:cs="Arial"/>
          <w:b w:val="0"/>
        </w:rPr>
        <w:t>6</w:t>
      </w:r>
      <w:r w:rsidRPr="0009028A">
        <w:rPr>
          <w:rFonts w:ascii="Arial" w:hAnsi="Arial" w:cs="Arial"/>
          <w:b w:val="0"/>
        </w:rPr>
        <w:t>. Ingresos por intereses</w:t>
      </w:r>
      <w:bookmarkEnd w:id="88"/>
      <w:bookmarkEnd w:id="89"/>
      <w:bookmarkEnd w:id="90"/>
      <w:bookmarkEnd w:id="91"/>
      <w:bookmarkEnd w:id="92"/>
      <w:bookmarkEnd w:id="93"/>
    </w:p>
    <w:p w14:paraId="43D453BB" w14:textId="77777777" w:rsidR="00DD7A9E" w:rsidRPr="0009028A" w:rsidRDefault="00DD7A9E" w:rsidP="00DD7A9E">
      <w:pPr>
        <w:widowControl w:val="0"/>
        <w:autoSpaceDE w:val="0"/>
        <w:autoSpaceDN w:val="0"/>
        <w:adjustRightInd w:val="0"/>
        <w:spacing w:before="240" w:after="0" w:line="240" w:lineRule="auto"/>
        <w:jc w:val="both"/>
        <w:rPr>
          <w:rFonts w:ascii="Arial" w:hAnsi="Arial" w:cs="Arial"/>
          <w:sz w:val="20"/>
        </w:rPr>
      </w:pPr>
      <w:r w:rsidRPr="0009028A">
        <w:rPr>
          <w:rFonts w:ascii="Arial" w:hAnsi="Arial" w:cs="Arial"/>
          <w:sz w:val="20"/>
        </w:rPr>
        <w:t xml:space="preserve">Los ingresos por intereses se calculan aplicando la tasa de interés efectiva al importe en libros bruto de los activos financieros, excepto: </w:t>
      </w:r>
    </w:p>
    <w:p w14:paraId="439D1310" w14:textId="77777777" w:rsidR="00DD7A9E" w:rsidRPr="0009028A" w:rsidRDefault="00DD7A9E" w:rsidP="00835247">
      <w:pPr>
        <w:pStyle w:val="Prrafodelista"/>
        <w:widowControl w:val="0"/>
        <w:numPr>
          <w:ilvl w:val="0"/>
          <w:numId w:val="6"/>
        </w:numPr>
        <w:autoSpaceDE w:val="0"/>
        <w:autoSpaceDN w:val="0"/>
        <w:adjustRightInd w:val="0"/>
        <w:spacing w:before="240" w:after="0" w:line="240" w:lineRule="auto"/>
        <w:ind w:left="426" w:hanging="426"/>
        <w:jc w:val="both"/>
        <w:rPr>
          <w:rFonts w:ascii="Arial" w:hAnsi="Arial" w:cs="Arial"/>
          <w:sz w:val="20"/>
        </w:rPr>
      </w:pPr>
      <w:r w:rsidRPr="0009028A">
        <w:rPr>
          <w:rFonts w:ascii="Arial" w:hAnsi="Arial" w:cs="Arial"/>
          <w:sz w:val="20"/>
        </w:rPr>
        <w:t xml:space="preserve">Activos financieros con deterioro crediticio adquiridos u originados, para los cuales la tasa original de interés efectiva crediticia ajustada se aplica al costo amortizado del activo financiero. </w:t>
      </w:r>
    </w:p>
    <w:p w14:paraId="7BF11664" w14:textId="77777777" w:rsidR="00DD7A9E" w:rsidRPr="0009028A" w:rsidRDefault="00DD7A9E" w:rsidP="00AE4352">
      <w:pPr>
        <w:pStyle w:val="Prrafodelista"/>
        <w:widowControl w:val="0"/>
        <w:autoSpaceDE w:val="0"/>
        <w:autoSpaceDN w:val="0"/>
        <w:adjustRightInd w:val="0"/>
        <w:spacing w:before="240" w:after="0" w:line="240" w:lineRule="auto"/>
        <w:ind w:left="426" w:hanging="426"/>
        <w:jc w:val="both"/>
        <w:rPr>
          <w:rFonts w:ascii="Arial" w:hAnsi="Arial" w:cs="Arial"/>
          <w:color w:val="000000"/>
          <w:sz w:val="20"/>
          <w:szCs w:val="20"/>
          <w:lang w:val="es-CL"/>
        </w:rPr>
      </w:pPr>
    </w:p>
    <w:p w14:paraId="6AF4E267" w14:textId="77777777" w:rsidR="00DD7A9E" w:rsidRPr="0009028A" w:rsidRDefault="00DD7A9E" w:rsidP="00835247">
      <w:pPr>
        <w:pStyle w:val="Prrafodelista"/>
        <w:widowControl w:val="0"/>
        <w:numPr>
          <w:ilvl w:val="0"/>
          <w:numId w:val="6"/>
        </w:numPr>
        <w:autoSpaceDE w:val="0"/>
        <w:autoSpaceDN w:val="0"/>
        <w:adjustRightInd w:val="0"/>
        <w:spacing w:before="240" w:after="0" w:line="240" w:lineRule="auto"/>
        <w:ind w:left="426" w:hanging="426"/>
        <w:jc w:val="both"/>
        <w:rPr>
          <w:rFonts w:ascii="Arial" w:hAnsi="Arial" w:cs="Arial"/>
          <w:sz w:val="20"/>
        </w:rPr>
      </w:pPr>
      <w:r w:rsidRPr="0009028A">
        <w:rPr>
          <w:rFonts w:ascii="Arial" w:hAnsi="Arial" w:cs="Arial"/>
          <w:sz w:val="20"/>
        </w:rPr>
        <w:t xml:space="preserve">Los activos financieros que no son adquiridos u originados con deterioro crediticio (POCI, por su acrónimo en inglés) pero posteriormente han obtenido deterioro crediticio (o “etapa 3”), para los cuales los ingresos por intereses se calculan aplicando la tasa de interés efectiva a su costo amortizado (es decir, neto de la provisión para pérdidas crediticias esperadas). </w:t>
      </w:r>
    </w:p>
    <w:p w14:paraId="27C0F9C2" w14:textId="77777777" w:rsidR="00992EAB" w:rsidRPr="0009028A" w:rsidRDefault="00992EAB" w:rsidP="008B3749">
      <w:pPr>
        <w:pStyle w:val="Sinespaciado"/>
      </w:pPr>
      <w:bookmarkStart w:id="94" w:name="_Toc6292896"/>
      <w:bookmarkStart w:id="95" w:name="_Toc6294446"/>
      <w:bookmarkStart w:id="96" w:name="_Toc6322784"/>
      <w:bookmarkStart w:id="97" w:name="_Toc7029617"/>
      <w:bookmarkStart w:id="98" w:name="_Toc7029832"/>
    </w:p>
    <w:p w14:paraId="313A406C" w14:textId="22B362E1" w:rsidR="00DD7A9E" w:rsidRPr="0009028A" w:rsidRDefault="00DD7A9E" w:rsidP="00DD7A9E">
      <w:pPr>
        <w:pStyle w:val="Ttulo2"/>
        <w:spacing w:afterAutospacing="0"/>
        <w:rPr>
          <w:rFonts w:ascii="Arial" w:hAnsi="Arial" w:cs="Arial"/>
          <w:b w:val="0"/>
        </w:rPr>
      </w:pPr>
      <w:bookmarkStart w:id="99" w:name="_Toc8735050"/>
      <w:r w:rsidRPr="0009028A">
        <w:rPr>
          <w:rFonts w:ascii="Arial" w:hAnsi="Arial" w:cs="Arial"/>
          <w:b w:val="0"/>
        </w:rPr>
        <w:t>4.3.</w:t>
      </w:r>
      <w:r w:rsidR="00401CAE">
        <w:rPr>
          <w:rFonts w:ascii="Arial" w:hAnsi="Arial" w:cs="Arial"/>
          <w:b w:val="0"/>
        </w:rPr>
        <w:t>7</w:t>
      </w:r>
      <w:r w:rsidRPr="0009028A">
        <w:rPr>
          <w:rFonts w:ascii="Arial" w:hAnsi="Arial" w:cs="Arial"/>
          <w:b w:val="0"/>
        </w:rPr>
        <w:t>. Compensación de instrumentos financieros</w:t>
      </w:r>
      <w:bookmarkEnd w:id="94"/>
      <w:bookmarkEnd w:id="95"/>
      <w:bookmarkEnd w:id="96"/>
      <w:bookmarkEnd w:id="97"/>
      <w:bookmarkEnd w:id="98"/>
      <w:bookmarkEnd w:id="99"/>
    </w:p>
    <w:p w14:paraId="22C64AE0" w14:textId="77777777" w:rsidR="00DD7A9E" w:rsidRPr="0009028A" w:rsidRDefault="00DD7A9E" w:rsidP="00DD7A9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Activos y pasivos financieros se compensan y su monto neto se presente en el estado de situación financiera cuando existe un derecho legalmente exigible de compensar los importes reconocidos y la Gerencia tenga la intención de liquidar la cantidad neta o de realizar el activo y cancelar el pasivo simultáneamente.</w:t>
      </w:r>
    </w:p>
    <w:p w14:paraId="2C332C79" w14:textId="77777777" w:rsidR="00992EAB" w:rsidRPr="0009028A" w:rsidRDefault="00992EAB" w:rsidP="008B3749">
      <w:pPr>
        <w:pStyle w:val="Sinespaciado"/>
      </w:pPr>
      <w:bookmarkStart w:id="100" w:name="_Toc6292897"/>
      <w:bookmarkStart w:id="101" w:name="_Toc6294447"/>
      <w:bookmarkStart w:id="102" w:name="_Toc6322785"/>
      <w:bookmarkStart w:id="103" w:name="_Toc7029618"/>
      <w:bookmarkStart w:id="104" w:name="_Toc7029833"/>
    </w:p>
    <w:p w14:paraId="423DE12B" w14:textId="2AEC01D1" w:rsidR="00DD7A9E" w:rsidRPr="0009028A" w:rsidRDefault="00DD7A9E" w:rsidP="00DD7A9E">
      <w:pPr>
        <w:pStyle w:val="Ttulo2"/>
        <w:spacing w:afterAutospacing="0"/>
        <w:rPr>
          <w:rFonts w:ascii="Arial" w:hAnsi="Arial" w:cs="Arial"/>
          <w:b w:val="0"/>
        </w:rPr>
      </w:pPr>
      <w:bookmarkStart w:id="105" w:name="_Toc8735051"/>
      <w:r w:rsidRPr="0009028A">
        <w:rPr>
          <w:rFonts w:ascii="Arial" w:hAnsi="Arial" w:cs="Arial"/>
          <w:b w:val="0"/>
        </w:rPr>
        <w:t>4.3.</w:t>
      </w:r>
      <w:r w:rsidR="00401CAE">
        <w:rPr>
          <w:rFonts w:ascii="Arial" w:hAnsi="Arial" w:cs="Arial"/>
          <w:b w:val="0"/>
        </w:rPr>
        <w:t>8</w:t>
      </w:r>
      <w:r w:rsidRPr="0009028A">
        <w:rPr>
          <w:rFonts w:ascii="Arial" w:hAnsi="Arial" w:cs="Arial"/>
          <w:b w:val="0"/>
        </w:rPr>
        <w:t>. Valores razonables</w:t>
      </w:r>
      <w:bookmarkEnd w:id="100"/>
      <w:bookmarkEnd w:id="101"/>
      <w:bookmarkEnd w:id="102"/>
      <w:bookmarkEnd w:id="103"/>
      <w:bookmarkEnd w:id="104"/>
      <w:bookmarkEnd w:id="105"/>
    </w:p>
    <w:p w14:paraId="42A5F0E4" w14:textId="477E5E87" w:rsidR="00153F59" w:rsidRDefault="00DD7A9E" w:rsidP="00DD7A9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Los valores razonables de las inversiones con cotización bursátil se basan en su precio de cotización vigente. Si el mercado para un instrumento financiero no es activo (o el instrumento no cotiza en bolsa) la Compañía establece su valor razonable usando técnicas de valuación. Estas técnicas incluyen el uso de los valores observados en transacciones recientes efectuadas bajo los términos de libre competencia, la referencia a otros instrumentos que son sustancialmente similares, análisis de flujos de efectivo descontados y modelos de opciones haciendo máximo uso de información de mercado y depositando el menor grado de confianza posible en información interna específica de la entidad.</w:t>
      </w:r>
    </w:p>
    <w:p w14:paraId="55FD3B41" w14:textId="77777777" w:rsidR="00213733" w:rsidRDefault="00213733" w:rsidP="00DD7A9E">
      <w:pPr>
        <w:widowControl w:val="0"/>
        <w:autoSpaceDE w:val="0"/>
        <w:autoSpaceDN w:val="0"/>
        <w:adjustRightInd w:val="0"/>
        <w:spacing w:before="220" w:after="0" w:line="240" w:lineRule="auto"/>
        <w:jc w:val="both"/>
        <w:rPr>
          <w:rFonts w:ascii="Arial" w:hAnsi="Arial" w:cs="Arial"/>
          <w:sz w:val="20"/>
        </w:rPr>
      </w:pPr>
    </w:p>
    <w:p w14:paraId="6D1F8A29" w14:textId="188A91B0" w:rsidR="00153F59" w:rsidRPr="0009028A" w:rsidRDefault="00153F59" w:rsidP="00153F59">
      <w:pPr>
        <w:pStyle w:val="Ttulo2"/>
        <w:spacing w:afterAutospacing="0"/>
        <w:rPr>
          <w:rFonts w:ascii="Arial" w:hAnsi="Arial" w:cs="Arial"/>
          <w:b w:val="0"/>
        </w:rPr>
      </w:pPr>
      <w:bookmarkStart w:id="106" w:name="_Toc6294458"/>
      <w:bookmarkStart w:id="107" w:name="_Toc6322796"/>
      <w:bookmarkStart w:id="108" w:name="_Toc8735052"/>
      <w:r w:rsidRPr="0009028A">
        <w:rPr>
          <w:rFonts w:ascii="Arial" w:hAnsi="Arial" w:cs="Arial"/>
          <w:b w:val="0"/>
        </w:rPr>
        <w:t>4.</w:t>
      </w:r>
      <w:r>
        <w:rPr>
          <w:rFonts w:ascii="Arial" w:hAnsi="Arial" w:cs="Arial"/>
          <w:b w:val="0"/>
        </w:rPr>
        <w:t>3.</w:t>
      </w:r>
      <w:r w:rsidRPr="0009028A">
        <w:rPr>
          <w:rFonts w:ascii="Arial" w:hAnsi="Arial" w:cs="Arial"/>
          <w:b w:val="0"/>
        </w:rPr>
        <w:t>9. Deterioro de instrumentos financieros</w:t>
      </w:r>
      <w:bookmarkEnd w:id="106"/>
      <w:bookmarkEnd w:id="107"/>
      <w:bookmarkEnd w:id="108"/>
    </w:p>
    <w:p w14:paraId="6E042E4B" w14:textId="77777777" w:rsidR="00153F59" w:rsidRPr="0009028A" w:rsidRDefault="00153F59" w:rsidP="00153F59">
      <w:pPr>
        <w:spacing w:after="0" w:line="240" w:lineRule="auto"/>
        <w:rPr>
          <w:rFonts w:ascii="Arial" w:hAnsi="Arial" w:cs="Arial"/>
        </w:rPr>
      </w:pPr>
    </w:p>
    <w:p w14:paraId="3170E690" w14:textId="77777777" w:rsidR="00153F59" w:rsidRPr="0009028A" w:rsidRDefault="00153F59" w:rsidP="00153F59">
      <w:pPr>
        <w:pStyle w:val="Default"/>
        <w:jc w:val="both"/>
        <w:rPr>
          <w:rFonts w:eastAsiaTheme="majorEastAsia"/>
          <w:b/>
          <w:color w:val="002060"/>
          <w:sz w:val="20"/>
          <w:szCs w:val="20"/>
          <w:lang w:val="es-CO"/>
        </w:rPr>
      </w:pPr>
      <w:r w:rsidRPr="0009028A">
        <w:rPr>
          <w:rFonts w:eastAsiaTheme="majorEastAsia"/>
          <w:b/>
          <w:color w:val="002060"/>
          <w:sz w:val="20"/>
          <w:szCs w:val="20"/>
          <w:lang w:val="es-CO"/>
        </w:rPr>
        <w:t>Aplicable a partir del 1 de enero de 2018</w:t>
      </w:r>
    </w:p>
    <w:p w14:paraId="5349EAC4" w14:textId="77777777" w:rsidR="00153F59" w:rsidRPr="0009028A" w:rsidRDefault="00153F59" w:rsidP="00153F59">
      <w:pPr>
        <w:pStyle w:val="Default"/>
        <w:jc w:val="both"/>
        <w:rPr>
          <w:rFonts w:eastAsiaTheme="minorEastAsia"/>
          <w:snapToGrid w:val="0"/>
          <w:sz w:val="20"/>
          <w:szCs w:val="20"/>
          <w:lang w:val="es-CO" w:eastAsia="es-CO"/>
        </w:rPr>
      </w:pPr>
    </w:p>
    <w:p w14:paraId="55C053D8" w14:textId="77777777" w:rsidR="00153F59" w:rsidRPr="0009028A" w:rsidRDefault="00153F59" w:rsidP="00153F59">
      <w:pPr>
        <w:pStyle w:val="Default"/>
        <w:jc w:val="both"/>
        <w:rPr>
          <w:color w:val="auto"/>
          <w:sz w:val="20"/>
          <w:szCs w:val="22"/>
          <w:lang w:val="es-CO"/>
        </w:rPr>
      </w:pPr>
      <w:r w:rsidRPr="0009028A">
        <w:rPr>
          <w:sz w:val="20"/>
        </w:rPr>
        <w:t>La Compañía</w:t>
      </w:r>
      <w:r w:rsidRPr="0009028A">
        <w:rPr>
          <w:color w:val="auto"/>
          <w:sz w:val="20"/>
          <w:szCs w:val="22"/>
          <w:lang w:val="es-CO"/>
        </w:rPr>
        <w:t xml:space="preserve"> mide las pérdidas crediticias esperadas de un instrumento financiero buscando reflejar: </w:t>
      </w:r>
    </w:p>
    <w:p w14:paraId="4E5D5BDC" w14:textId="77777777" w:rsidR="00153F59" w:rsidRPr="0009028A" w:rsidRDefault="00153F59" w:rsidP="00153F59">
      <w:pPr>
        <w:pStyle w:val="Default"/>
        <w:jc w:val="both"/>
        <w:rPr>
          <w:color w:val="auto"/>
          <w:sz w:val="20"/>
          <w:szCs w:val="22"/>
          <w:lang w:val="es-CO"/>
        </w:rPr>
      </w:pPr>
    </w:p>
    <w:p w14:paraId="6E99F151" w14:textId="77777777" w:rsidR="00153F59" w:rsidRPr="0009028A" w:rsidRDefault="00153F59" w:rsidP="00153F59">
      <w:pPr>
        <w:pStyle w:val="Default"/>
        <w:jc w:val="both"/>
        <w:rPr>
          <w:color w:val="auto"/>
          <w:sz w:val="20"/>
          <w:szCs w:val="22"/>
          <w:lang w:val="es-CO"/>
        </w:rPr>
      </w:pPr>
      <w:r w:rsidRPr="0009028A">
        <w:rPr>
          <w:color w:val="auto"/>
          <w:sz w:val="20"/>
          <w:szCs w:val="22"/>
          <w:lang w:val="es-CO"/>
        </w:rPr>
        <w:t xml:space="preserve">a) Un monto sin prejuicio y ponderado por probabilidad que se determina evaluando un rango de posibles resultados; </w:t>
      </w:r>
    </w:p>
    <w:p w14:paraId="22CBADEF" w14:textId="77777777" w:rsidR="00153F59" w:rsidRPr="0009028A" w:rsidRDefault="00153F59" w:rsidP="00153F59">
      <w:pPr>
        <w:pStyle w:val="Default"/>
        <w:jc w:val="both"/>
        <w:rPr>
          <w:color w:val="auto"/>
          <w:sz w:val="20"/>
          <w:szCs w:val="22"/>
          <w:lang w:val="es-CO"/>
        </w:rPr>
      </w:pPr>
      <w:r w:rsidRPr="0009028A">
        <w:rPr>
          <w:color w:val="auto"/>
          <w:sz w:val="20"/>
          <w:szCs w:val="22"/>
          <w:lang w:val="es-CO"/>
        </w:rPr>
        <w:t xml:space="preserve">b) El valor del dinero en el tiempo; y </w:t>
      </w:r>
    </w:p>
    <w:p w14:paraId="7ADC66E3" w14:textId="77777777" w:rsidR="00153F59" w:rsidRPr="0009028A" w:rsidRDefault="00153F59" w:rsidP="00153F59">
      <w:pPr>
        <w:pStyle w:val="Default"/>
        <w:jc w:val="both"/>
        <w:rPr>
          <w:color w:val="auto"/>
          <w:sz w:val="20"/>
          <w:szCs w:val="22"/>
          <w:lang w:val="es-CO"/>
        </w:rPr>
      </w:pPr>
      <w:r w:rsidRPr="0009028A">
        <w:rPr>
          <w:color w:val="auto"/>
          <w:sz w:val="20"/>
          <w:szCs w:val="22"/>
          <w:lang w:val="es-CO"/>
        </w:rPr>
        <w:t>c) Información razonable y con soporte disponible sin costo o esfuerzo indebido a la fecha informativa sobre eventos pasados, condiciones presentes y proyecciones de condiciones económicas futuras.</w:t>
      </w:r>
    </w:p>
    <w:p w14:paraId="74641417" w14:textId="77777777" w:rsidR="00153F59" w:rsidRPr="0009028A" w:rsidRDefault="00153F59" w:rsidP="00153F59">
      <w:pPr>
        <w:pStyle w:val="Default"/>
        <w:jc w:val="both"/>
        <w:rPr>
          <w:color w:val="auto"/>
          <w:sz w:val="20"/>
          <w:szCs w:val="22"/>
          <w:lang w:val="es-CO"/>
        </w:rPr>
      </w:pPr>
    </w:p>
    <w:p w14:paraId="3E63997C" w14:textId="237D0F4E" w:rsidR="00153F59" w:rsidRPr="0009028A" w:rsidRDefault="00153F59" w:rsidP="00153F59">
      <w:pPr>
        <w:pStyle w:val="Default"/>
        <w:jc w:val="both"/>
        <w:rPr>
          <w:color w:val="auto"/>
          <w:sz w:val="20"/>
          <w:szCs w:val="22"/>
          <w:lang w:val="es-CO"/>
        </w:rPr>
      </w:pPr>
      <w:r w:rsidRPr="0009028A">
        <w:rPr>
          <w:sz w:val="20"/>
        </w:rPr>
        <w:t xml:space="preserve">La Compañía </w:t>
      </w:r>
      <w:r w:rsidR="00177C1D">
        <w:rPr>
          <w:color w:val="auto"/>
          <w:sz w:val="20"/>
          <w:szCs w:val="22"/>
          <w:lang w:val="es-CO"/>
        </w:rPr>
        <w:t>calcula su pérdida crediticia e</w:t>
      </w:r>
      <w:r w:rsidRPr="0009028A">
        <w:rPr>
          <w:color w:val="auto"/>
          <w:sz w:val="20"/>
          <w:szCs w:val="22"/>
          <w:lang w:val="es-CO"/>
        </w:rPr>
        <w:t>sperada con base en el valor presente de la diferencia entre los flujos de efectivo contractuales y los flujos de efectivo</w:t>
      </w:r>
      <w:r w:rsidR="00177C1D">
        <w:rPr>
          <w:color w:val="auto"/>
          <w:sz w:val="20"/>
          <w:szCs w:val="22"/>
          <w:lang w:val="es-CO"/>
        </w:rPr>
        <w:t xml:space="preserve"> esperados del instrumento. La pérdida crediticia e</w:t>
      </w:r>
      <w:r w:rsidRPr="0009028A">
        <w:rPr>
          <w:color w:val="auto"/>
          <w:sz w:val="20"/>
          <w:szCs w:val="22"/>
          <w:lang w:val="es-CO"/>
        </w:rPr>
        <w:t>sperada se actualizará en cada fecha de presentación de los estados financieros para reflejar los cambios en el riesgo de crédito de los instrumentos financieros desde el reconocimiento inicial.</w:t>
      </w:r>
    </w:p>
    <w:p w14:paraId="0E040FE1" w14:textId="77777777" w:rsidR="00153F59" w:rsidRPr="0009028A" w:rsidRDefault="00153F59" w:rsidP="00153F59">
      <w:pPr>
        <w:pStyle w:val="Default"/>
        <w:jc w:val="both"/>
        <w:rPr>
          <w:color w:val="auto"/>
          <w:sz w:val="20"/>
          <w:szCs w:val="22"/>
          <w:lang w:val="es-CO"/>
        </w:rPr>
      </w:pPr>
    </w:p>
    <w:p w14:paraId="4CE1D872" w14:textId="60995DC5" w:rsidR="00153F59" w:rsidRPr="0009028A" w:rsidRDefault="00153F59" w:rsidP="00E07672">
      <w:pPr>
        <w:pStyle w:val="Ttulo2"/>
        <w:spacing w:after="240" w:afterAutospacing="0"/>
        <w:rPr>
          <w:rFonts w:ascii="Arial" w:hAnsi="Arial" w:cs="Arial"/>
          <w:b w:val="0"/>
        </w:rPr>
      </w:pPr>
      <w:bookmarkStart w:id="109" w:name="_Toc6292909"/>
      <w:bookmarkStart w:id="110" w:name="_Toc6294459"/>
      <w:bookmarkStart w:id="111" w:name="_Toc6322797"/>
      <w:bookmarkStart w:id="112" w:name="_Toc7029844"/>
      <w:bookmarkStart w:id="113" w:name="_Toc8735053"/>
      <w:r w:rsidRPr="0009028A">
        <w:rPr>
          <w:rFonts w:ascii="Arial" w:hAnsi="Arial" w:cs="Arial"/>
          <w:b w:val="0"/>
        </w:rPr>
        <w:t>4.</w:t>
      </w:r>
      <w:r>
        <w:rPr>
          <w:rFonts w:ascii="Arial" w:hAnsi="Arial" w:cs="Arial"/>
          <w:b w:val="0"/>
        </w:rPr>
        <w:t>3.</w:t>
      </w:r>
      <w:r w:rsidRPr="0009028A">
        <w:rPr>
          <w:rFonts w:ascii="Arial" w:hAnsi="Arial" w:cs="Arial"/>
          <w:b w:val="0"/>
        </w:rPr>
        <w:t>9.1. Activos financieros medidos a costo amortizado</w:t>
      </w:r>
      <w:bookmarkEnd w:id="109"/>
      <w:bookmarkEnd w:id="110"/>
      <w:bookmarkEnd w:id="111"/>
      <w:bookmarkEnd w:id="112"/>
      <w:bookmarkEnd w:id="113"/>
    </w:p>
    <w:p w14:paraId="2715C77A" w14:textId="25A4FBFF" w:rsidR="00153F59" w:rsidRPr="0009028A" w:rsidRDefault="00153F59" w:rsidP="00153F59">
      <w:pPr>
        <w:spacing w:line="240" w:lineRule="auto"/>
        <w:jc w:val="both"/>
        <w:rPr>
          <w:rFonts w:ascii="Arial" w:hAnsi="Arial" w:cs="Arial"/>
          <w:sz w:val="20"/>
        </w:rPr>
      </w:pPr>
      <w:r w:rsidRPr="0009028A">
        <w:rPr>
          <w:rFonts w:ascii="Arial" w:hAnsi="Arial" w:cs="Arial"/>
          <w:sz w:val="20"/>
        </w:rPr>
        <w:t>La evidencia objetiva de que los activos financieros (incluidos los instrumentos de patrimonio) están deteriorados puede incluir mora o incumplimiento por parte de un deudor, reestructura</w:t>
      </w:r>
      <w:r w:rsidR="00703DFE">
        <w:rPr>
          <w:rFonts w:ascii="Arial" w:hAnsi="Arial" w:cs="Arial"/>
          <w:sz w:val="20"/>
        </w:rPr>
        <w:t>ción de un monto adeudado a la C</w:t>
      </w:r>
      <w:r w:rsidRPr="0009028A">
        <w:rPr>
          <w:rFonts w:ascii="Arial" w:hAnsi="Arial" w:cs="Arial"/>
          <w:sz w:val="20"/>
        </w:rPr>
        <w:t>ompañía en términos que no se considerarían en otras circunstancias, indicios de que un deudor o emisor se declarará en banca rota, desaparición de un mercado activo para un instrumento. Además, para una inversión en un instrumento de patrimonio, una disminución significativa o prolongada las partidas en su valor razonable por debajo del costo, representa evidencia objetiva de deterioro.</w:t>
      </w:r>
    </w:p>
    <w:p w14:paraId="09926B11" w14:textId="77777777" w:rsidR="00153F59" w:rsidRPr="0009028A" w:rsidRDefault="00153F59" w:rsidP="00153F59">
      <w:pPr>
        <w:pStyle w:val="Prrafodelista"/>
        <w:widowControl w:val="0"/>
        <w:autoSpaceDE w:val="0"/>
        <w:autoSpaceDN w:val="0"/>
        <w:adjustRightInd w:val="0"/>
        <w:spacing w:before="240" w:line="240" w:lineRule="auto"/>
        <w:ind w:left="0"/>
        <w:contextualSpacing w:val="0"/>
        <w:jc w:val="both"/>
        <w:rPr>
          <w:rFonts w:ascii="Arial" w:hAnsi="Arial" w:cs="Arial"/>
          <w:sz w:val="20"/>
        </w:rPr>
      </w:pPr>
      <w:r w:rsidRPr="0009028A">
        <w:rPr>
          <w:rFonts w:ascii="Arial" w:hAnsi="Arial" w:cs="Arial"/>
          <w:sz w:val="20"/>
        </w:rPr>
        <w:t>La Compañía considera la evidencia de deterioro de las partidas por cobrar y de los instrumentos de inversión mantenidos hasta el vencimiento tanto a nivel específico como colectivo. Todas las partidas por cobrar e instrumentos de inversión mantenidos hasta el vencimiento individualmente significativos son evaluados por deterioro específico. Todas las partidas por cobrar e instrumentos de inversión mantenidos hasta el vencimiento individualmente significativos que no se encuentran específicamente deteriorados son evaluados por deterioro colectivo que ha sido incurrido pero no identificado. Las partidas por cobrar e instrumentos de inversión mantenidos hasta el vencimiento que no son individualmente significativos son evaluados por deterioro colectivo agrupando las partidas por cobrar y los instrumentos de inversión mantenidos hasta el vencimiento con características de riesgo similares.</w:t>
      </w:r>
    </w:p>
    <w:p w14:paraId="51221330" w14:textId="77777777" w:rsidR="00153F59" w:rsidRPr="0009028A" w:rsidRDefault="00153F59" w:rsidP="00153F59">
      <w:pPr>
        <w:pStyle w:val="Prrafodelista"/>
        <w:widowControl w:val="0"/>
        <w:autoSpaceDE w:val="0"/>
        <w:autoSpaceDN w:val="0"/>
        <w:adjustRightInd w:val="0"/>
        <w:spacing w:before="240" w:line="240" w:lineRule="auto"/>
        <w:ind w:left="0"/>
        <w:contextualSpacing w:val="0"/>
        <w:jc w:val="both"/>
        <w:rPr>
          <w:rFonts w:ascii="Arial" w:hAnsi="Arial" w:cs="Arial"/>
          <w:sz w:val="20"/>
        </w:rPr>
      </w:pPr>
      <w:r w:rsidRPr="0009028A">
        <w:rPr>
          <w:rFonts w:ascii="Arial" w:hAnsi="Arial" w:cs="Arial"/>
          <w:sz w:val="20"/>
        </w:rPr>
        <w:t>Al evaluar el deterioro colectivo la Compañía usa las tendencias históricas de probabilidades de incumplimiento, la oportunidad de las recuperaciones y el monto de la pérdida incurrida, ajustados por los juicios de la administración relacionados con, si las condiciones económicas y crediticias actuales hacen probable que las pérdidas reales sean mayores o menores que las sugeridas por las tendencias históricas.</w:t>
      </w:r>
    </w:p>
    <w:p w14:paraId="2346F221" w14:textId="77777777" w:rsidR="00153F59" w:rsidRPr="0009028A" w:rsidRDefault="00153F59" w:rsidP="00153F59">
      <w:pPr>
        <w:pStyle w:val="Prrafodelista"/>
        <w:widowControl w:val="0"/>
        <w:autoSpaceDE w:val="0"/>
        <w:autoSpaceDN w:val="0"/>
        <w:adjustRightInd w:val="0"/>
        <w:spacing w:before="240" w:line="240" w:lineRule="auto"/>
        <w:ind w:left="0"/>
        <w:contextualSpacing w:val="0"/>
        <w:jc w:val="both"/>
        <w:rPr>
          <w:rFonts w:ascii="Arial" w:hAnsi="Arial" w:cs="Arial"/>
          <w:sz w:val="20"/>
        </w:rPr>
      </w:pPr>
      <w:r w:rsidRPr="0009028A">
        <w:rPr>
          <w:rFonts w:ascii="Arial" w:hAnsi="Arial" w:cs="Arial"/>
          <w:sz w:val="20"/>
        </w:rPr>
        <w:t>Una pérdida por deterioro relacionada con un activo financiero valorizado al costo amortizado se calcula como la diferencia entre el valor en libros del activo y el valor presente de los flujos de efectivo futuros estimados, descontados a la tasa de interés efectiva. Las pérdidas se reconocen en resultados y se reflejan en una cuenta de provisión contra las cuentas por cobrar. El interés sobre el activo deteriorado continúa reconociéndose a través del reverso del descuento. Cuando un hecho posterior causa que el monto de la pérdida por deterioro disminuya, esta disminución se reversa con cambios en resultados.</w:t>
      </w:r>
    </w:p>
    <w:p w14:paraId="2CB76D2D" w14:textId="77777777" w:rsidR="00992EAB" w:rsidRPr="0009028A" w:rsidRDefault="00992EAB" w:rsidP="008B3749">
      <w:pPr>
        <w:pStyle w:val="Sinespaciado"/>
      </w:pPr>
      <w:bookmarkStart w:id="114" w:name="_Toc6294448"/>
      <w:bookmarkStart w:id="115" w:name="_Toc6322786"/>
    </w:p>
    <w:p w14:paraId="13E41219" w14:textId="77777777" w:rsidR="00DD7A9E" w:rsidRPr="0009028A" w:rsidRDefault="00DD7A9E" w:rsidP="00DD7A9E">
      <w:pPr>
        <w:pStyle w:val="Ttulo2"/>
        <w:spacing w:afterAutospacing="0"/>
        <w:rPr>
          <w:rFonts w:ascii="Arial" w:hAnsi="Arial" w:cs="Arial"/>
          <w:b w:val="0"/>
        </w:rPr>
      </w:pPr>
      <w:bookmarkStart w:id="116" w:name="_Toc8735054"/>
      <w:r w:rsidRPr="0009028A">
        <w:rPr>
          <w:rFonts w:ascii="Arial" w:hAnsi="Arial" w:cs="Arial"/>
          <w:b w:val="0"/>
        </w:rPr>
        <w:t>4.4. Efectivo y equivalente al efectivo</w:t>
      </w:r>
      <w:bookmarkEnd w:id="114"/>
      <w:bookmarkEnd w:id="115"/>
      <w:bookmarkEnd w:id="116"/>
    </w:p>
    <w:p w14:paraId="2F96FCC9" w14:textId="2A55DF55" w:rsidR="00DD7A9E" w:rsidRPr="0009028A" w:rsidRDefault="00DD7A9E" w:rsidP="00DD7A9E">
      <w:pPr>
        <w:autoSpaceDE w:val="0"/>
        <w:autoSpaceDN w:val="0"/>
        <w:adjustRightInd w:val="0"/>
        <w:spacing w:before="220" w:after="0" w:line="240" w:lineRule="auto"/>
        <w:jc w:val="both"/>
        <w:rPr>
          <w:rFonts w:ascii="Arial" w:hAnsi="Arial" w:cs="Arial"/>
          <w:sz w:val="20"/>
        </w:rPr>
      </w:pPr>
      <w:r w:rsidRPr="0009028A">
        <w:rPr>
          <w:rFonts w:ascii="Arial" w:hAnsi="Arial" w:cs="Arial"/>
          <w:sz w:val="20"/>
        </w:rPr>
        <w:t>El efectivo y equivalente al efectivo se compone de los saldos en efectivo y depósitos a la vista con vencimientos originales de tres meses o menos desde la fecha de adquisición que están sujetos a riesgo poco significativo de cambios en su va</w:t>
      </w:r>
      <w:r w:rsidR="00603CD2">
        <w:rPr>
          <w:rFonts w:ascii="Arial" w:hAnsi="Arial" w:cs="Arial"/>
          <w:sz w:val="20"/>
        </w:rPr>
        <w:t>lor razonable y son usados por l</w:t>
      </w:r>
      <w:r w:rsidRPr="0009028A">
        <w:rPr>
          <w:rFonts w:ascii="Arial" w:hAnsi="Arial" w:cs="Arial"/>
          <w:sz w:val="20"/>
        </w:rPr>
        <w:t>a Compañía en la gestión de sus compromisos a corto plazo.</w:t>
      </w:r>
    </w:p>
    <w:p w14:paraId="305AA9D3" w14:textId="77777777" w:rsidR="00DD7A9E" w:rsidRPr="0009028A" w:rsidRDefault="00DD7A9E" w:rsidP="00DD7A9E">
      <w:pPr>
        <w:pStyle w:val="Ttulo2"/>
        <w:spacing w:afterAutospacing="0"/>
        <w:rPr>
          <w:rFonts w:ascii="Arial" w:hAnsi="Arial" w:cs="Arial"/>
          <w:b w:val="0"/>
        </w:rPr>
      </w:pPr>
      <w:bookmarkStart w:id="117" w:name="_Toc6294449"/>
      <w:bookmarkStart w:id="118" w:name="_Toc6322787"/>
      <w:bookmarkStart w:id="119" w:name="_Toc8735055"/>
      <w:r w:rsidRPr="0009028A">
        <w:rPr>
          <w:rFonts w:ascii="Arial" w:hAnsi="Arial" w:cs="Arial"/>
          <w:b w:val="0"/>
        </w:rPr>
        <w:t>4.5. Propiedades, planta y equipo</w:t>
      </w:r>
      <w:bookmarkEnd w:id="117"/>
      <w:bookmarkEnd w:id="118"/>
      <w:bookmarkEnd w:id="119"/>
    </w:p>
    <w:p w14:paraId="2131D301" w14:textId="77777777" w:rsidR="00992EAB" w:rsidRPr="0009028A" w:rsidRDefault="00992EAB" w:rsidP="008B3749">
      <w:pPr>
        <w:pStyle w:val="Sinespaciado"/>
      </w:pPr>
      <w:bookmarkStart w:id="120" w:name="_Toc6292900"/>
      <w:bookmarkStart w:id="121" w:name="_Toc6294450"/>
      <w:bookmarkStart w:id="122" w:name="_Toc6322788"/>
      <w:bookmarkStart w:id="123" w:name="_Toc7029836"/>
    </w:p>
    <w:p w14:paraId="0F788E8E" w14:textId="77777777" w:rsidR="00DD7A9E" w:rsidRPr="0009028A" w:rsidRDefault="00DD7A9E" w:rsidP="00DD7A9E">
      <w:pPr>
        <w:pStyle w:val="Ttulo2"/>
        <w:spacing w:afterAutospacing="0"/>
        <w:rPr>
          <w:rFonts w:ascii="Arial" w:hAnsi="Arial" w:cs="Arial"/>
          <w:b w:val="0"/>
        </w:rPr>
      </w:pPr>
      <w:bookmarkStart w:id="124" w:name="_Toc8735056"/>
      <w:r w:rsidRPr="0009028A">
        <w:rPr>
          <w:rFonts w:ascii="Arial" w:hAnsi="Arial" w:cs="Arial"/>
          <w:b w:val="0"/>
        </w:rPr>
        <w:t>4.5.1. Reconocimiento y medición</w:t>
      </w:r>
      <w:bookmarkEnd w:id="120"/>
      <w:bookmarkEnd w:id="121"/>
      <w:bookmarkEnd w:id="122"/>
      <w:bookmarkEnd w:id="123"/>
      <w:bookmarkEnd w:id="124"/>
    </w:p>
    <w:p w14:paraId="1F01921D" w14:textId="54E4CFC1" w:rsidR="00DD7A9E" w:rsidRPr="0009028A" w:rsidRDefault="00DD7A9E" w:rsidP="00DD7A9E">
      <w:pPr>
        <w:widowControl w:val="0"/>
        <w:autoSpaceDE w:val="0"/>
        <w:autoSpaceDN w:val="0"/>
        <w:adjustRightInd w:val="0"/>
        <w:spacing w:before="260" w:after="0" w:line="240" w:lineRule="auto"/>
        <w:jc w:val="both"/>
        <w:rPr>
          <w:rFonts w:ascii="Arial" w:hAnsi="Arial" w:cs="Arial"/>
          <w:sz w:val="20"/>
        </w:rPr>
      </w:pPr>
      <w:r w:rsidRPr="0009028A">
        <w:rPr>
          <w:rFonts w:ascii="Arial" w:hAnsi="Arial" w:cs="Arial"/>
          <w:sz w:val="20"/>
        </w:rPr>
        <w:t>Las partidas de propiedad</w:t>
      </w:r>
      <w:r w:rsidR="002E0381">
        <w:rPr>
          <w:rFonts w:ascii="Arial" w:hAnsi="Arial" w:cs="Arial"/>
          <w:sz w:val="20"/>
        </w:rPr>
        <w:t>es</w:t>
      </w:r>
      <w:r w:rsidRPr="0009028A">
        <w:rPr>
          <w:rFonts w:ascii="Arial" w:hAnsi="Arial" w:cs="Arial"/>
          <w:sz w:val="20"/>
        </w:rPr>
        <w:t>, planta y equipo son valorizados al costo menos depreciación acumuladas y pérdidas por deterioro. El costo de ciertas partidas de propiedad, planta y equipo fue determinado con referencia al valor razonable o a la revalorización de los PCGA anteriores en la adopción de NCIF.</w:t>
      </w:r>
    </w:p>
    <w:p w14:paraId="1A4F22AD" w14:textId="77777777" w:rsidR="00DD7A9E" w:rsidRPr="0009028A" w:rsidRDefault="00DD7A9E" w:rsidP="00DD7A9E">
      <w:pPr>
        <w:widowControl w:val="0"/>
        <w:autoSpaceDE w:val="0"/>
        <w:autoSpaceDN w:val="0"/>
        <w:adjustRightInd w:val="0"/>
        <w:spacing w:before="260" w:after="0" w:line="240" w:lineRule="auto"/>
        <w:jc w:val="both"/>
        <w:rPr>
          <w:rFonts w:ascii="Arial" w:hAnsi="Arial" w:cs="Arial"/>
          <w:sz w:val="20"/>
        </w:rPr>
      </w:pPr>
      <w:r w:rsidRPr="0009028A">
        <w:rPr>
          <w:rFonts w:ascii="Arial" w:hAnsi="Arial" w:cs="Arial"/>
          <w:sz w:val="20"/>
        </w:rPr>
        <w:t>El costo incluye gastos que son directamente atribuibles a la adquisición del activo. El costo de activos construidos por la propia entidad incluye el costo de los materiales y la mano de obra directa, cualquier otro costo directamente atribuible al proceso de hacer que el activo sea apto para trabajar para su uso previsto, los costos de desmantelar y remover las partidas y de restaurar el lugar donde estén ubicados, y los costos por préstamos capitalizados en activos calificados.</w:t>
      </w:r>
    </w:p>
    <w:p w14:paraId="68F20CE7" w14:textId="77777777" w:rsidR="00DD7A9E" w:rsidRPr="0009028A" w:rsidRDefault="00DD7A9E" w:rsidP="00DD7A9E">
      <w:pPr>
        <w:widowControl w:val="0"/>
        <w:autoSpaceDE w:val="0"/>
        <w:autoSpaceDN w:val="0"/>
        <w:adjustRightInd w:val="0"/>
        <w:spacing w:before="260" w:after="0" w:line="240" w:lineRule="auto"/>
        <w:jc w:val="both"/>
        <w:rPr>
          <w:rFonts w:ascii="Arial" w:hAnsi="Arial" w:cs="Arial"/>
          <w:sz w:val="20"/>
        </w:rPr>
      </w:pPr>
      <w:r w:rsidRPr="0009028A">
        <w:rPr>
          <w:rFonts w:ascii="Arial" w:hAnsi="Arial" w:cs="Arial"/>
          <w:sz w:val="20"/>
        </w:rPr>
        <w:t>Las propiedades en proceso de construcción o desarrollo son clasificadas como propiedades, planta y equipo y valuadas al costo, hasta que la construcción o desarrollo se ha completado.</w:t>
      </w:r>
    </w:p>
    <w:p w14:paraId="28E5F3C1" w14:textId="77777777" w:rsidR="00DD7A9E" w:rsidRPr="0009028A" w:rsidRDefault="00DD7A9E" w:rsidP="00DD7A9E">
      <w:pPr>
        <w:widowControl w:val="0"/>
        <w:autoSpaceDE w:val="0"/>
        <w:autoSpaceDN w:val="0"/>
        <w:adjustRightInd w:val="0"/>
        <w:spacing w:before="260" w:after="0" w:line="240" w:lineRule="auto"/>
        <w:jc w:val="both"/>
        <w:rPr>
          <w:rFonts w:ascii="Arial" w:hAnsi="Arial" w:cs="Arial"/>
          <w:sz w:val="20"/>
        </w:rPr>
      </w:pPr>
      <w:r w:rsidRPr="0009028A">
        <w:rPr>
          <w:rFonts w:ascii="Arial" w:hAnsi="Arial" w:cs="Arial"/>
          <w:sz w:val="20"/>
        </w:rPr>
        <w:t>Si partes significativas de un elemento de propiedades, planta y equipo tienen una vida útil distinta, se contabilizan como elementos consolidados (componentes significativos) de propiedades, planta y equipo.</w:t>
      </w:r>
    </w:p>
    <w:p w14:paraId="18C4F3EE" w14:textId="77777777" w:rsidR="00DD7A9E" w:rsidRPr="0009028A" w:rsidRDefault="00DD7A9E" w:rsidP="00DD7A9E">
      <w:pPr>
        <w:widowControl w:val="0"/>
        <w:autoSpaceDE w:val="0"/>
        <w:autoSpaceDN w:val="0"/>
        <w:adjustRightInd w:val="0"/>
        <w:spacing w:before="260" w:after="0" w:line="240" w:lineRule="auto"/>
        <w:jc w:val="both"/>
        <w:rPr>
          <w:rFonts w:ascii="Arial" w:hAnsi="Arial" w:cs="Arial"/>
          <w:sz w:val="20"/>
        </w:rPr>
      </w:pPr>
      <w:r w:rsidRPr="0009028A">
        <w:rPr>
          <w:rFonts w:ascii="Arial" w:hAnsi="Arial" w:cs="Arial"/>
          <w:sz w:val="20"/>
        </w:rPr>
        <w:t xml:space="preserve">Los gastos periódicos de mantenimiento, conservación y reparación, se imputan a resultados en el ejercicio en que se incurren. </w:t>
      </w:r>
    </w:p>
    <w:p w14:paraId="56CEA982" w14:textId="77777777" w:rsidR="00DD7A9E" w:rsidRPr="0009028A" w:rsidRDefault="00DD7A9E" w:rsidP="00DD7A9E">
      <w:pPr>
        <w:widowControl w:val="0"/>
        <w:autoSpaceDE w:val="0"/>
        <w:autoSpaceDN w:val="0"/>
        <w:adjustRightInd w:val="0"/>
        <w:spacing w:before="260" w:after="0" w:line="240" w:lineRule="auto"/>
        <w:jc w:val="both"/>
        <w:rPr>
          <w:rFonts w:ascii="Arial" w:hAnsi="Arial" w:cs="Arial"/>
          <w:sz w:val="20"/>
        </w:rPr>
      </w:pPr>
      <w:r w:rsidRPr="0009028A">
        <w:rPr>
          <w:rFonts w:ascii="Arial" w:hAnsi="Arial" w:cs="Arial"/>
          <w:sz w:val="20"/>
        </w:rPr>
        <w:t xml:space="preserve">Las ganancias y pérdidas de la venta de una partida de propiedad, planta y equipo son determinadas comparando la utilidad obtenida de la venta con los valores en libros de la propiedad, planta y equipo y se reconocen netas dentro de otros ingresos en resultados. </w:t>
      </w:r>
    </w:p>
    <w:p w14:paraId="5149B4F8" w14:textId="77777777" w:rsidR="00DD7A9E" w:rsidRPr="0009028A" w:rsidRDefault="00DD7A9E" w:rsidP="00DD7A9E">
      <w:pPr>
        <w:pStyle w:val="Prrafodelista"/>
        <w:widowControl w:val="0"/>
        <w:autoSpaceDE w:val="0"/>
        <w:autoSpaceDN w:val="0"/>
        <w:adjustRightInd w:val="0"/>
        <w:spacing w:before="240" w:line="240" w:lineRule="auto"/>
        <w:ind w:left="0"/>
        <w:contextualSpacing w:val="0"/>
        <w:jc w:val="both"/>
        <w:rPr>
          <w:rFonts w:ascii="Arial" w:hAnsi="Arial" w:cs="Arial"/>
          <w:sz w:val="20"/>
        </w:rPr>
      </w:pPr>
      <w:r w:rsidRPr="0009028A">
        <w:rPr>
          <w:rFonts w:ascii="Arial" w:hAnsi="Arial" w:cs="Arial"/>
          <w:sz w:val="20"/>
        </w:rPr>
        <w:t>Cuando el valor según libros de un activo es superior a su importe recuperable, su valor se reduce de forma inmediata hasta su importe recuperable.</w:t>
      </w:r>
    </w:p>
    <w:p w14:paraId="4DB8D825" w14:textId="7D689B95" w:rsidR="00DD7A9E" w:rsidRPr="0009028A" w:rsidRDefault="00DD7A9E" w:rsidP="00DD7A9E">
      <w:pPr>
        <w:pStyle w:val="Ttulo2"/>
        <w:spacing w:afterAutospacing="0"/>
        <w:rPr>
          <w:rFonts w:ascii="Arial" w:hAnsi="Arial" w:cs="Arial"/>
          <w:b w:val="0"/>
        </w:rPr>
      </w:pPr>
      <w:bookmarkStart w:id="125" w:name="_Toc6292902"/>
      <w:bookmarkStart w:id="126" w:name="_Toc6294452"/>
      <w:bookmarkStart w:id="127" w:name="_Toc6322790"/>
      <w:bookmarkStart w:id="128" w:name="_Toc7029838"/>
      <w:bookmarkStart w:id="129" w:name="_Toc8735057"/>
      <w:r w:rsidRPr="0009028A">
        <w:rPr>
          <w:rFonts w:ascii="Arial" w:hAnsi="Arial" w:cs="Arial"/>
          <w:b w:val="0"/>
        </w:rPr>
        <w:t>4.5.</w:t>
      </w:r>
      <w:r w:rsidR="00D207B0">
        <w:rPr>
          <w:rFonts w:ascii="Arial" w:hAnsi="Arial" w:cs="Arial"/>
          <w:b w:val="0"/>
        </w:rPr>
        <w:t>2</w:t>
      </w:r>
      <w:r w:rsidRPr="0009028A">
        <w:rPr>
          <w:rFonts w:ascii="Arial" w:hAnsi="Arial" w:cs="Arial"/>
          <w:b w:val="0"/>
        </w:rPr>
        <w:t>. Costos posteriores</w:t>
      </w:r>
      <w:bookmarkEnd w:id="125"/>
      <w:bookmarkEnd w:id="126"/>
      <w:bookmarkEnd w:id="127"/>
      <w:bookmarkEnd w:id="128"/>
      <w:bookmarkEnd w:id="129"/>
    </w:p>
    <w:p w14:paraId="4748D87C" w14:textId="3179A1C7" w:rsidR="00DD7A9E" w:rsidRPr="0009028A" w:rsidRDefault="00DD7A9E" w:rsidP="00DD7A9E">
      <w:pPr>
        <w:pStyle w:val="Prrafodelista"/>
        <w:widowControl w:val="0"/>
        <w:autoSpaceDE w:val="0"/>
        <w:autoSpaceDN w:val="0"/>
        <w:adjustRightInd w:val="0"/>
        <w:spacing w:before="240" w:line="240" w:lineRule="auto"/>
        <w:ind w:left="0"/>
        <w:contextualSpacing w:val="0"/>
        <w:jc w:val="both"/>
        <w:rPr>
          <w:rFonts w:ascii="Arial" w:hAnsi="Arial" w:cs="Arial"/>
          <w:sz w:val="20"/>
        </w:rPr>
      </w:pPr>
      <w:r w:rsidRPr="0009028A">
        <w:rPr>
          <w:rFonts w:ascii="Arial" w:hAnsi="Arial" w:cs="Arial"/>
          <w:sz w:val="20"/>
        </w:rPr>
        <w:t xml:space="preserve">El costo de reemplazar parte de una partida de propiedad, planta y equipo es reconocido en su valor en libros, si es posible que los beneficios económicos futuros incorporados </w:t>
      </w:r>
      <w:r w:rsidR="00703DFE">
        <w:rPr>
          <w:rFonts w:ascii="Arial" w:hAnsi="Arial" w:cs="Arial"/>
          <w:sz w:val="20"/>
        </w:rPr>
        <w:t>dentro de la parte fluyan a la C</w:t>
      </w:r>
      <w:r w:rsidRPr="0009028A">
        <w:rPr>
          <w:rFonts w:ascii="Arial" w:hAnsi="Arial" w:cs="Arial"/>
          <w:sz w:val="20"/>
        </w:rPr>
        <w:t>ompañía y su costo pueda ser medido de manera fiable. El valor en libros de la parte reemplazada se da de baja. Los costos del mantenimiento diario de la propiedad, planta y equipo son reconocidos en resultados cuando se incurren.</w:t>
      </w:r>
    </w:p>
    <w:p w14:paraId="50A5ED1B" w14:textId="0BFAA56D" w:rsidR="00DD7A9E" w:rsidRPr="0009028A" w:rsidRDefault="00DD7A9E" w:rsidP="00DD7A9E">
      <w:pPr>
        <w:pStyle w:val="Ttulo2"/>
        <w:spacing w:afterAutospacing="0"/>
        <w:rPr>
          <w:rFonts w:ascii="Arial" w:hAnsi="Arial" w:cs="Arial"/>
          <w:b w:val="0"/>
        </w:rPr>
      </w:pPr>
      <w:bookmarkStart w:id="130" w:name="_Toc6292903"/>
      <w:bookmarkStart w:id="131" w:name="_Toc6294453"/>
      <w:bookmarkStart w:id="132" w:name="_Toc6322791"/>
      <w:bookmarkStart w:id="133" w:name="_Toc7029839"/>
      <w:bookmarkStart w:id="134" w:name="_Toc8735058"/>
      <w:r w:rsidRPr="0009028A">
        <w:rPr>
          <w:rFonts w:ascii="Arial" w:hAnsi="Arial" w:cs="Arial"/>
          <w:b w:val="0"/>
        </w:rPr>
        <w:t>4.5.</w:t>
      </w:r>
      <w:r w:rsidR="00D207B0">
        <w:rPr>
          <w:rFonts w:ascii="Arial" w:hAnsi="Arial" w:cs="Arial"/>
          <w:b w:val="0"/>
        </w:rPr>
        <w:t>3</w:t>
      </w:r>
      <w:r w:rsidRPr="0009028A">
        <w:rPr>
          <w:rFonts w:ascii="Arial" w:hAnsi="Arial" w:cs="Arial"/>
          <w:b w:val="0"/>
        </w:rPr>
        <w:t>. Depreciación</w:t>
      </w:r>
      <w:bookmarkEnd w:id="130"/>
      <w:bookmarkEnd w:id="131"/>
      <w:bookmarkEnd w:id="132"/>
      <w:bookmarkEnd w:id="133"/>
      <w:bookmarkEnd w:id="134"/>
    </w:p>
    <w:p w14:paraId="0885F968" w14:textId="1240317C" w:rsidR="00DD7A9E" w:rsidRPr="0009028A" w:rsidRDefault="00DD7A9E" w:rsidP="00DD7A9E">
      <w:pPr>
        <w:pStyle w:val="Prrafodelista"/>
        <w:widowControl w:val="0"/>
        <w:autoSpaceDE w:val="0"/>
        <w:autoSpaceDN w:val="0"/>
        <w:adjustRightInd w:val="0"/>
        <w:spacing w:before="240" w:line="240" w:lineRule="auto"/>
        <w:ind w:left="0"/>
        <w:contextualSpacing w:val="0"/>
        <w:jc w:val="both"/>
        <w:rPr>
          <w:rFonts w:ascii="Arial" w:hAnsi="Arial" w:cs="Arial"/>
          <w:sz w:val="20"/>
          <w:szCs w:val="20"/>
        </w:rPr>
      </w:pPr>
      <w:r w:rsidRPr="0009028A">
        <w:rPr>
          <w:rFonts w:ascii="Arial" w:hAnsi="Arial" w:cs="Arial"/>
          <w:sz w:val="20"/>
        </w:rPr>
        <w:t>La depreciación es reconocida en resultados con base en el método de depreciación lineal sobre las vidas útiles estimadas de cada parte de una partida de propiedad, planta y equipo, puesto que éstas reflejan con mayor exactitud el patrón de consumo esperado de los beneficios económicos futuros relacionados con el activo. Los activos arrendados son depreciados en el período más corto entre el arrendamiento y sus vidas útiles, a menos que se</w:t>
      </w:r>
      <w:r w:rsidR="00703DFE">
        <w:rPr>
          <w:rFonts w:ascii="Arial" w:hAnsi="Arial" w:cs="Arial"/>
          <w:sz w:val="20"/>
        </w:rPr>
        <w:t>a razonablemente seguro que la C</w:t>
      </w:r>
      <w:r w:rsidRPr="0009028A">
        <w:rPr>
          <w:rFonts w:ascii="Arial" w:hAnsi="Arial" w:cs="Arial"/>
          <w:sz w:val="20"/>
        </w:rPr>
        <w:t>ompañía obtendrá la propiedad al final del período de arrendamiento. El terreno no se deprecia. Las vidas útiles empleadas son las siguientes:</w:t>
      </w:r>
    </w:p>
    <w:tbl>
      <w:tblPr>
        <w:tblStyle w:val="Cuadrculadetablaclara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4"/>
        <w:gridCol w:w="2117"/>
      </w:tblGrid>
      <w:tr w:rsidR="00DD7A9E" w:rsidRPr="0009028A" w14:paraId="73B0F6A5" w14:textId="77777777" w:rsidTr="00992EAB">
        <w:trPr>
          <w:trHeight w:val="283"/>
          <w:jc w:val="center"/>
        </w:trPr>
        <w:tc>
          <w:tcPr>
            <w:tcW w:w="3933" w:type="pct"/>
            <w:shd w:val="clear" w:color="auto" w:fill="auto"/>
            <w:noWrap/>
            <w:vAlign w:val="center"/>
            <w:hideMark/>
          </w:tcPr>
          <w:p w14:paraId="16BDC108" w14:textId="77777777" w:rsidR="00DD7A9E" w:rsidRPr="0009028A" w:rsidRDefault="00DD7A9E" w:rsidP="00DD7A9E">
            <w:pPr>
              <w:jc w:val="center"/>
              <w:rPr>
                <w:rFonts w:ascii="Arial" w:eastAsia="Times New Roman" w:hAnsi="Arial" w:cs="Arial"/>
                <w:b/>
                <w:sz w:val="18"/>
                <w:szCs w:val="20"/>
                <w:lang w:eastAsia="es-CO"/>
              </w:rPr>
            </w:pPr>
            <w:r w:rsidRPr="0009028A">
              <w:rPr>
                <w:rFonts w:ascii="Arial" w:eastAsia="Times New Roman" w:hAnsi="Arial" w:cs="Arial"/>
                <w:b/>
                <w:sz w:val="18"/>
                <w:szCs w:val="20"/>
                <w:lang w:eastAsia="es-CO"/>
              </w:rPr>
              <w:t>Elemento</w:t>
            </w:r>
          </w:p>
        </w:tc>
        <w:tc>
          <w:tcPr>
            <w:tcW w:w="1067" w:type="pct"/>
            <w:shd w:val="clear" w:color="auto" w:fill="auto"/>
            <w:noWrap/>
            <w:vAlign w:val="center"/>
            <w:hideMark/>
          </w:tcPr>
          <w:p w14:paraId="08A316DE" w14:textId="77777777" w:rsidR="00DD7A9E" w:rsidRPr="0009028A" w:rsidRDefault="00DD7A9E" w:rsidP="00710F32">
            <w:pPr>
              <w:jc w:val="right"/>
              <w:rPr>
                <w:rFonts w:ascii="Arial" w:eastAsia="Times New Roman" w:hAnsi="Arial" w:cs="Arial"/>
                <w:b/>
                <w:sz w:val="18"/>
                <w:szCs w:val="20"/>
                <w:lang w:eastAsia="es-CO"/>
              </w:rPr>
            </w:pPr>
            <w:r w:rsidRPr="0009028A">
              <w:rPr>
                <w:rFonts w:ascii="Arial" w:eastAsia="Times New Roman" w:hAnsi="Arial" w:cs="Arial"/>
                <w:b/>
                <w:sz w:val="18"/>
                <w:szCs w:val="20"/>
                <w:lang w:eastAsia="es-CO"/>
              </w:rPr>
              <w:t>Vida útil</w:t>
            </w:r>
            <w:r w:rsidR="00710F32" w:rsidRPr="0009028A">
              <w:rPr>
                <w:rFonts w:ascii="Arial" w:eastAsia="Times New Roman" w:hAnsi="Arial" w:cs="Arial"/>
                <w:b/>
                <w:sz w:val="18"/>
                <w:szCs w:val="20"/>
                <w:lang w:eastAsia="es-CO"/>
              </w:rPr>
              <w:t xml:space="preserve"> (años)</w:t>
            </w:r>
          </w:p>
        </w:tc>
      </w:tr>
      <w:tr w:rsidR="00DD7A9E" w:rsidRPr="0009028A" w14:paraId="4C641B84" w14:textId="77777777" w:rsidTr="00992EAB">
        <w:trPr>
          <w:trHeight w:val="283"/>
          <w:jc w:val="center"/>
        </w:trPr>
        <w:tc>
          <w:tcPr>
            <w:tcW w:w="3933" w:type="pct"/>
            <w:noWrap/>
            <w:vAlign w:val="center"/>
            <w:hideMark/>
          </w:tcPr>
          <w:p w14:paraId="66F31A64" w14:textId="77777777" w:rsidR="00DD7A9E" w:rsidRPr="0009028A" w:rsidRDefault="00DD7A9E" w:rsidP="00DD7A9E">
            <w:pPr>
              <w:rPr>
                <w:rFonts w:ascii="Arial" w:eastAsia="Times New Roman" w:hAnsi="Arial" w:cs="Arial"/>
                <w:sz w:val="18"/>
                <w:szCs w:val="20"/>
                <w:lang w:eastAsia="es-CO"/>
              </w:rPr>
            </w:pPr>
            <w:r w:rsidRPr="0009028A">
              <w:rPr>
                <w:rFonts w:ascii="Arial" w:eastAsia="Times New Roman" w:hAnsi="Arial" w:cs="Arial"/>
                <w:sz w:val="18"/>
                <w:szCs w:val="20"/>
                <w:lang w:eastAsia="es-CO"/>
              </w:rPr>
              <w:t xml:space="preserve">Construcciones y </w:t>
            </w:r>
            <w:r w:rsidR="00485DEA" w:rsidRPr="0009028A">
              <w:rPr>
                <w:rFonts w:ascii="Arial" w:eastAsia="Times New Roman" w:hAnsi="Arial" w:cs="Arial"/>
                <w:sz w:val="18"/>
                <w:szCs w:val="20"/>
                <w:lang w:eastAsia="es-CO"/>
              </w:rPr>
              <w:t>edificaciones</w:t>
            </w:r>
          </w:p>
        </w:tc>
        <w:tc>
          <w:tcPr>
            <w:tcW w:w="1067" w:type="pct"/>
            <w:noWrap/>
            <w:vAlign w:val="center"/>
            <w:hideMark/>
          </w:tcPr>
          <w:p w14:paraId="17485150" w14:textId="77777777" w:rsidR="00DD7A9E" w:rsidRPr="0009028A" w:rsidRDefault="00DD7A9E" w:rsidP="00DD7A9E">
            <w:pPr>
              <w:jc w:val="right"/>
              <w:rPr>
                <w:rFonts w:ascii="Arial" w:eastAsia="Times New Roman" w:hAnsi="Arial" w:cs="Arial"/>
                <w:sz w:val="18"/>
                <w:szCs w:val="20"/>
                <w:lang w:eastAsia="es-CO"/>
              </w:rPr>
            </w:pPr>
            <w:r w:rsidRPr="0009028A">
              <w:rPr>
                <w:rFonts w:ascii="Arial" w:eastAsia="Times New Roman" w:hAnsi="Arial" w:cs="Arial"/>
                <w:sz w:val="18"/>
                <w:szCs w:val="20"/>
                <w:lang w:eastAsia="es-CO"/>
              </w:rPr>
              <w:t>70 a 80</w:t>
            </w:r>
          </w:p>
        </w:tc>
      </w:tr>
      <w:tr w:rsidR="00DD7A9E" w:rsidRPr="0009028A" w14:paraId="02E729D3" w14:textId="77777777" w:rsidTr="00992EAB">
        <w:trPr>
          <w:trHeight w:val="283"/>
          <w:jc w:val="center"/>
        </w:trPr>
        <w:tc>
          <w:tcPr>
            <w:tcW w:w="3933" w:type="pct"/>
            <w:noWrap/>
            <w:vAlign w:val="center"/>
            <w:hideMark/>
          </w:tcPr>
          <w:p w14:paraId="37806C4C" w14:textId="77777777" w:rsidR="00DD7A9E" w:rsidRPr="0009028A" w:rsidRDefault="00DD7A9E" w:rsidP="00DD7A9E">
            <w:pPr>
              <w:rPr>
                <w:rFonts w:ascii="Arial" w:eastAsia="Times New Roman" w:hAnsi="Arial" w:cs="Arial"/>
                <w:sz w:val="18"/>
                <w:szCs w:val="20"/>
                <w:lang w:eastAsia="es-CO"/>
              </w:rPr>
            </w:pPr>
            <w:r w:rsidRPr="0009028A">
              <w:rPr>
                <w:rFonts w:ascii="Arial" w:eastAsia="Times New Roman" w:hAnsi="Arial" w:cs="Arial"/>
                <w:sz w:val="18"/>
                <w:szCs w:val="20"/>
                <w:lang w:eastAsia="es-CO"/>
              </w:rPr>
              <w:t xml:space="preserve">Maquinaria y </w:t>
            </w:r>
            <w:r w:rsidR="00485DEA" w:rsidRPr="0009028A">
              <w:rPr>
                <w:rFonts w:ascii="Arial" w:eastAsia="Times New Roman" w:hAnsi="Arial" w:cs="Arial"/>
                <w:sz w:val="18"/>
                <w:szCs w:val="20"/>
                <w:lang w:eastAsia="es-CO"/>
              </w:rPr>
              <w:t>equipo</w:t>
            </w:r>
          </w:p>
        </w:tc>
        <w:tc>
          <w:tcPr>
            <w:tcW w:w="1067" w:type="pct"/>
            <w:noWrap/>
            <w:vAlign w:val="center"/>
            <w:hideMark/>
          </w:tcPr>
          <w:p w14:paraId="54C7752D" w14:textId="77777777" w:rsidR="00DD7A9E" w:rsidRPr="0009028A" w:rsidRDefault="00DD7A9E" w:rsidP="00DD7A9E">
            <w:pPr>
              <w:jc w:val="right"/>
              <w:rPr>
                <w:rFonts w:ascii="Arial" w:eastAsia="Times New Roman" w:hAnsi="Arial" w:cs="Arial"/>
                <w:sz w:val="18"/>
                <w:szCs w:val="20"/>
                <w:lang w:eastAsia="es-CO"/>
              </w:rPr>
            </w:pPr>
            <w:r w:rsidRPr="0009028A">
              <w:rPr>
                <w:rFonts w:ascii="Arial" w:eastAsia="Times New Roman" w:hAnsi="Arial" w:cs="Arial"/>
                <w:sz w:val="18"/>
                <w:szCs w:val="20"/>
                <w:lang w:eastAsia="es-CO"/>
              </w:rPr>
              <w:t>5 a 15</w:t>
            </w:r>
          </w:p>
        </w:tc>
      </w:tr>
      <w:tr w:rsidR="00DD7A9E" w:rsidRPr="0009028A" w14:paraId="4F1BDD8E" w14:textId="77777777" w:rsidTr="00992EAB">
        <w:trPr>
          <w:trHeight w:val="283"/>
          <w:jc w:val="center"/>
        </w:trPr>
        <w:tc>
          <w:tcPr>
            <w:tcW w:w="3933" w:type="pct"/>
            <w:noWrap/>
            <w:vAlign w:val="center"/>
            <w:hideMark/>
          </w:tcPr>
          <w:p w14:paraId="793C3B65" w14:textId="77777777" w:rsidR="00DD7A9E" w:rsidRPr="0009028A" w:rsidRDefault="00DD7A9E" w:rsidP="00DD7A9E">
            <w:pPr>
              <w:rPr>
                <w:rFonts w:ascii="Arial" w:eastAsia="Times New Roman" w:hAnsi="Arial" w:cs="Arial"/>
                <w:sz w:val="18"/>
                <w:szCs w:val="20"/>
                <w:lang w:eastAsia="es-CO"/>
              </w:rPr>
            </w:pPr>
            <w:r w:rsidRPr="0009028A">
              <w:rPr>
                <w:rFonts w:ascii="Arial" w:eastAsia="Times New Roman" w:hAnsi="Arial" w:cs="Arial"/>
                <w:sz w:val="18"/>
                <w:szCs w:val="20"/>
                <w:lang w:eastAsia="es-CO"/>
              </w:rPr>
              <w:t>Muebles y enseres</w:t>
            </w:r>
          </w:p>
        </w:tc>
        <w:tc>
          <w:tcPr>
            <w:tcW w:w="1067" w:type="pct"/>
            <w:noWrap/>
            <w:vAlign w:val="center"/>
            <w:hideMark/>
          </w:tcPr>
          <w:p w14:paraId="16BF974B" w14:textId="77777777" w:rsidR="00DD7A9E" w:rsidRPr="0009028A" w:rsidRDefault="00DD7A9E" w:rsidP="00DD7A9E">
            <w:pPr>
              <w:jc w:val="right"/>
              <w:rPr>
                <w:rFonts w:ascii="Arial" w:eastAsia="Times New Roman" w:hAnsi="Arial" w:cs="Arial"/>
                <w:sz w:val="18"/>
                <w:szCs w:val="20"/>
                <w:lang w:eastAsia="es-CO"/>
              </w:rPr>
            </w:pPr>
            <w:r w:rsidRPr="0009028A">
              <w:rPr>
                <w:rFonts w:ascii="Arial" w:eastAsia="Times New Roman" w:hAnsi="Arial" w:cs="Arial"/>
                <w:sz w:val="18"/>
                <w:szCs w:val="20"/>
                <w:lang w:eastAsia="es-CO"/>
              </w:rPr>
              <w:t>2 a 5</w:t>
            </w:r>
          </w:p>
        </w:tc>
      </w:tr>
      <w:tr w:rsidR="00DD7A9E" w:rsidRPr="0009028A" w14:paraId="3F4E4E8C" w14:textId="77777777" w:rsidTr="00992EAB">
        <w:trPr>
          <w:trHeight w:val="283"/>
          <w:jc w:val="center"/>
        </w:trPr>
        <w:tc>
          <w:tcPr>
            <w:tcW w:w="3933" w:type="pct"/>
            <w:noWrap/>
            <w:vAlign w:val="center"/>
            <w:hideMark/>
          </w:tcPr>
          <w:p w14:paraId="7B0F6B19" w14:textId="77777777" w:rsidR="00DD7A9E" w:rsidRPr="0009028A" w:rsidRDefault="00DD7A9E" w:rsidP="00DD7A9E">
            <w:pPr>
              <w:rPr>
                <w:rFonts w:ascii="Arial" w:eastAsia="Times New Roman" w:hAnsi="Arial" w:cs="Arial"/>
                <w:sz w:val="18"/>
                <w:szCs w:val="20"/>
                <w:lang w:eastAsia="es-CO"/>
              </w:rPr>
            </w:pPr>
            <w:r w:rsidRPr="0009028A">
              <w:rPr>
                <w:rFonts w:ascii="Arial" w:eastAsia="Times New Roman" w:hAnsi="Arial" w:cs="Arial"/>
                <w:sz w:val="18"/>
                <w:szCs w:val="20"/>
                <w:lang w:eastAsia="es-CO"/>
              </w:rPr>
              <w:t>Equipo de cómputo y comunicación</w:t>
            </w:r>
          </w:p>
        </w:tc>
        <w:tc>
          <w:tcPr>
            <w:tcW w:w="1067" w:type="pct"/>
            <w:noWrap/>
            <w:vAlign w:val="center"/>
            <w:hideMark/>
          </w:tcPr>
          <w:p w14:paraId="198C881C" w14:textId="77777777" w:rsidR="00DD7A9E" w:rsidRPr="0009028A" w:rsidRDefault="00DD7A9E" w:rsidP="00DD7A9E">
            <w:pPr>
              <w:jc w:val="right"/>
              <w:rPr>
                <w:rFonts w:ascii="Arial" w:eastAsia="Times New Roman" w:hAnsi="Arial" w:cs="Arial"/>
                <w:sz w:val="18"/>
                <w:szCs w:val="20"/>
                <w:lang w:eastAsia="es-CO"/>
              </w:rPr>
            </w:pPr>
            <w:r w:rsidRPr="0009028A">
              <w:rPr>
                <w:rFonts w:ascii="Arial" w:eastAsia="Times New Roman" w:hAnsi="Arial" w:cs="Arial"/>
                <w:sz w:val="18"/>
                <w:szCs w:val="20"/>
                <w:lang w:eastAsia="es-CO"/>
              </w:rPr>
              <w:t>2 a 5</w:t>
            </w:r>
          </w:p>
        </w:tc>
      </w:tr>
      <w:tr w:rsidR="00DD7A9E" w:rsidRPr="0009028A" w14:paraId="2EC43247" w14:textId="77777777" w:rsidTr="00992EAB">
        <w:trPr>
          <w:trHeight w:val="283"/>
          <w:jc w:val="center"/>
        </w:trPr>
        <w:tc>
          <w:tcPr>
            <w:tcW w:w="3933" w:type="pct"/>
            <w:noWrap/>
            <w:vAlign w:val="center"/>
            <w:hideMark/>
          </w:tcPr>
          <w:p w14:paraId="3A28296D" w14:textId="77777777" w:rsidR="00DD7A9E" w:rsidRPr="0009028A" w:rsidRDefault="00DD7A9E" w:rsidP="00DD7A9E">
            <w:pPr>
              <w:rPr>
                <w:rFonts w:ascii="Arial" w:eastAsia="Times New Roman" w:hAnsi="Arial" w:cs="Arial"/>
                <w:sz w:val="18"/>
                <w:szCs w:val="20"/>
                <w:lang w:eastAsia="es-CO"/>
              </w:rPr>
            </w:pPr>
            <w:r w:rsidRPr="0009028A">
              <w:rPr>
                <w:rFonts w:ascii="Arial" w:eastAsia="Times New Roman" w:hAnsi="Arial" w:cs="Arial"/>
                <w:sz w:val="18"/>
                <w:szCs w:val="20"/>
                <w:lang w:eastAsia="es-CO"/>
              </w:rPr>
              <w:t xml:space="preserve">Flota y </w:t>
            </w:r>
            <w:r w:rsidR="00485DEA" w:rsidRPr="0009028A">
              <w:rPr>
                <w:rFonts w:ascii="Arial" w:eastAsia="Times New Roman" w:hAnsi="Arial" w:cs="Arial"/>
                <w:sz w:val="18"/>
                <w:szCs w:val="20"/>
                <w:lang w:eastAsia="es-CO"/>
              </w:rPr>
              <w:t xml:space="preserve">equipo </w:t>
            </w:r>
            <w:r w:rsidRPr="0009028A">
              <w:rPr>
                <w:rFonts w:ascii="Arial" w:eastAsia="Times New Roman" w:hAnsi="Arial" w:cs="Arial"/>
                <w:sz w:val="18"/>
                <w:szCs w:val="20"/>
                <w:lang w:eastAsia="es-CO"/>
              </w:rPr>
              <w:t xml:space="preserve">de </w:t>
            </w:r>
            <w:r w:rsidR="00485DEA" w:rsidRPr="0009028A">
              <w:rPr>
                <w:rFonts w:ascii="Arial" w:eastAsia="Times New Roman" w:hAnsi="Arial" w:cs="Arial"/>
                <w:sz w:val="18"/>
                <w:szCs w:val="20"/>
                <w:lang w:eastAsia="es-CO"/>
              </w:rPr>
              <w:t>transporte</w:t>
            </w:r>
          </w:p>
        </w:tc>
        <w:tc>
          <w:tcPr>
            <w:tcW w:w="1067" w:type="pct"/>
            <w:noWrap/>
            <w:vAlign w:val="center"/>
            <w:hideMark/>
          </w:tcPr>
          <w:p w14:paraId="31CA08E6" w14:textId="77777777" w:rsidR="00DD7A9E" w:rsidRPr="0009028A" w:rsidRDefault="00DD7A9E" w:rsidP="00DD7A9E">
            <w:pPr>
              <w:jc w:val="right"/>
              <w:rPr>
                <w:rFonts w:ascii="Arial" w:eastAsia="Times New Roman" w:hAnsi="Arial" w:cs="Arial"/>
                <w:sz w:val="18"/>
                <w:szCs w:val="20"/>
                <w:lang w:eastAsia="es-CO"/>
              </w:rPr>
            </w:pPr>
            <w:r w:rsidRPr="0009028A">
              <w:rPr>
                <w:rFonts w:ascii="Arial" w:eastAsia="Times New Roman" w:hAnsi="Arial" w:cs="Arial"/>
                <w:sz w:val="18"/>
                <w:szCs w:val="20"/>
                <w:lang w:eastAsia="es-CO"/>
              </w:rPr>
              <w:t>3 a 5</w:t>
            </w:r>
          </w:p>
        </w:tc>
      </w:tr>
    </w:tbl>
    <w:p w14:paraId="37C995A6" w14:textId="77777777" w:rsidR="00DD7A9E" w:rsidRPr="0009028A" w:rsidRDefault="00DD7A9E" w:rsidP="00DD7A9E">
      <w:pPr>
        <w:pStyle w:val="Prrafodelista"/>
        <w:widowControl w:val="0"/>
        <w:autoSpaceDE w:val="0"/>
        <w:autoSpaceDN w:val="0"/>
        <w:adjustRightInd w:val="0"/>
        <w:spacing w:before="240" w:line="240" w:lineRule="auto"/>
        <w:ind w:left="0"/>
        <w:jc w:val="both"/>
        <w:rPr>
          <w:rFonts w:ascii="Arial" w:hAnsi="Arial" w:cs="Arial"/>
          <w:sz w:val="20"/>
        </w:rPr>
      </w:pPr>
      <w:r w:rsidRPr="0009028A">
        <w:rPr>
          <w:rFonts w:ascii="Arial" w:hAnsi="Arial" w:cs="Arial"/>
          <w:sz w:val="20"/>
        </w:rPr>
        <w:t>Los métodos de depreciación, vidas útiles y valores residuales se revisarán a cada fecha de balance y se ajustarán si es necesario.</w:t>
      </w:r>
    </w:p>
    <w:p w14:paraId="5DC67F4F" w14:textId="77777777" w:rsidR="00DD7A9E" w:rsidRPr="0009028A" w:rsidRDefault="00DD7A9E" w:rsidP="00DD7A9E">
      <w:pPr>
        <w:pStyle w:val="Ttulo2"/>
        <w:spacing w:afterAutospacing="0"/>
        <w:rPr>
          <w:rFonts w:ascii="Arial" w:hAnsi="Arial" w:cs="Arial"/>
          <w:b w:val="0"/>
        </w:rPr>
      </w:pPr>
      <w:bookmarkStart w:id="135" w:name="_Toc6294454"/>
      <w:bookmarkStart w:id="136" w:name="_Toc6322792"/>
      <w:bookmarkStart w:id="137" w:name="_Toc8735059"/>
      <w:r w:rsidRPr="0009028A">
        <w:rPr>
          <w:rFonts w:ascii="Arial" w:hAnsi="Arial" w:cs="Arial"/>
          <w:b w:val="0"/>
        </w:rPr>
        <w:t>4.6. Activos intangibles</w:t>
      </w:r>
      <w:bookmarkEnd w:id="135"/>
      <w:bookmarkEnd w:id="136"/>
      <w:bookmarkEnd w:id="137"/>
    </w:p>
    <w:p w14:paraId="4C64646F" w14:textId="77777777" w:rsidR="00DD7A9E" w:rsidRPr="0009028A" w:rsidRDefault="00DD7A9E" w:rsidP="00DD7A9E">
      <w:pPr>
        <w:widowControl w:val="0"/>
        <w:autoSpaceDE w:val="0"/>
        <w:autoSpaceDN w:val="0"/>
        <w:adjustRightInd w:val="0"/>
        <w:spacing w:before="200" w:after="0" w:line="240" w:lineRule="auto"/>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Investigación y desarrollo</w:t>
      </w:r>
    </w:p>
    <w:p w14:paraId="426DE1FF" w14:textId="77777777" w:rsidR="00DD7A9E" w:rsidRPr="0009028A" w:rsidRDefault="00DD7A9E" w:rsidP="00DD7A9E">
      <w:pPr>
        <w:pStyle w:val="Prrafodelista"/>
        <w:widowControl w:val="0"/>
        <w:autoSpaceDE w:val="0"/>
        <w:autoSpaceDN w:val="0"/>
        <w:adjustRightInd w:val="0"/>
        <w:spacing w:before="240" w:line="240" w:lineRule="auto"/>
        <w:ind w:left="0"/>
        <w:contextualSpacing w:val="0"/>
        <w:jc w:val="both"/>
        <w:rPr>
          <w:rFonts w:ascii="Arial" w:hAnsi="Arial" w:cs="Arial"/>
          <w:sz w:val="20"/>
        </w:rPr>
      </w:pPr>
      <w:r w:rsidRPr="0009028A">
        <w:rPr>
          <w:rFonts w:ascii="Arial" w:hAnsi="Arial" w:cs="Arial"/>
          <w:sz w:val="20"/>
        </w:rPr>
        <w:t xml:space="preserve">No se reconocerán activos intangibles surgidos de la investigación; los gastos generados en la etapa de investigación serán registrados como gastos del periodo. </w:t>
      </w:r>
    </w:p>
    <w:p w14:paraId="0C83CE27" w14:textId="61ECA569" w:rsidR="00DD7A9E" w:rsidRPr="0009028A" w:rsidRDefault="00DD7A9E" w:rsidP="00DD7A9E">
      <w:pPr>
        <w:pStyle w:val="Prrafodelista"/>
        <w:widowControl w:val="0"/>
        <w:autoSpaceDE w:val="0"/>
        <w:autoSpaceDN w:val="0"/>
        <w:adjustRightInd w:val="0"/>
        <w:spacing w:before="240" w:line="240" w:lineRule="auto"/>
        <w:ind w:left="0"/>
        <w:contextualSpacing w:val="0"/>
        <w:jc w:val="both"/>
        <w:rPr>
          <w:rFonts w:ascii="Arial" w:hAnsi="Arial" w:cs="Arial"/>
          <w:sz w:val="20"/>
        </w:rPr>
      </w:pPr>
      <w:r w:rsidRPr="0009028A">
        <w:rPr>
          <w:rFonts w:ascii="Arial" w:hAnsi="Arial" w:cs="Arial"/>
          <w:sz w:val="20"/>
        </w:rPr>
        <w:t>Los desembolsos en actividades de desarrollo se capitalizan solo si los costos en desarrollo pueden estimarse con fiabilidad, el producto o proceso es viable técnica y comercialmente, si se obtienen posibles benef</w:t>
      </w:r>
      <w:r w:rsidR="00703DFE">
        <w:rPr>
          <w:rFonts w:ascii="Arial" w:hAnsi="Arial" w:cs="Arial"/>
          <w:sz w:val="20"/>
        </w:rPr>
        <w:t>icios económicos a futuro y la C</w:t>
      </w:r>
      <w:r w:rsidRPr="0009028A">
        <w:rPr>
          <w:rFonts w:ascii="Arial" w:hAnsi="Arial" w:cs="Arial"/>
          <w:sz w:val="20"/>
        </w:rPr>
        <w:t>ompañía pretende y posee suficientes recursos para completar el desarrollo y para usar o vender el activo. Serán capitalizables las asociaciones público privadas cuando se encuentren en la etapa de factibilidad.</w:t>
      </w:r>
    </w:p>
    <w:p w14:paraId="378871D4" w14:textId="77777777" w:rsidR="00DD7A9E" w:rsidRPr="0009028A" w:rsidRDefault="00DD7A9E" w:rsidP="00DD7A9E">
      <w:pPr>
        <w:pStyle w:val="Prrafodelista"/>
        <w:widowControl w:val="0"/>
        <w:autoSpaceDE w:val="0"/>
        <w:autoSpaceDN w:val="0"/>
        <w:adjustRightInd w:val="0"/>
        <w:spacing w:before="240" w:line="240" w:lineRule="auto"/>
        <w:ind w:left="0"/>
        <w:contextualSpacing w:val="0"/>
        <w:jc w:val="both"/>
        <w:rPr>
          <w:rFonts w:ascii="Arial" w:hAnsi="Arial" w:cs="Arial"/>
          <w:sz w:val="20"/>
        </w:rPr>
      </w:pPr>
      <w:r w:rsidRPr="0009028A">
        <w:rPr>
          <w:rFonts w:ascii="Arial" w:hAnsi="Arial" w:cs="Arial"/>
          <w:sz w:val="20"/>
        </w:rPr>
        <w:t>Las iniciativas de asociación público privadas (APP), se asemejan en su tratamiento al de un activo intangible de</w:t>
      </w:r>
      <w:r w:rsidR="00485DEA" w:rsidRPr="0009028A">
        <w:rPr>
          <w:rFonts w:ascii="Arial" w:hAnsi="Arial" w:cs="Arial"/>
          <w:sz w:val="20"/>
        </w:rPr>
        <w:t xml:space="preserve"> </w:t>
      </w:r>
      <w:r w:rsidRPr="0009028A">
        <w:rPr>
          <w:rFonts w:ascii="Arial" w:hAnsi="Arial" w:cs="Arial"/>
          <w:sz w:val="20"/>
        </w:rPr>
        <w:t>acuerdo a la NIC 38; constituyen 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 Su estructuración se realiza mediante dos etapas relevantes, a saber:</w:t>
      </w:r>
    </w:p>
    <w:p w14:paraId="0883ACAF" w14:textId="77777777" w:rsidR="00DD7A9E" w:rsidRPr="0009028A" w:rsidRDefault="00DD7A9E" w:rsidP="00835247">
      <w:pPr>
        <w:pStyle w:val="Prrafodelista"/>
        <w:widowControl w:val="0"/>
        <w:numPr>
          <w:ilvl w:val="0"/>
          <w:numId w:val="4"/>
        </w:numPr>
        <w:autoSpaceDE w:val="0"/>
        <w:autoSpaceDN w:val="0"/>
        <w:adjustRightInd w:val="0"/>
        <w:spacing w:before="240" w:after="240" w:line="240" w:lineRule="auto"/>
        <w:ind w:left="0" w:firstLine="0"/>
        <w:contextualSpacing w:val="0"/>
        <w:jc w:val="both"/>
        <w:rPr>
          <w:rFonts w:ascii="Arial" w:hAnsi="Arial" w:cs="Arial"/>
          <w:sz w:val="20"/>
        </w:rPr>
      </w:pPr>
      <w:r w:rsidRPr="0009028A">
        <w:rPr>
          <w:rFonts w:ascii="Arial" w:hAnsi="Arial" w:cs="Arial"/>
          <w:sz w:val="20"/>
        </w:rPr>
        <w:t>Etapa de Pre-factibilidad:</w:t>
      </w:r>
    </w:p>
    <w:p w14:paraId="3E8460CF" w14:textId="77777777" w:rsidR="00DD7A9E" w:rsidRPr="0009028A" w:rsidRDefault="00DD7A9E" w:rsidP="00DD7A9E">
      <w:pPr>
        <w:pStyle w:val="Prrafodelista"/>
        <w:widowControl w:val="0"/>
        <w:autoSpaceDE w:val="0"/>
        <w:autoSpaceDN w:val="0"/>
        <w:adjustRightInd w:val="0"/>
        <w:spacing w:line="240" w:lineRule="auto"/>
        <w:ind w:left="0"/>
        <w:contextualSpacing w:val="0"/>
        <w:jc w:val="both"/>
        <w:rPr>
          <w:rFonts w:ascii="Arial" w:hAnsi="Arial" w:cs="Arial"/>
          <w:sz w:val="20"/>
        </w:rPr>
      </w:pPr>
      <w:r w:rsidRPr="0009028A">
        <w:rPr>
          <w:rFonts w:ascii="Arial" w:hAnsi="Arial" w:cs="Arial"/>
          <w:sz w:val="20"/>
        </w:rPr>
        <w:t>Corresponde al planteamiento de la idea de negocio a la entidad estatal, en la que el particular deberá señalar claramente la descripción del proyecto (diseño, alcance, estudios, especificaciones, costo estimado y fuentes de financiación). Una vez presentada la iniciativa por el particular, la entidad estatal (ANI) tendrá 3 meses para determinar la viabilidad del proyecto para continuar con la etapa de factibilidad. Lo anterior no implica aún ninguna obligación por parte de la entidad estatal en favor del particular; es decir, la aprobación para pasar a factibilidad no implica la aceptación del proyecto por parte del Estado. Los gastos generados en la etapa de pre-factibilidad se registrarán en resultados.</w:t>
      </w:r>
    </w:p>
    <w:p w14:paraId="7782B79E" w14:textId="77777777" w:rsidR="00DD7A9E" w:rsidRPr="0009028A" w:rsidRDefault="00DD7A9E" w:rsidP="00835247">
      <w:pPr>
        <w:pStyle w:val="Prrafodelista"/>
        <w:numPr>
          <w:ilvl w:val="0"/>
          <w:numId w:val="5"/>
        </w:numPr>
        <w:spacing w:after="240" w:line="240" w:lineRule="auto"/>
        <w:ind w:left="0" w:firstLine="0"/>
        <w:rPr>
          <w:rFonts w:ascii="Arial" w:hAnsi="Arial" w:cs="Arial"/>
          <w:sz w:val="20"/>
        </w:rPr>
      </w:pPr>
      <w:r w:rsidRPr="0009028A">
        <w:rPr>
          <w:rFonts w:ascii="Arial" w:hAnsi="Arial" w:cs="Arial"/>
          <w:sz w:val="20"/>
        </w:rPr>
        <w:t>Etapa de Factibilidad:</w:t>
      </w:r>
    </w:p>
    <w:p w14:paraId="6CCB211B" w14:textId="77777777" w:rsidR="00DD7A9E" w:rsidRPr="0009028A" w:rsidRDefault="00DD7A9E" w:rsidP="00DD7A9E">
      <w:pPr>
        <w:pStyle w:val="Prrafodelista"/>
        <w:spacing w:after="240" w:line="240" w:lineRule="auto"/>
        <w:ind w:left="0"/>
        <w:rPr>
          <w:rFonts w:ascii="Arial" w:hAnsi="Arial" w:cs="Arial"/>
          <w:sz w:val="20"/>
        </w:rPr>
      </w:pPr>
    </w:p>
    <w:p w14:paraId="47C1FAA0" w14:textId="77777777" w:rsidR="00DD7A9E" w:rsidRPr="0009028A" w:rsidRDefault="00DD7A9E" w:rsidP="00DD7A9E">
      <w:pPr>
        <w:pStyle w:val="Prrafodelista"/>
        <w:widowControl w:val="0"/>
        <w:autoSpaceDE w:val="0"/>
        <w:autoSpaceDN w:val="0"/>
        <w:adjustRightInd w:val="0"/>
        <w:spacing w:line="240" w:lineRule="auto"/>
        <w:ind w:left="0"/>
        <w:contextualSpacing w:val="0"/>
        <w:jc w:val="both"/>
        <w:rPr>
          <w:rFonts w:ascii="Arial" w:hAnsi="Arial" w:cs="Arial"/>
          <w:sz w:val="20"/>
        </w:rPr>
      </w:pPr>
      <w:r w:rsidRPr="0009028A">
        <w:rPr>
          <w:rFonts w:ascii="Arial" w:hAnsi="Arial" w:cs="Arial"/>
          <w:sz w:val="20"/>
        </w:rPr>
        <w:t>Una vez aceptada la idea en la etapa de prefactibilidad, se estructuran ciertas características del proyecto, incluyendo el modelo financiero, la descripción de las fases y duración del proyecto, los estudios de impacto (ambiental, económico y social), y los estudios de factibilidad (técnica, financiera y jurídica). Los costos incurridos en la etapa de factibilidad son capitalizados como activos intangibles.</w:t>
      </w:r>
    </w:p>
    <w:p w14:paraId="77B8A2AA" w14:textId="77777777" w:rsidR="00DD7A9E" w:rsidRPr="0009028A" w:rsidRDefault="00DD7A9E" w:rsidP="00DD7A9E">
      <w:pPr>
        <w:widowControl w:val="0"/>
        <w:autoSpaceDE w:val="0"/>
        <w:autoSpaceDN w:val="0"/>
        <w:adjustRightInd w:val="0"/>
        <w:spacing w:before="200" w:after="0" w:line="240" w:lineRule="auto"/>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Programas Informáticos o Licencias</w:t>
      </w:r>
    </w:p>
    <w:p w14:paraId="01454C19" w14:textId="77777777" w:rsidR="00DD7A9E" w:rsidRPr="0009028A" w:rsidRDefault="00DD7A9E" w:rsidP="00DD7A9E">
      <w:pPr>
        <w:pStyle w:val="Prrafodelista"/>
        <w:widowControl w:val="0"/>
        <w:autoSpaceDE w:val="0"/>
        <w:autoSpaceDN w:val="0"/>
        <w:adjustRightInd w:val="0"/>
        <w:spacing w:before="200" w:line="240" w:lineRule="auto"/>
        <w:ind w:left="0"/>
        <w:contextualSpacing w:val="0"/>
        <w:jc w:val="both"/>
        <w:rPr>
          <w:rFonts w:ascii="Arial" w:hAnsi="Arial" w:cs="Arial"/>
          <w:sz w:val="20"/>
        </w:rPr>
      </w:pPr>
      <w:r w:rsidRPr="0009028A">
        <w:rPr>
          <w:rFonts w:ascii="Arial" w:hAnsi="Arial" w:cs="Arial"/>
          <w:sz w:val="20"/>
        </w:rPr>
        <w:t xml:space="preserve">Las licencias para programas informáticos adquiridas, se capitalizan sobre la base de los costos en que se ha incurrido para adquirirlas y prepararlas para usar el programa específico. Estos costos se amortizan durante sus vidas útiles estimadas. Los gastos relacionados con el desarrollo o mantenimiento de programas informáticos se reconocen como gasto cuando se incurren en ellos. </w:t>
      </w:r>
    </w:p>
    <w:p w14:paraId="5A8503C4" w14:textId="77777777" w:rsidR="00DD7A9E" w:rsidRPr="0009028A" w:rsidRDefault="00DD7A9E" w:rsidP="00DD7A9E">
      <w:pPr>
        <w:widowControl w:val="0"/>
        <w:autoSpaceDE w:val="0"/>
        <w:autoSpaceDN w:val="0"/>
        <w:adjustRightInd w:val="0"/>
        <w:spacing w:before="200" w:after="0" w:line="240" w:lineRule="auto"/>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Desembolsos posteriores</w:t>
      </w:r>
    </w:p>
    <w:p w14:paraId="3BEE683F" w14:textId="77777777" w:rsidR="00DD7A9E" w:rsidRDefault="00DD7A9E" w:rsidP="00DD7A9E">
      <w:pPr>
        <w:pStyle w:val="Prrafodelista"/>
        <w:widowControl w:val="0"/>
        <w:autoSpaceDE w:val="0"/>
        <w:autoSpaceDN w:val="0"/>
        <w:adjustRightInd w:val="0"/>
        <w:spacing w:before="200" w:line="240" w:lineRule="auto"/>
        <w:ind w:left="0"/>
        <w:contextualSpacing w:val="0"/>
        <w:jc w:val="both"/>
        <w:rPr>
          <w:rFonts w:ascii="Arial" w:hAnsi="Arial" w:cs="Arial"/>
          <w:sz w:val="20"/>
        </w:rPr>
      </w:pPr>
      <w:r w:rsidRPr="0009028A">
        <w:rPr>
          <w:rFonts w:ascii="Arial" w:hAnsi="Arial" w:cs="Arial"/>
          <w:sz w:val="20"/>
        </w:rPr>
        <w:t>Los desembolsos posteriores son capitalizados sólo cuando aumentan los beneficios económicos futuros incorporados en el activo específico relacionado con dichos desembolsos. Todos los otros desembolsos, incluyendo los desembolsos para generar internamente plusvalías y marcas, son reconocidos en resultados cuando se incurren.</w:t>
      </w:r>
    </w:p>
    <w:p w14:paraId="497E778E" w14:textId="77777777" w:rsidR="00A87633" w:rsidRPr="0009028A" w:rsidRDefault="00A87633" w:rsidP="00DD7A9E">
      <w:pPr>
        <w:pStyle w:val="Prrafodelista"/>
        <w:widowControl w:val="0"/>
        <w:autoSpaceDE w:val="0"/>
        <w:autoSpaceDN w:val="0"/>
        <w:adjustRightInd w:val="0"/>
        <w:spacing w:before="200" w:line="240" w:lineRule="auto"/>
        <w:ind w:left="0"/>
        <w:contextualSpacing w:val="0"/>
        <w:jc w:val="both"/>
        <w:rPr>
          <w:rFonts w:ascii="Arial" w:hAnsi="Arial" w:cs="Arial"/>
          <w:sz w:val="20"/>
        </w:rPr>
      </w:pPr>
    </w:p>
    <w:p w14:paraId="4422095C" w14:textId="77777777" w:rsidR="00DD7A9E" w:rsidRPr="0009028A" w:rsidRDefault="00DD7A9E" w:rsidP="00DD7A9E">
      <w:pPr>
        <w:widowControl w:val="0"/>
        <w:autoSpaceDE w:val="0"/>
        <w:autoSpaceDN w:val="0"/>
        <w:adjustRightInd w:val="0"/>
        <w:spacing w:before="200" w:after="0" w:line="240" w:lineRule="auto"/>
        <w:jc w:val="both"/>
        <w:rPr>
          <w:rFonts w:ascii="Arial" w:eastAsiaTheme="majorEastAsia" w:hAnsi="Arial" w:cs="Arial"/>
          <w:b/>
          <w:color w:val="002060"/>
          <w:sz w:val="20"/>
          <w:szCs w:val="20"/>
        </w:rPr>
      </w:pPr>
      <w:r w:rsidRPr="0009028A">
        <w:rPr>
          <w:rFonts w:ascii="Arial" w:eastAsiaTheme="majorEastAsia" w:hAnsi="Arial" w:cs="Arial"/>
          <w:b/>
          <w:color w:val="002060"/>
          <w:sz w:val="20"/>
          <w:szCs w:val="20"/>
        </w:rPr>
        <w:t>Amortización</w:t>
      </w:r>
    </w:p>
    <w:p w14:paraId="68CDEB68" w14:textId="77777777" w:rsidR="00DD7A9E" w:rsidRPr="0009028A" w:rsidRDefault="00DD7A9E" w:rsidP="00DD7A9E">
      <w:pPr>
        <w:pStyle w:val="Prrafodelista"/>
        <w:widowControl w:val="0"/>
        <w:autoSpaceDE w:val="0"/>
        <w:autoSpaceDN w:val="0"/>
        <w:adjustRightInd w:val="0"/>
        <w:spacing w:before="200" w:line="240" w:lineRule="auto"/>
        <w:ind w:left="0"/>
        <w:contextualSpacing w:val="0"/>
        <w:jc w:val="both"/>
        <w:rPr>
          <w:rFonts w:ascii="Arial" w:hAnsi="Arial" w:cs="Arial"/>
          <w:sz w:val="20"/>
        </w:rPr>
      </w:pPr>
      <w:r w:rsidRPr="0009028A">
        <w:rPr>
          <w:rFonts w:ascii="Arial" w:hAnsi="Arial" w:cs="Arial"/>
          <w:sz w:val="20"/>
        </w:rPr>
        <w:t xml:space="preserve">La amortización se calcula sobre el costo del activo, menos su valor residual, utilizando el método de la línea recta sobre la vida útil estimada, y se reconoce en el resultado. </w:t>
      </w:r>
    </w:p>
    <w:p w14:paraId="3ECCDE95" w14:textId="77777777" w:rsidR="00DD7A9E" w:rsidRPr="0009028A" w:rsidRDefault="00DD7A9E" w:rsidP="00DD7A9E">
      <w:pPr>
        <w:pStyle w:val="Prrafodelista"/>
        <w:widowControl w:val="0"/>
        <w:autoSpaceDE w:val="0"/>
        <w:autoSpaceDN w:val="0"/>
        <w:adjustRightInd w:val="0"/>
        <w:spacing w:before="200" w:line="240" w:lineRule="auto"/>
        <w:ind w:left="0"/>
        <w:contextualSpacing w:val="0"/>
        <w:jc w:val="both"/>
        <w:rPr>
          <w:rFonts w:ascii="Arial" w:hAnsi="Arial" w:cs="Arial"/>
          <w:sz w:val="20"/>
        </w:rPr>
      </w:pPr>
      <w:r w:rsidRPr="0009028A">
        <w:rPr>
          <w:rFonts w:ascii="Arial" w:hAnsi="Arial" w:cs="Arial"/>
          <w:sz w:val="20"/>
        </w:rPr>
        <w:t>La vida útil estimada es como sigue:</w:t>
      </w:r>
    </w:p>
    <w:tbl>
      <w:tblPr>
        <w:tblStyle w:val="Cuadrculadetablaclara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3"/>
        <w:gridCol w:w="3308"/>
      </w:tblGrid>
      <w:tr w:rsidR="00DD7A9E" w:rsidRPr="0009028A" w14:paraId="112537E6" w14:textId="77777777" w:rsidTr="00992EAB">
        <w:trPr>
          <w:trHeight w:val="283"/>
          <w:jc w:val="center"/>
        </w:trPr>
        <w:tc>
          <w:tcPr>
            <w:tcW w:w="3333" w:type="pct"/>
            <w:shd w:val="clear" w:color="auto" w:fill="auto"/>
            <w:noWrap/>
            <w:vAlign w:val="center"/>
            <w:hideMark/>
          </w:tcPr>
          <w:p w14:paraId="5483BFE3" w14:textId="77777777" w:rsidR="00DD7A9E" w:rsidRPr="0009028A" w:rsidRDefault="00DD7A9E" w:rsidP="00DD7A9E">
            <w:pPr>
              <w:jc w:val="center"/>
              <w:rPr>
                <w:rFonts w:ascii="Arial" w:eastAsia="Times New Roman" w:hAnsi="Arial" w:cs="Arial"/>
                <w:b/>
                <w:sz w:val="18"/>
                <w:szCs w:val="20"/>
                <w:lang w:eastAsia="es-CO"/>
              </w:rPr>
            </w:pPr>
            <w:r w:rsidRPr="0009028A">
              <w:rPr>
                <w:rFonts w:ascii="Arial" w:eastAsia="Times New Roman" w:hAnsi="Arial" w:cs="Arial"/>
                <w:b/>
                <w:sz w:val="18"/>
                <w:szCs w:val="20"/>
                <w:lang w:eastAsia="es-CO"/>
              </w:rPr>
              <w:t>Clasificación</w:t>
            </w:r>
          </w:p>
        </w:tc>
        <w:tc>
          <w:tcPr>
            <w:tcW w:w="1667" w:type="pct"/>
            <w:shd w:val="clear" w:color="auto" w:fill="auto"/>
            <w:noWrap/>
            <w:vAlign w:val="center"/>
            <w:hideMark/>
          </w:tcPr>
          <w:p w14:paraId="5D65456C" w14:textId="77777777" w:rsidR="00DD7A9E" w:rsidRPr="0009028A" w:rsidRDefault="00DD7A9E" w:rsidP="00DD7A9E">
            <w:pPr>
              <w:jc w:val="center"/>
              <w:rPr>
                <w:rFonts w:ascii="Arial" w:eastAsia="Times New Roman" w:hAnsi="Arial" w:cs="Arial"/>
                <w:b/>
                <w:sz w:val="18"/>
                <w:szCs w:val="20"/>
                <w:lang w:eastAsia="es-CO"/>
              </w:rPr>
            </w:pPr>
            <w:r w:rsidRPr="0009028A">
              <w:rPr>
                <w:rFonts w:ascii="Arial" w:eastAsia="Times New Roman" w:hAnsi="Arial" w:cs="Arial"/>
                <w:b/>
                <w:sz w:val="18"/>
                <w:szCs w:val="20"/>
                <w:lang w:eastAsia="es-CO"/>
              </w:rPr>
              <w:t>Vida útil</w:t>
            </w:r>
            <w:r w:rsidR="00710F32" w:rsidRPr="0009028A">
              <w:rPr>
                <w:rFonts w:ascii="Arial" w:eastAsia="Times New Roman" w:hAnsi="Arial" w:cs="Arial"/>
                <w:b/>
                <w:sz w:val="18"/>
                <w:szCs w:val="20"/>
                <w:lang w:eastAsia="es-CO"/>
              </w:rPr>
              <w:t xml:space="preserve"> (años)</w:t>
            </w:r>
          </w:p>
        </w:tc>
      </w:tr>
      <w:tr w:rsidR="00DD7A9E" w:rsidRPr="0009028A" w14:paraId="2A9346AD" w14:textId="77777777" w:rsidTr="00992EAB">
        <w:trPr>
          <w:trHeight w:val="283"/>
          <w:jc w:val="center"/>
        </w:trPr>
        <w:tc>
          <w:tcPr>
            <w:tcW w:w="3333" w:type="pct"/>
            <w:noWrap/>
            <w:vAlign w:val="center"/>
            <w:hideMark/>
          </w:tcPr>
          <w:p w14:paraId="5BDE291A" w14:textId="77777777" w:rsidR="00DD7A9E" w:rsidRPr="0009028A" w:rsidRDefault="00DD7A9E" w:rsidP="00DD7A9E">
            <w:pPr>
              <w:rPr>
                <w:rFonts w:ascii="Arial" w:eastAsia="Times New Roman" w:hAnsi="Arial" w:cs="Arial"/>
                <w:sz w:val="18"/>
                <w:szCs w:val="20"/>
                <w:lang w:eastAsia="es-CO"/>
              </w:rPr>
            </w:pPr>
            <w:r w:rsidRPr="0009028A">
              <w:rPr>
                <w:rFonts w:ascii="Arial" w:eastAsia="Times New Roman" w:hAnsi="Arial" w:cs="Arial"/>
                <w:sz w:val="18"/>
                <w:szCs w:val="20"/>
                <w:lang w:eastAsia="es-CO"/>
              </w:rPr>
              <w:t>Licencias y software</w:t>
            </w:r>
          </w:p>
        </w:tc>
        <w:tc>
          <w:tcPr>
            <w:tcW w:w="1667" w:type="pct"/>
            <w:noWrap/>
            <w:vAlign w:val="center"/>
            <w:hideMark/>
          </w:tcPr>
          <w:p w14:paraId="74DBAD46" w14:textId="77777777" w:rsidR="00DD7A9E" w:rsidRPr="0009028A" w:rsidRDefault="00DD7A9E" w:rsidP="00710F32">
            <w:pPr>
              <w:jc w:val="center"/>
              <w:rPr>
                <w:rFonts w:ascii="Arial" w:eastAsia="Times New Roman" w:hAnsi="Arial" w:cs="Arial"/>
                <w:sz w:val="18"/>
                <w:szCs w:val="20"/>
                <w:lang w:eastAsia="es-CO"/>
              </w:rPr>
            </w:pPr>
            <w:r w:rsidRPr="0009028A">
              <w:rPr>
                <w:rFonts w:ascii="Arial" w:eastAsia="Times New Roman" w:hAnsi="Arial" w:cs="Arial"/>
                <w:sz w:val="18"/>
                <w:szCs w:val="20"/>
                <w:lang w:eastAsia="es-CO"/>
              </w:rPr>
              <w:t>3</w:t>
            </w:r>
            <w:r w:rsidR="00710F32" w:rsidRPr="0009028A">
              <w:rPr>
                <w:rFonts w:ascii="Arial" w:eastAsia="Times New Roman" w:hAnsi="Arial" w:cs="Arial"/>
                <w:sz w:val="18"/>
                <w:szCs w:val="20"/>
                <w:lang w:eastAsia="es-CO"/>
              </w:rPr>
              <w:t xml:space="preserve"> </w:t>
            </w:r>
            <w:r w:rsidRPr="0009028A">
              <w:rPr>
                <w:rFonts w:ascii="Arial" w:eastAsia="Times New Roman" w:hAnsi="Arial" w:cs="Arial"/>
                <w:sz w:val="18"/>
                <w:szCs w:val="20"/>
                <w:lang w:eastAsia="es-CO"/>
              </w:rPr>
              <w:t xml:space="preserve">– 10 </w:t>
            </w:r>
          </w:p>
        </w:tc>
      </w:tr>
      <w:tr w:rsidR="00DD7A9E" w:rsidRPr="0009028A" w14:paraId="64509581" w14:textId="77777777" w:rsidTr="00992EAB">
        <w:trPr>
          <w:trHeight w:val="283"/>
          <w:jc w:val="center"/>
        </w:trPr>
        <w:tc>
          <w:tcPr>
            <w:tcW w:w="3333" w:type="pct"/>
            <w:noWrap/>
            <w:vAlign w:val="center"/>
          </w:tcPr>
          <w:p w14:paraId="6F0B1238" w14:textId="77777777" w:rsidR="00DD7A9E" w:rsidRPr="0009028A" w:rsidRDefault="00DD7A9E" w:rsidP="00DD7A9E">
            <w:pPr>
              <w:rPr>
                <w:rFonts w:ascii="Arial" w:eastAsia="Times New Roman" w:hAnsi="Arial" w:cs="Arial"/>
                <w:sz w:val="18"/>
                <w:szCs w:val="20"/>
                <w:lang w:eastAsia="es-CO"/>
              </w:rPr>
            </w:pPr>
            <w:r w:rsidRPr="0009028A">
              <w:rPr>
                <w:rFonts w:ascii="Arial" w:eastAsia="Times New Roman" w:hAnsi="Arial" w:cs="Arial"/>
                <w:sz w:val="18"/>
                <w:szCs w:val="20"/>
                <w:lang w:eastAsia="es-CO"/>
              </w:rPr>
              <w:t xml:space="preserve">Costos de </w:t>
            </w:r>
            <w:r w:rsidR="00485DEA" w:rsidRPr="0009028A">
              <w:rPr>
                <w:rFonts w:ascii="Arial" w:eastAsia="Times New Roman" w:hAnsi="Arial" w:cs="Arial"/>
                <w:sz w:val="18"/>
                <w:szCs w:val="20"/>
                <w:lang w:eastAsia="es-CO"/>
              </w:rPr>
              <w:t xml:space="preserve">desarrollo capitalizados </w:t>
            </w:r>
          </w:p>
        </w:tc>
        <w:tc>
          <w:tcPr>
            <w:tcW w:w="1667" w:type="pct"/>
            <w:noWrap/>
            <w:vAlign w:val="center"/>
          </w:tcPr>
          <w:p w14:paraId="16C6D11A" w14:textId="77777777" w:rsidR="00DD7A9E" w:rsidRPr="0009028A" w:rsidRDefault="00DD7A9E" w:rsidP="00710F32">
            <w:pPr>
              <w:jc w:val="center"/>
              <w:rPr>
                <w:rFonts w:ascii="Arial" w:eastAsia="Times New Roman" w:hAnsi="Arial" w:cs="Arial"/>
                <w:sz w:val="18"/>
                <w:szCs w:val="20"/>
                <w:lang w:eastAsia="es-CO"/>
              </w:rPr>
            </w:pPr>
            <w:r w:rsidRPr="0009028A">
              <w:rPr>
                <w:rFonts w:ascii="Arial" w:eastAsia="Times New Roman" w:hAnsi="Arial" w:cs="Arial"/>
                <w:sz w:val="18"/>
                <w:szCs w:val="20"/>
                <w:lang w:eastAsia="es-CO"/>
              </w:rPr>
              <w:t xml:space="preserve">1 </w:t>
            </w:r>
          </w:p>
        </w:tc>
      </w:tr>
    </w:tbl>
    <w:p w14:paraId="02846583" w14:textId="77777777" w:rsidR="00DD7A9E" w:rsidRPr="0009028A" w:rsidRDefault="00DD7A9E" w:rsidP="00DD7A9E">
      <w:pPr>
        <w:widowControl w:val="0"/>
        <w:autoSpaceDE w:val="0"/>
        <w:autoSpaceDN w:val="0"/>
        <w:adjustRightInd w:val="0"/>
        <w:spacing w:before="200" w:after="0" w:line="240" w:lineRule="auto"/>
        <w:jc w:val="both"/>
        <w:rPr>
          <w:rFonts w:ascii="Arial" w:hAnsi="Arial" w:cs="Arial"/>
          <w:sz w:val="20"/>
        </w:rPr>
      </w:pPr>
      <w:r w:rsidRPr="0009028A">
        <w:rPr>
          <w:rFonts w:ascii="Arial" w:hAnsi="Arial" w:cs="Arial"/>
          <w:sz w:val="20"/>
        </w:rPr>
        <w:t xml:space="preserve">Con respecto al intangible surgido por los acuerdos de concesión ver política </w:t>
      </w:r>
      <w:r w:rsidR="00710F32" w:rsidRPr="0009028A">
        <w:rPr>
          <w:rFonts w:ascii="Arial" w:hAnsi="Arial" w:cs="Arial"/>
          <w:sz w:val="20"/>
        </w:rPr>
        <w:t>4</w:t>
      </w:r>
      <w:r w:rsidRPr="0009028A">
        <w:rPr>
          <w:rFonts w:ascii="Arial" w:hAnsi="Arial" w:cs="Arial"/>
          <w:sz w:val="20"/>
        </w:rPr>
        <w:t>.8.</w:t>
      </w:r>
    </w:p>
    <w:p w14:paraId="2C36F86E" w14:textId="77777777" w:rsidR="00DD7A9E" w:rsidRPr="0009028A" w:rsidRDefault="00DD7A9E" w:rsidP="00DD7A9E">
      <w:pPr>
        <w:widowControl w:val="0"/>
        <w:autoSpaceDE w:val="0"/>
        <w:autoSpaceDN w:val="0"/>
        <w:adjustRightInd w:val="0"/>
        <w:spacing w:before="200" w:after="0" w:line="240" w:lineRule="auto"/>
        <w:jc w:val="both"/>
        <w:rPr>
          <w:rFonts w:ascii="Arial" w:hAnsi="Arial" w:cs="Arial"/>
          <w:sz w:val="20"/>
        </w:rPr>
      </w:pPr>
    </w:p>
    <w:p w14:paraId="57171A13" w14:textId="29859E83" w:rsidR="00DD7A9E" w:rsidRPr="0009028A" w:rsidRDefault="00DD7A9E" w:rsidP="00DD7A9E">
      <w:pPr>
        <w:pStyle w:val="Ttulo2"/>
        <w:spacing w:afterAutospacing="0"/>
        <w:rPr>
          <w:rFonts w:ascii="Arial" w:hAnsi="Arial" w:cs="Arial"/>
          <w:b w:val="0"/>
        </w:rPr>
      </w:pPr>
      <w:bookmarkStart w:id="138" w:name="_Toc6294456"/>
      <w:bookmarkStart w:id="139" w:name="_Toc6322794"/>
      <w:bookmarkStart w:id="140" w:name="_Toc8735060"/>
      <w:r w:rsidRPr="0009028A">
        <w:rPr>
          <w:rFonts w:ascii="Arial" w:hAnsi="Arial" w:cs="Arial"/>
          <w:b w:val="0"/>
        </w:rPr>
        <w:t>4.</w:t>
      </w:r>
      <w:r w:rsidR="00153F59">
        <w:rPr>
          <w:rFonts w:ascii="Arial" w:hAnsi="Arial" w:cs="Arial"/>
          <w:b w:val="0"/>
        </w:rPr>
        <w:t>7</w:t>
      </w:r>
      <w:r w:rsidRPr="0009028A">
        <w:rPr>
          <w:rFonts w:ascii="Arial" w:hAnsi="Arial" w:cs="Arial"/>
          <w:b w:val="0"/>
        </w:rPr>
        <w:t>. Acuerdo de concesión</w:t>
      </w:r>
      <w:bookmarkEnd w:id="138"/>
      <w:bookmarkEnd w:id="139"/>
      <w:bookmarkEnd w:id="140"/>
    </w:p>
    <w:p w14:paraId="2C503813" w14:textId="66ED5B29" w:rsidR="00DD7A9E" w:rsidRPr="0009028A" w:rsidRDefault="00DD7A9E" w:rsidP="00DD7A9E">
      <w:pPr>
        <w:widowControl w:val="0"/>
        <w:autoSpaceDE w:val="0"/>
        <w:autoSpaceDN w:val="0"/>
        <w:adjustRightInd w:val="0"/>
        <w:spacing w:before="200" w:after="0" w:line="240" w:lineRule="auto"/>
        <w:jc w:val="both"/>
        <w:rPr>
          <w:rFonts w:ascii="Arial" w:hAnsi="Arial" w:cs="Arial"/>
          <w:sz w:val="20"/>
        </w:rPr>
      </w:pPr>
      <w:r w:rsidRPr="0009028A">
        <w:rPr>
          <w:rFonts w:ascii="Arial" w:hAnsi="Arial" w:cs="Arial"/>
          <w:sz w:val="20"/>
        </w:rPr>
        <w:t>Las concesiones están dentro del alcance de CINIIF 12 “Acuerdos de concesión de servicios”. Esta interpretación requiere que la inversión en infraestructura pública no sea contabilizada bajo el rubro propiedad</w:t>
      </w:r>
      <w:r w:rsidR="00450B39">
        <w:rPr>
          <w:rFonts w:ascii="Arial" w:hAnsi="Arial" w:cs="Arial"/>
          <w:sz w:val="20"/>
        </w:rPr>
        <w:t>es</w:t>
      </w:r>
      <w:r w:rsidRPr="0009028A">
        <w:rPr>
          <w:rFonts w:ascii="Arial" w:hAnsi="Arial" w:cs="Arial"/>
          <w:sz w:val="20"/>
        </w:rPr>
        <w:t xml:space="preserve">, planta y equipo del operador, sino como un activo financiero, un intangible o una combinación de ambos, según corresponda. </w:t>
      </w:r>
    </w:p>
    <w:p w14:paraId="1C83FD55" w14:textId="38AFC488" w:rsidR="00DD7A9E" w:rsidRPr="0009028A" w:rsidRDefault="00DD7A9E" w:rsidP="00DD7A9E">
      <w:pPr>
        <w:widowControl w:val="0"/>
        <w:autoSpaceDE w:val="0"/>
        <w:autoSpaceDN w:val="0"/>
        <w:adjustRightInd w:val="0"/>
        <w:spacing w:before="200" w:after="0" w:line="240" w:lineRule="auto"/>
        <w:jc w:val="both"/>
        <w:rPr>
          <w:rFonts w:ascii="Arial" w:hAnsi="Arial" w:cs="Arial"/>
          <w:sz w:val="20"/>
        </w:rPr>
      </w:pPr>
      <w:r w:rsidRPr="0009028A">
        <w:rPr>
          <w:rFonts w:ascii="Arial" w:hAnsi="Arial" w:cs="Arial"/>
          <w:sz w:val="20"/>
        </w:rPr>
        <w:t>La administración concluyó que, dadas las características</w:t>
      </w:r>
      <w:r w:rsidR="00450B39">
        <w:rPr>
          <w:rFonts w:ascii="Arial" w:hAnsi="Arial" w:cs="Arial"/>
          <w:sz w:val="20"/>
        </w:rPr>
        <w:t xml:space="preserve"> de los acuerdos de concesión, l</w:t>
      </w:r>
      <w:r w:rsidRPr="0009028A">
        <w:rPr>
          <w:rFonts w:ascii="Arial" w:hAnsi="Arial" w:cs="Arial"/>
          <w:sz w:val="20"/>
        </w:rPr>
        <w:t xml:space="preserve">a Compañía posee activos de ambas naturalezas; </w:t>
      </w:r>
    </w:p>
    <w:p w14:paraId="0E9A63D9" w14:textId="77777777" w:rsidR="00DD7A9E" w:rsidRPr="0009028A" w:rsidRDefault="00DD7A9E" w:rsidP="00835247">
      <w:pPr>
        <w:pStyle w:val="Prrafodelista"/>
        <w:widowControl w:val="0"/>
        <w:numPr>
          <w:ilvl w:val="0"/>
          <w:numId w:val="16"/>
        </w:numPr>
        <w:autoSpaceDE w:val="0"/>
        <w:autoSpaceDN w:val="0"/>
        <w:adjustRightInd w:val="0"/>
        <w:spacing w:before="200" w:after="0" w:line="240" w:lineRule="auto"/>
        <w:ind w:left="567" w:hanging="567"/>
        <w:jc w:val="both"/>
        <w:rPr>
          <w:rFonts w:ascii="Arial" w:hAnsi="Arial" w:cs="Arial"/>
          <w:sz w:val="20"/>
        </w:rPr>
      </w:pPr>
      <w:r w:rsidRPr="0009028A">
        <w:rPr>
          <w:rFonts w:ascii="Arial" w:hAnsi="Arial" w:cs="Arial"/>
          <w:sz w:val="20"/>
        </w:rPr>
        <w:t xml:space="preserve">un activo financiero, representado por la cuenta por cobrar garantizada por el Estado, y </w:t>
      </w:r>
    </w:p>
    <w:p w14:paraId="53F537A0" w14:textId="77777777" w:rsidR="00DD7A9E" w:rsidRPr="0009028A" w:rsidRDefault="00DD7A9E" w:rsidP="00835247">
      <w:pPr>
        <w:pStyle w:val="Prrafodelista"/>
        <w:widowControl w:val="0"/>
        <w:numPr>
          <w:ilvl w:val="0"/>
          <w:numId w:val="16"/>
        </w:numPr>
        <w:autoSpaceDE w:val="0"/>
        <w:autoSpaceDN w:val="0"/>
        <w:adjustRightInd w:val="0"/>
        <w:spacing w:before="200" w:after="0" w:line="240" w:lineRule="auto"/>
        <w:ind w:left="567" w:hanging="567"/>
        <w:jc w:val="both"/>
        <w:rPr>
          <w:rFonts w:ascii="Arial" w:hAnsi="Arial" w:cs="Arial"/>
          <w:sz w:val="20"/>
        </w:rPr>
      </w:pPr>
      <w:r w:rsidRPr="0009028A">
        <w:rPr>
          <w:rFonts w:ascii="Arial" w:hAnsi="Arial" w:cs="Arial"/>
          <w:sz w:val="20"/>
        </w:rPr>
        <w:t>un intangible que está representado por el derecho a utilizar la infraestructura pública por un tiempo determinado y cobrar a los usuarios las tarifas que corresponda. A continuación se describen las políticas contables más significativas en relación a los activos:</w:t>
      </w:r>
    </w:p>
    <w:p w14:paraId="0163CD05" w14:textId="77777777" w:rsidR="00DD7A9E" w:rsidRPr="0009028A" w:rsidRDefault="00DD7A9E" w:rsidP="00DD7A9E">
      <w:pPr>
        <w:pStyle w:val="Prrafodelista"/>
        <w:widowControl w:val="0"/>
        <w:autoSpaceDE w:val="0"/>
        <w:autoSpaceDN w:val="0"/>
        <w:adjustRightInd w:val="0"/>
        <w:spacing w:before="200" w:line="240" w:lineRule="auto"/>
        <w:ind w:left="567" w:hanging="283"/>
        <w:contextualSpacing w:val="0"/>
        <w:jc w:val="both"/>
        <w:rPr>
          <w:rFonts w:ascii="Arial" w:hAnsi="Arial" w:cs="Arial"/>
          <w:sz w:val="20"/>
        </w:rPr>
      </w:pPr>
      <w:r w:rsidRPr="0009028A">
        <w:rPr>
          <w:rFonts w:ascii="Arial" w:hAnsi="Arial" w:cs="Arial"/>
          <w:sz w:val="20"/>
        </w:rPr>
        <w:t>a)</w:t>
      </w:r>
      <w:r w:rsidRPr="0009028A">
        <w:rPr>
          <w:rFonts w:ascii="Arial" w:hAnsi="Arial" w:cs="Arial"/>
          <w:sz w:val="20"/>
        </w:rPr>
        <w:tab/>
        <w:t>Cuenta por cobrar (activo financiero)</w:t>
      </w:r>
    </w:p>
    <w:p w14:paraId="6CBCEEC3" w14:textId="7C93F2F1" w:rsidR="00DD7A9E" w:rsidRPr="0009028A" w:rsidRDefault="00DD7A9E" w:rsidP="00DD7A9E">
      <w:pPr>
        <w:pStyle w:val="Prrafodelista"/>
        <w:widowControl w:val="0"/>
        <w:autoSpaceDE w:val="0"/>
        <w:autoSpaceDN w:val="0"/>
        <w:adjustRightInd w:val="0"/>
        <w:spacing w:before="200" w:line="240" w:lineRule="auto"/>
        <w:ind w:left="567"/>
        <w:contextualSpacing w:val="0"/>
        <w:jc w:val="both"/>
        <w:rPr>
          <w:rFonts w:ascii="Arial" w:hAnsi="Arial" w:cs="Arial"/>
          <w:sz w:val="20"/>
        </w:rPr>
      </w:pPr>
      <w:r w:rsidRPr="0009028A">
        <w:rPr>
          <w:rFonts w:ascii="Arial" w:hAnsi="Arial" w:cs="Arial"/>
          <w:sz w:val="20"/>
        </w:rPr>
        <w:t xml:space="preserve">Corresponde al derecho contractual incondicional (según lo establecido en la CINIIF 12) a percibir un flujo de efectivo por parte del Estado según lo establecido en los contratos de concesión. Esta cuenta por cobrar, que se incluye bajo el rubro de “Cuentas comerciales por cobrar y otras cuentas por cobrar corriente y no corriente”, se valoriza al valor presente de los respectivos flujos de efectivo garantizados descontados a la tasa de interés determinada en el contrato de concesión. </w:t>
      </w:r>
    </w:p>
    <w:p w14:paraId="2720A6A7" w14:textId="77777777" w:rsidR="00DD7A9E" w:rsidRPr="0009028A" w:rsidRDefault="00DD7A9E" w:rsidP="00DD7A9E">
      <w:pPr>
        <w:pStyle w:val="Prrafodelista"/>
        <w:widowControl w:val="0"/>
        <w:autoSpaceDE w:val="0"/>
        <w:autoSpaceDN w:val="0"/>
        <w:adjustRightInd w:val="0"/>
        <w:spacing w:before="200" w:line="240" w:lineRule="auto"/>
        <w:ind w:left="567" w:hanging="283"/>
        <w:contextualSpacing w:val="0"/>
        <w:jc w:val="both"/>
        <w:rPr>
          <w:rFonts w:ascii="Arial" w:hAnsi="Arial" w:cs="Arial"/>
          <w:sz w:val="20"/>
        </w:rPr>
      </w:pPr>
      <w:r w:rsidRPr="0009028A">
        <w:rPr>
          <w:rFonts w:ascii="Arial" w:hAnsi="Arial" w:cs="Arial"/>
          <w:sz w:val="20"/>
        </w:rPr>
        <w:t>b)</w:t>
      </w:r>
      <w:r w:rsidRPr="0009028A">
        <w:rPr>
          <w:rFonts w:ascii="Arial" w:hAnsi="Arial" w:cs="Arial"/>
          <w:sz w:val="20"/>
        </w:rPr>
        <w:tab/>
        <w:t>Intangible</w:t>
      </w:r>
    </w:p>
    <w:p w14:paraId="2AA624C5" w14:textId="77777777" w:rsidR="00DD7A9E" w:rsidRPr="0009028A" w:rsidRDefault="00DD7A9E" w:rsidP="00DD7A9E">
      <w:pPr>
        <w:widowControl w:val="0"/>
        <w:autoSpaceDE w:val="0"/>
        <w:autoSpaceDN w:val="0"/>
        <w:adjustRightInd w:val="0"/>
        <w:spacing w:before="200" w:line="240" w:lineRule="auto"/>
        <w:jc w:val="both"/>
        <w:rPr>
          <w:rFonts w:ascii="Arial" w:hAnsi="Arial" w:cs="Arial"/>
          <w:sz w:val="20"/>
        </w:rPr>
      </w:pPr>
      <w:r w:rsidRPr="0009028A">
        <w:rPr>
          <w:rFonts w:ascii="Arial" w:hAnsi="Arial" w:cs="Arial"/>
          <w:sz w:val="20"/>
        </w:rPr>
        <w:t>La Compañía ha reconocido un activo intangible, que surge del acuerdo de concesión de servicios, considerando lo establecido en la CINIIF 12, en la medida que tiene el derecho a cobrar a los usuarios por el uso de la infraestructura. Se han capitalizado los costos de construcción y como parte de la medición inicial del activo, parte de los gastos financieros asociados al financiamiento de la construcción, los cuales se activaron hasta el momento de la puesta en servicio de la concesión (inversión en infraestructura).</w:t>
      </w:r>
    </w:p>
    <w:p w14:paraId="42DD53B6" w14:textId="77777777" w:rsidR="00DD7A9E" w:rsidRPr="0009028A" w:rsidRDefault="00DD7A9E" w:rsidP="00DD7A9E">
      <w:pPr>
        <w:widowControl w:val="0"/>
        <w:autoSpaceDE w:val="0"/>
        <w:autoSpaceDN w:val="0"/>
        <w:adjustRightInd w:val="0"/>
        <w:spacing w:before="220" w:line="240" w:lineRule="auto"/>
        <w:jc w:val="both"/>
        <w:rPr>
          <w:rFonts w:ascii="Arial" w:hAnsi="Arial" w:cs="Arial"/>
          <w:sz w:val="20"/>
        </w:rPr>
      </w:pPr>
      <w:r w:rsidRPr="0009028A">
        <w:rPr>
          <w:rFonts w:ascii="Arial" w:hAnsi="Arial" w:cs="Arial"/>
          <w:sz w:val="20"/>
        </w:rPr>
        <w:t>Este intangible, representa el derecho de La Compañía sobre el excedente de los flujos garantizados, provenientes de la cobranza de peajes, sobre el monto de los ingresos mínimos garantizados. Como se mencionó, los Ingresos Mínimos Garantizados forman parte de la cuenta por cobrar (Activo Financiero) y por lo tanto, no han sido incluidos en la medición del intangible.</w:t>
      </w:r>
    </w:p>
    <w:p w14:paraId="3FE14529" w14:textId="5CF4AA3D" w:rsidR="00DD7A9E" w:rsidRPr="0009028A" w:rsidRDefault="00DD7A9E" w:rsidP="00DD7A9E">
      <w:pPr>
        <w:widowControl w:val="0"/>
        <w:autoSpaceDE w:val="0"/>
        <w:autoSpaceDN w:val="0"/>
        <w:adjustRightInd w:val="0"/>
        <w:spacing w:before="220" w:line="240" w:lineRule="auto"/>
        <w:jc w:val="both"/>
        <w:rPr>
          <w:rFonts w:ascii="Arial" w:hAnsi="Arial" w:cs="Arial"/>
          <w:sz w:val="20"/>
        </w:rPr>
      </w:pPr>
      <w:r w:rsidRPr="0009028A">
        <w:rPr>
          <w:rFonts w:ascii="Arial" w:hAnsi="Arial" w:cs="Arial"/>
          <w:sz w:val="20"/>
        </w:rPr>
        <w:t>La amortización del activo intangible de la concesión es reconocida en resultados conforme al método de</w:t>
      </w:r>
      <w:r w:rsidR="00C46D94" w:rsidRPr="0009028A">
        <w:rPr>
          <w:rFonts w:ascii="Arial" w:hAnsi="Arial" w:cs="Arial"/>
          <w:sz w:val="20"/>
        </w:rPr>
        <w:t xml:space="preserve"> </w:t>
      </w:r>
      <w:r w:rsidR="00114632" w:rsidRPr="0009028A">
        <w:rPr>
          <w:rFonts w:ascii="Arial" w:hAnsi="Arial" w:cs="Arial"/>
          <w:sz w:val="20"/>
        </w:rPr>
        <w:t>tráfico</w:t>
      </w:r>
      <w:r w:rsidRPr="0009028A">
        <w:rPr>
          <w:rFonts w:ascii="Arial" w:hAnsi="Arial" w:cs="Arial"/>
          <w:sz w:val="20"/>
        </w:rPr>
        <w:t xml:space="preserve"> estimado, el cual consiste en determinar el cargo a resultados, con base a la proporción del </w:t>
      </w:r>
      <w:r w:rsidR="00114632" w:rsidRPr="0009028A">
        <w:rPr>
          <w:rFonts w:ascii="Arial" w:hAnsi="Arial" w:cs="Arial"/>
          <w:sz w:val="20"/>
        </w:rPr>
        <w:t>tráfico</w:t>
      </w:r>
      <w:r w:rsidRPr="0009028A">
        <w:rPr>
          <w:rFonts w:ascii="Arial" w:hAnsi="Arial" w:cs="Arial"/>
          <w:sz w:val="20"/>
        </w:rPr>
        <w:t xml:space="preserve"> estimado frente al real de tráfico de vehículos. Este efecto se presenta en la línea de gastos de amortización en el Estado de Resultados.</w:t>
      </w:r>
    </w:p>
    <w:p w14:paraId="4026F9C8" w14:textId="77777777" w:rsidR="00DD7A9E" w:rsidRPr="0009028A" w:rsidRDefault="00DD7A9E" w:rsidP="00DD7A9E">
      <w:pPr>
        <w:widowControl w:val="0"/>
        <w:autoSpaceDE w:val="0"/>
        <w:autoSpaceDN w:val="0"/>
        <w:adjustRightInd w:val="0"/>
        <w:spacing w:before="220" w:line="240" w:lineRule="auto"/>
        <w:jc w:val="both"/>
        <w:rPr>
          <w:rFonts w:ascii="Arial" w:hAnsi="Arial" w:cs="Arial"/>
          <w:sz w:val="20"/>
        </w:rPr>
      </w:pPr>
      <w:r w:rsidRPr="0009028A">
        <w:rPr>
          <w:rFonts w:ascii="Arial" w:hAnsi="Arial" w:cs="Arial"/>
          <w:sz w:val="20"/>
        </w:rPr>
        <w:t>El activo intangible de vida útil definida surgido por las combinaciones de negocios se amortiza linealmente hasta la finalización del contrato.</w:t>
      </w:r>
    </w:p>
    <w:p w14:paraId="5E74CB1F" w14:textId="7F224476" w:rsidR="00DD7A9E" w:rsidRPr="0009028A" w:rsidRDefault="00B92CF6" w:rsidP="00DD7A9E">
      <w:pPr>
        <w:pStyle w:val="Ttulo2"/>
        <w:spacing w:afterAutospacing="0"/>
        <w:rPr>
          <w:rFonts w:ascii="Arial" w:hAnsi="Arial" w:cs="Arial"/>
          <w:b w:val="0"/>
        </w:rPr>
      </w:pPr>
      <w:bookmarkStart w:id="141" w:name="_Toc6294460"/>
      <w:bookmarkStart w:id="142" w:name="_Toc6322798"/>
      <w:bookmarkStart w:id="143" w:name="_Toc8735061"/>
      <w:r>
        <w:rPr>
          <w:rFonts w:ascii="Arial" w:hAnsi="Arial" w:cs="Arial"/>
          <w:b w:val="0"/>
        </w:rPr>
        <w:t>4.8</w:t>
      </w:r>
      <w:r w:rsidR="00DD7A9E" w:rsidRPr="0009028A">
        <w:rPr>
          <w:rFonts w:ascii="Arial" w:hAnsi="Arial" w:cs="Arial"/>
          <w:b w:val="0"/>
        </w:rPr>
        <w:t>. Activos no financieros</w:t>
      </w:r>
      <w:bookmarkEnd w:id="141"/>
      <w:bookmarkEnd w:id="142"/>
      <w:bookmarkEnd w:id="143"/>
    </w:p>
    <w:p w14:paraId="6408C3E6" w14:textId="77777777" w:rsidR="00DD7A9E" w:rsidRPr="0009028A" w:rsidRDefault="00DD7A9E" w:rsidP="00DD7A9E">
      <w:pPr>
        <w:pStyle w:val="Prrafodelista"/>
        <w:widowControl w:val="0"/>
        <w:autoSpaceDE w:val="0"/>
        <w:autoSpaceDN w:val="0"/>
        <w:adjustRightInd w:val="0"/>
        <w:spacing w:before="240" w:line="240" w:lineRule="auto"/>
        <w:ind w:left="0"/>
        <w:contextualSpacing w:val="0"/>
        <w:jc w:val="both"/>
        <w:rPr>
          <w:rFonts w:ascii="Arial" w:hAnsi="Arial" w:cs="Arial"/>
          <w:sz w:val="20"/>
        </w:rPr>
      </w:pPr>
      <w:r w:rsidRPr="0009028A">
        <w:rPr>
          <w:rFonts w:ascii="Arial" w:hAnsi="Arial" w:cs="Arial"/>
          <w:sz w:val="20"/>
        </w:rPr>
        <w:t xml:space="preserve">El importe recuperable de un activo o unidad generadora de efectivo es el valor mayor entre su valor en uso y su valor razonable, menos los costos de venta. Para determinar el valor en uso, se descuentan los flujos de efectivo futuros estimados a su valor presente usando una tasa de descuento antes de impuestos que refleja las evaluaciones actuales del mercado sobre el valor temporal del dinero y los riesgos específicos que puede tener en el activo. Para propósitos de evaluación del deterioro, los activos que no pueden ser probados individualmente son asociados en Odinsa más pequeño de activos que generan entradas de flujos de efectivo provenientes del uso continuo, los que son independientes de los flujos de entrada de efectivo de otros activos o grupos de activos (la “unidad generadora de efectivo”). </w:t>
      </w:r>
    </w:p>
    <w:p w14:paraId="3F5029F8" w14:textId="77777777" w:rsidR="00DD7A9E" w:rsidRPr="0009028A" w:rsidRDefault="00DD7A9E" w:rsidP="00DD7A9E">
      <w:pPr>
        <w:pStyle w:val="Prrafodelista"/>
        <w:widowControl w:val="0"/>
        <w:autoSpaceDE w:val="0"/>
        <w:autoSpaceDN w:val="0"/>
        <w:adjustRightInd w:val="0"/>
        <w:spacing w:before="240" w:line="240" w:lineRule="auto"/>
        <w:ind w:left="0"/>
        <w:contextualSpacing w:val="0"/>
        <w:jc w:val="both"/>
        <w:rPr>
          <w:rFonts w:ascii="Arial" w:hAnsi="Arial" w:cs="Arial"/>
          <w:sz w:val="20"/>
        </w:rPr>
      </w:pPr>
      <w:r w:rsidRPr="0009028A">
        <w:rPr>
          <w:rFonts w:ascii="Arial" w:hAnsi="Arial" w:cs="Arial"/>
          <w:sz w:val="20"/>
        </w:rPr>
        <w:t xml:space="preserve">Los activos corporativos de la </w:t>
      </w:r>
      <w:r w:rsidR="005744AF" w:rsidRPr="0009028A">
        <w:rPr>
          <w:rFonts w:ascii="Arial" w:hAnsi="Arial" w:cs="Arial"/>
          <w:sz w:val="20"/>
        </w:rPr>
        <w:t xml:space="preserve">Compañía </w:t>
      </w:r>
      <w:r w:rsidRPr="0009028A">
        <w:rPr>
          <w:rFonts w:ascii="Arial" w:hAnsi="Arial" w:cs="Arial"/>
          <w:sz w:val="20"/>
        </w:rPr>
        <w:t>no generan entradas flujo de efectivo separadas. Si existe un indicio de que un activo corporativo pueda estar deteriorado, el importe recuperable se determina para la unidad generadora de efectivo a la que pertenece el activo corporativo.</w:t>
      </w:r>
    </w:p>
    <w:p w14:paraId="0166D9A7" w14:textId="77777777" w:rsidR="00DD7A9E" w:rsidRPr="0009028A" w:rsidRDefault="00DD7A9E" w:rsidP="00DD7A9E">
      <w:pPr>
        <w:pStyle w:val="Prrafodelista"/>
        <w:widowControl w:val="0"/>
        <w:autoSpaceDE w:val="0"/>
        <w:autoSpaceDN w:val="0"/>
        <w:adjustRightInd w:val="0"/>
        <w:spacing w:before="240" w:line="240" w:lineRule="auto"/>
        <w:ind w:left="0"/>
        <w:contextualSpacing w:val="0"/>
        <w:jc w:val="both"/>
        <w:rPr>
          <w:rFonts w:ascii="Arial" w:hAnsi="Arial" w:cs="Arial"/>
          <w:sz w:val="20"/>
        </w:rPr>
      </w:pPr>
      <w:r w:rsidRPr="0009028A">
        <w:rPr>
          <w:rFonts w:ascii="Arial" w:hAnsi="Arial" w:cs="Arial"/>
          <w:sz w:val="20"/>
        </w:rPr>
        <w:t xml:space="preserve">Se reconoce una pérdida por deterioro si el valor en libros de un activo o su unidad generadora de efectivo excede su importe recuperable. Las pérdidas por deterioro son reconocidas en resultados. </w:t>
      </w:r>
    </w:p>
    <w:p w14:paraId="61B884E0" w14:textId="77777777" w:rsidR="00DD7A9E" w:rsidRPr="0009028A" w:rsidRDefault="00DD7A9E" w:rsidP="00DD7A9E">
      <w:pPr>
        <w:pStyle w:val="Prrafodelista"/>
        <w:widowControl w:val="0"/>
        <w:autoSpaceDE w:val="0"/>
        <w:autoSpaceDN w:val="0"/>
        <w:adjustRightInd w:val="0"/>
        <w:spacing w:before="240" w:line="240" w:lineRule="auto"/>
        <w:ind w:left="0"/>
        <w:contextualSpacing w:val="0"/>
        <w:jc w:val="both"/>
        <w:rPr>
          <w:rFonts w:ascii="Arial" w:hAnsi="Arial" w:cs="Arial"/>
          <w:sz w:val="20"/>
        </w:rPr>
      </w:pPr>
      <w:r w:rsidRPr="0009028A">
        <w:rPr>
          <w:rFonts w:ascii="Arial" w:hAnsi="Arial" w:cs="Arial"/>
          <w:sz w:val="20"/>
        </w:rPr>
        <w:t xml:space="preserve">Las pérdidas por deterioro reconocidas en períodos anteriores son evaluadas en cada fecha de balance en búsqueda de cualquier indicio de que la pérdida haya disminuido o haya desaparecido. Una pérdida por deterioro se reversa si ha ocurrido un cambio en las estimaciones usadas para determinar el importe recuperable. Una pérdida por deterioro se reversa sólo en la medida que el valor en libros del activo no exceda el valor en libros que habría sido determinado, neto de depreciación o amortización, si no hubiese sido reconocida ninguna pérdida por deterioro. </w:t>
      </w:r>
    </w:p>
    <w:p w14:paraId="7ECE81D4" w14:textId="77777777" w:rsidR="00DD7A9E" w:rsidRPr="0009028A" w:rsidRDefault="00DD7A9E" w:rsidP="00DD7A9E">
      <w:pPr>
        <w:pStyle w:val="Prrafodelista"/>
        <w:widowControl w:val="0"/>
        <w:autoSpaceDE w:val="0"/>
        <w:autoSpaceDN w:val="0"/>
        <w:adjustRightInd w:val="0"/>
        <w:spacing w:before="240" w:line="240" w:lineRule="auto"/>
        <w:ind w:left="0"/>
        <w:contextualSpacing w:val="0"/>
        <w:jc w:val="both"/>
        <w:rPr>
          <w:rFonts w:ascii="Arial" w:hAnsi="Arial" w:cs="Arial"/>
          <w:sz w:val="20"/>
        </w:rPr>
      </w:pPr>
      <w:r w:rsidRPr="0009028A">
        <w:rPr>
          <w:rFonts w:ascii="Arial" w:hAnsi="Arial" w:cs="Arial"/>
          <w:sz w:val="20"/>
        </w:rPr>
        <w:t>La plusvalía que forma parte del valor en libros de una inversión en una asociada no se reconoce por separado y, en consecuencia, no se le aplican pruebas de deterioro por separado. Por el contrario, el monto total de la inversión en una asociada se prueba por deterioro como un activo único cuando existe evidencia objetiva de que la inversión pueda estar deteriorada.</w:t>
      </w:r>
    </w:p>
    <w:p w14:paraId="5357A25E" w14:textId="57FAA377" w:rsidR="00DD7A9E" w:rsidRPr="0009028A" w:rsidRDefault="00B92CF6" w:rsidP="00DD7A9E">
      <w:pPr>
        <w:pStyle w:val="Ttulo2"/>
        <w:spacing w:afterAutospacing="0"/>
        <w:rPr>
          <w:rFonts w:ascii="Arial" w:hAnsi="Arial" w:cs="Arial"/>
          <w:b w:val="0"/>
        </w:rPr>
      </w:pPr>
      <w:bookmarkStart w:id="144" w:name="_Toc6294461"/>
      <w:bookmarkStart w:id="145" w:name="_Toc6322799"/>
      <w:bookmarkStart w:id="146" w:name="_Toc8735062"/>
      <w:r>
        <w:rPr>
          <w:rFonts w:ascii="Arial" w:hAnsi="Arial" w:cs="Arial"/>
          <w:b w:val="0"/>
        </w:rPr>
        <w:t>4.9</w:t>
      </w:r>
      <w:r w:rsidR="00DD7A9E" w:rsidRPr="0009028A">
        <w:rPr>
          <w:rFonts w:ascii="Arial" w:hAnsi="Arial" w:cs="Arial"/>
          <w:b w:val="0"/>
        </w:rPr>
        <w:t>. Activos no corrientes clasificados como mantenidos para la venta</w:t>
      </w:r>
      <w:bookmarkEnd w:id="144"/>
      <w:bookmarkEnd w:id="145"/>
      <w:bookmarkEnd w:id="146"/>
    </w:p>
    <w:p w14:paraId="63FCCFD4" w14:textId="77777777" w:rsidR="00DD7A9E" w:rsidRPr="0009028A" w:rsidRDefault="00DD7A9E" w:rsidP="00DD7A9E">
      <w:pPr>
        <w:pStyle w:val="Prrafodelista"/>
        <w:widowControl w:val="0"/>
        <w:autoSpaceDE w:val="0"/>
        <w:autoSpaceDN w:val="0"/>
        <w:adjustRightInd w:val="0"/>
        <w:spacing w:before="220" w:line="240" w:lineRule="auto"/>
        <w:ind w:left="0"/>
        <w:contextualSpacing w:val="0"/>
        <w:jc w:val="both"/>
        <w:rPr>
          <w:rFonts w:ascii="Arial" w:hAnsi="Arial" w:cs="Arial"/>
          <w:sz w:val="20"/>
        </w:rPr>
      </w:pPr>
      <w:r w:rsidRPr="0009028A">
        <w:rPr>
          <w:rFonts w:ascii="Arial" w:hAnsi="Arial" w:cs="Arial"/>
          <w:sz w:val="20"/>
        </w:rPr>
        <w:t>Los activos no corrientes y/o los grupos de elementos enajenables se clasifican como mantenidos para la venta si es altamente probable que sean recuperados principalmente a través de su venta en lugar de su uso continuado.</w:t>
      </w:r>
    </w:p>
    <w:p w14:paraId="74BDF67E" w14:textId="77777777" w:rsidR="00DD7A9E" w:rsidRPr="0009028A" w:rsidRDefault="00DD7A9E" w:rsidP="00DD7A9E">
      <w:pPr>
        <w:pStyle w:val="Prrafodelista"/>
        <w:widowControl w:val="0"/>
        <w:autoSpaceDE w:val="0"/>
        <w:autoSpaceDN w:val="0"/>
        <w:adjustRightInd w:val="0"/>
        <w:spacing w:before="220" w:line="240" w:lineRule="auto"/>
        <w:ind w:left="0"/>
        <w:contextualSpacing w:val="0"/>
        <w:jc w:val="both"/>
        <w:rPr>
          <w:rFonts w:ascii="Arial" w:hAnsi="Arial" w:cs="Arial"/>
          <w:sz w:val="20"/>
        </w:rPr>
      </w:pPr>
      <w:r w:rsidRPr="0009028A">
        <w:rPr>
          <w:rFonts w:ascii="Arial" w:hAnsi="Arial" w:cs="Arial"/>
          <w:sz w:val="20"/>
        </w:rPr>
        <w:t>Estos activos y/o grupos de elementos enajenables se miden por lo general al menor entre su valor en libros y su valor razonable menos sus costos de venta. Cualquier pérdida por deterioro en un grupo de elementos enajenables es distribuida primero a la plusvalía, y luego a los activos y pasivos remanentes de forma proporcional, exceptuando a los inventarios, activos financieros, activos por impuestos diferidos, activos por beneficios a empleados, o propiedades de inversión, que continúan midiéndose de acuerdo con las demás políticas contables de la compañía. Las pérdidas por deterioro al momento de la clasificación inicial, y las ganancias o pérdidas subsecuentes al momento de la medición se reconocen en pérdidas y ganancias.</w:t>
      </w:r>
    </w:p>
    <w:p w14:paraId="36A630FE" w14:textId="77777777" w:rsidR="00DD7A9E" w:rsidRDefault="00DD7A9E" w:rsidP="00DD7A9E">
      <w:pPr>
        <w:pStyle w:val="Prrafodelista"/>
        <w:widowControl w:val="0"/>
        <w:autoSpaceDE w:val="0"/>
        <w:autoSpaceDN w:val="0"/>
        <w:adjustRightInd w:val="0"/>
        <w:spacing w:before="220" w:line="240" w:lineRule="auto"/>
        <w:ind w:left="0"/>
        <w:contextualSpacing w:val="0"/>
        <w:jc w:val="both"/>
        <w:rPr>
          <w:rFonts w:ascii="Arial" w:hAnsi="Arial" w:cs="Arial"/>
          <w:sz w:val="20"/>
        </w:rPr>
      </w:pPr>
      <w:r w:rsidRPr="0009028A">
        <w:rPr>
          <w:rFonts w:ascii="Arial" w:hAnsi="Arial" w:cs="Arial"/>
          <w:sz w:val="20"/>
        </w:rPr>
        <w:t>Una vez clasificados como mantenidos para la venta, los activos intangibles y la propiedad, planta y equipo no se vuelven a amortizar o depreciar, y cualquier inversión contabilizada mediante el método de participación deja de estarlo.</w:t>
      </w:r>
    </w:p>
    <w:p w14:paraId="211F0C77" w14:textId="77777777" w:rsidR="00B92CF6" w:rsidRPr="0009028A" w:rsidRDefault="00B92CF6" w:rsidP="00DD7A9E">
      <w:pPr>
        <w:pStyle w:val="Prrafodelista"/>
        <w:widowControl w:val="0"/>
        <w:autoSpaceDE w:val="0"/>
        <w:autoSpaceDN w:val="0"/>
        <w:adjustRightInd w:val="0"/>
        <w:spacing w:before="220" w:line="240" w:lineRule="auto"/>
        <w:ind w:left="0"/>
        <w:contextualSpacing w:val="0"/>
        <w:jc w:val="both"/>
        <w:rPr>
          <w:rFonts w:ascii="Arial" w:hAnsi="Arial" w:cs="Arial"/>
          <w:sz w:val="20"/>
        </w:rPr>
      </w:pPr>
    </w:p>
    <w:p w14:paraId="721E7FE6" w14:textId="3E4A5278" w:rsidR="00DD7A9E" w:rsidRPr="0009028A" w:rsidRDefault="00DD7A9E" w:rsidP="005744AF">
      <w:pPr>
        <w:pStyle w:val="Ttulo2"/>
        <w:spacing w:afterAutospacing="0"/>
        <w:rPr>
          <w:rFonts w:ascii="Arial" w:hAnsi="Arial" w:cs="Arial"/>
          <w:b w:val="0"/>
        </w:rPr>
      </w:pPr>
      <w:bookmarkStart w:id="147" w:name="_Toc6294462"/>
      <w:bookmarkStart w:id="148" w:name="_Toc6322800"/>
      <w:bookmarkStart w:id="149" w:name="_Toc8735063"/>
      <w:r w:rsidRPr="0009028A">
        <w:rPr>
          <w:rFonts w:ascii="Arial" w:hAnsi="Arial" w:cs="Arial"/>
          <w:b w:val="0"/>
        </w:rPr>
        <w:t>4.1</w:t>
      </w:r>
      <w:r w:rsidR="00B92CF6">
        <w:rPr>
          <w:rFonts w:ascii="Arial" w:hAnsi="Arial" w:cs="Arial"/>
          <w:b w:val="0"/>
        </w:rPr>
        <w:t>0</w:t>
      </w:r>
      <w:r w:rsidRPr="0009028A">
        <w:rPr>
          <w:rFonts w:ascii="Arial" w:hAnsi="Arial" w:cs="Arial"/>
          <w:b w:val="0"/>
        </w:rPr>
        <w:t>. Beneficios a los empleados</w:t>
      </w:r>
      <w:bookmarkEnd w:id="147"/>
      <w:bookmarkEnd w:id="148"/>
      <w:bookmarkEnd w:id="149"/>
    </w:p>
    <w:p w14:paraId="171D8CD3" w14:textId="77777777" w:rsidR="005744AF" w:rsidRPr="0009028A" w:rsidRDefault="005744AF" w:rsidP="008B3749">
      <w:pPr>
        <w:pStyle w:val="Sinespaciado"/>
      </w:pPr>
      <w:bookmarkStart w:id="150" w:name="_Toc6292913"/>
      <w:bookmarkStart w:id="151" w:name="_Toc6294463"/>
      <w:bookmarkStart w:id="152" w:name="_Toc6322801"/>
      <w:bookmarkStart w:id="153" w:name="_Toc7029848"/>
    </w:p>
    <w:p w14:paraId="63B02E47" w14:textId="7EFE298B" w:rsidR="00DD7A9E" w:rsidRPr="0009028A" w:rsidRDefault="00DD7A9E" w:rsidP="00DD7A9E">
      <w:pPr>
        <w:pStyle w:val="Ttulo2"/>
        <w:spacing w:afterAutospacing="0"/>
        <w:rPr>
          <w:rFonts w:ascii="Arial" w:hAnsi="Arial" w:cs="Arial"/>
          <w:b w:val="0"/>
        </w:rPr>
      </w:pPr>
      <w:bookmarkStart w:id="154" w:name="_Toc8735064"/>
      <w:r w:rsidRPr="0009028A">
        <w:rPr>
          <w:rFonts w:ascii="Arial" w:hAnsi="Arial" w:cs="Arial"/>
          <w:b w:val="0"/>
        </w:rPr>
        <w:t>4.1</w:t>
      </w:r>
      <w:r w:rsidR="00B92CF6">
        <w:rPr>
          <w:rFonts w:ascii="Arial" w:hAnsi="Arial" w:cs="Arial"/>
          <w:b w:val="0"/>
        </w:rPr>
        <w:t>0</w:t>
      </w:r>
      <w:r w:rsidRPr="0009028A">
        <w:rPr>
          <w:rFonts w:ascii="Arial" w:hAnsi="Arial" w:cs="Arial"/>
          <w:b w:val="0"/>
        </w:rPr>
        <w:t>.1. Beneficios a corto plazo</w:t>
      </w:r>
      <w:bookmarkEnd w:id="150"/>
      <w:bookmarkEnd w:id="151"/>
      <w:bookmarkEnd w:id="152"/>
      <w:bookmarkEnd w:id="153"/>
      <w:bookmarkEnd w:id="154"/>
    </w:p>
    <w:p w14:paraId="78EC3966" w14:textId="77777777" w:rsidR="00DD7A9E" w:rsidRPr="0009028A" w:rsidRDefault="00DD7A9E" w:rsidP="00DD7A9E">
      <w:pPr>
        <w:pStyle w:val="Prrafodelista"/>
        <w:widowControl w:val="0"/>
        <w:autoSpaceDE w:val="0"/>
        <w:autoSpaceDN w:val="0"/>
        <w:adjustRightInd w:val="0"/>
        <w:spacing w:before="220" w:line="240" w:lineRule="auto"/>
        <w:ind w:left="0"/>
        <w:contextualSpacing w:val="0"/>
        <w:jc w:val="both"/>
        <w:rPr>
          <w:rFonts w:ascii="Arial" w:hAnsi="Arial" w:cs="Arial"/>
          <w:sz w:val="20"/>
        </w:rPr>
      </w:pPr>
      <w:r w:rsidRPr="0009028A">
        <w:rPr>
          <w:rFonts w:ascii="Arial" w:hAnsi="Arial" w:cs="Arial"/>
          <w:sz w:val="20"/>
        </w:rPr>
        <w:t xml:space="preserve">Las obligaciones por beneficios a los empleados a corto plazo son reconocidas como gastos a medida que el servicio relacionado se provee. Se reconoce una obligación por el monto que se espera pagar si la </w:t>
      </w:r>
      <w:r w:rsidR="005744AF" w:rsidRPr="0009028A">
        <w:rPr>
          <w:rFonts w:ascii="Arial" w:hAnsi="Arial" w:cs="Arial"/>
          <w:sz w:val="20"/>
        </w:rPr>
        <w:t xml:space="preserve">Compañía </w:t>
      </w:r>
      <w:r w:rsidRPr="0009028A">
        <w:rPr>
          <w:rFonts w:ascii="Arial" w:hAnsi="Arial" w:cs="Arial"/>
          <w:sz w:val="20"/>
        </w:rPr>
        <w:t>posee una obligación legal o constructiva actual de pagar este monto como resultado de un servicio entregado por el empleado en el pasado y la obligación puede ser estimada con fiabilidad.</w:t>
      </w:r>
    </w:p>
    <w:p w14:paraId="1962F591" w14:textId="6BAEA5EE" w:rsidR="00DD7A9E" w:rsidRPr="0009028A" w:rsidRDefault="00DD7A9E" w:rsidP="00DD7A9E">
      <w:pPr>
        <w:pStyle w:val="Ttulo2"/>
        <w:spacing w:afterAutospacing="0"/>
        <w:rPr>
          <w:rFonts w:ascii="Arial" w:hAnsi="Arial" w:cs="Arial"/>
          <w:b w:val="0"/>
        </w:rPr>
      </w:pPr>
      <w:bookmarkStart w:id="155" w:name="_Toc6292914"/>
      <w:bookmarkStart w:id="156" w:name="_Toc6294464"/>
      <w:bookmarkStart w:id="157" w:name="_Toc6322802"/>
      <w:bookmarkStart w:id="158" w:name="_Toc7029849"/>
      <w:bookmarkStart w:id="159" w:name="_Toc8735065"/>
      <w:r w:rsidRPr="0009028A">
        <w:rPr>
          <w:rFonts w:ascii="Arial" w:hAnsi="Arial" w:cs="Arial"/>
          <w:b w:val="0"/>
        </w:rPr>
        <w:t>4.1</w:t>
      </w:r>
      <w:r w:rsidR="00B92CF6">
        <w:rPr>
          <w:rFonts w:ascii="Arial" w:hAnsi="Arial" w:cs="Arial"/>
          <w:b w:val="0"/>
        </w:rPr>
        <w:t>0</w:t>
      </w:r>
      <w:r w:rsidRPr="0009028A">
        <w:rPr>
          <w:rFonts w:ascii="Arial" w:hAnsi="Arial" w:cs="Arial"/>
          <w:b w:val="0"/>
        </w:rPr>
        <w:t>.2. Planes de beneficios definidos</w:t>
      </w:r>
      <w:bookmarkEnd w:id="155"/>
      <w:bookmarkEnd w:id="156"/>
      <w:bookmarkEnd w:id="157"/>
      <w:bookmarkEnd w:id="158"/>
      <w:bookmarkEnd w:id="159"/>
    </w:p>
    <w:p w14:paraId="04738ABB" w14:textId="77777777" w:rsidR="00DD7A9E" w:rsidRPr="0009028A" w:rsidRDefault="00DD7A9E" w:rsidP="00DD7A9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La obligación neta de la Compañía relacionada con planes de beneficios definidos (plan de pensiones de jubilación) se calcula estimando el importe del beneficio futuro que los empleados han ganado en el período actual y en períodos anteriores, descontando ese importe.</w:t>
      </w:r>
    </w:p>
    <w:p w14:paraId="5F9DCD3F" w14:textId="77777777" w:rsidR="00DD7A9E" w:rsidRPr="0009028A" w:rsidRDefault="00DD7A9E" w:rsidP="00DD7A9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El método usado es el de la unidad de créditos proyectados. Cuando el cálculo resulta en un potencial activo para la Compañía, el reconocimiento del activo se limita al valor presente de los beneficios económicos disponibles en la forma de reembolsos futuros del plan o reducciones en las futuras aportaciones al mismo. Para calcular el valor presente de los beneficios económicos, se debe considerar cualquier requerimiento de financiación mínimo.</w:t>
      </w:r>
    </w:p>
    <w:p w14:paraId="43D7D542" w14:textId="687C0A42" w:rsidR="00DD7A9E" w:rsidRPr="0009028A" w:rsidRDefault="00DD7A9E" w:rsidP="00DD7A9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Las nuevas mediciones del pasivo por beneficios netos definidos, que incluyen las ganancias y pérdidas actuariales, y el rendimiento de los activos del plan (si existe, excluidos los intereses), se reconocen de inmediato en otro resultado i</w:t>
      </w:r>
      <w:r w:rsidR="00703DFE">
        <w:rPr>
          <w:rFonts w:ascii="Arial" w:hAnsi="Arial" w:cs="Arial"/>
          <w:sz w:val="20"/>
        </w:rPr>
        <w:t>ntegral. La C</w:t>
      </w:r>
      <w:r w:rsidRPr="0009028A">
        <w:rPr>
          <w:rFonts w:ascii="Arial" w:hAnsi="Arial" w:cs="Arial"/>
          <w:sz w:val="20"/>
        </w:rPr>
        <w:t>ompañía determina el gasto (ingreso) neto por intereses por el pasivo (activo) por beneficios definidos neto del período, aplicando la tasa de descuento usada para medir la obligación por beneficios definidos al comienzo del período anual al pasivo (activo) por beneficios definidos netos, considerando cualquier cambio en el pasivo (activo) por beneficios definidos netos durante el período como resultado de aportaciones y pagos de beneficios. El gasto neto por intereses y otros gastos relacionados con los planes de beneficios definidos se reconocen en resultados.</w:t>
      </w:r>
    </w:p>
    <w:p w14:paraId="4A1D29FB" w14:textId="77777777" w:rsidR="00DD7A9E" w:rsidRPr="0009028A" w:rsidRDefault="00DD7A9E" w:rsidP="00DD7A9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inmediatamente, el gasto es reconocido en resultados.</w:t>
      </w:r>
    </w:p>
    <w:p w14:paraId="5BE05654" w14:textId="77777777" w:rsidR="00DD7A9E" w:rsidRPr="0009028A" w:rsidRDefault="00DD7A9E" w:rsidP="00DD7A9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Cuando se produce una modificación o reducción en los beneficios de un plan, los beneficios resultantes de servicios pasados o la ganancia o pérdida por la reducción se reconocen de inmediato en resultados. La Compañía reconoce las ganancias y pérdidas en la liquidación de un plan de beneficios definidos cuando estas ocurren.</w:t>
      </w:r>
    </w:p>
    <w:p w14:paraId="485CADAE" w14:textId="77777777" w:rsidR="005744AF" w:rsidRPr="0009028A" w:rsidRDefault="005744AF" w:rsidP="008B3749">
      <w:pPr>
        <w:pStyle w:val="Sinespaciado"/>
      </w:pPr>
      <w:bookmarkStart w:id="160" w:name="_Toc6292915"/>
      <w:bookmarkStart w:id="161" w:name="_Toc6294465"/>
      <w:bookmarkStart w:id="162" w:name="_Toc6322803"/>
      <w:bookmarkStart w:id="163" w:name="_Toc7029850"/>
    </w:p>
    <w:p w14:paraId="267FCBE5" w14:textId="47CD8ADF" w:rsidR="00DD7A9E" w:rsidRPr="0009028A" w:rsidRDefault="00DD7A9E" w:rsidP="00DD7A9E">
      <w:pPr>
        <w:pStyle w:val="Ttulo2"/>
        <w:spacing w:afterAutospacing="0"/>
        <w:rPr>
          <w:rFonts w:ascii="Arial" w:hAnsi="Arial" w:cs="Arial"/>
          <w:b w:val="0"/>
        </w:rPr>
      </w:pPr>
      <w:bookmarkStart w:id="164" w:name="_Toc8735066"/>
      <w:r w:rsidRPr="0009028A">
        <w:rPr>
          <w:rFonts w:ascii="Arial" w:hAnsi="Arial" w:cs="Arial"/>
          <w:b w:val="0"/>
        </w:rPr>
        <w:t>4.1</w:t>
      </w:r>
      <w:r w:rsidR="00B92CF6">
        <w:rPr>
          <w:rFonts w:ascii="Arial" w:hAnsi="Arial" w:cs="Arial"/>
          <w:b w:val="0"/>
        </w:rPr>
        <w:t>0</w:t>
      </w:r>
      <w:r w:rsidRPr="0009028A">
        <w:rPr>
          <w:rFonts w:ascii="Arial" w:hAnsi="Arial" w:cs="Arial"/>
          <w:b w:val="0"/>
        </w:rPr>
        <w:t>.3. Planes de aportaciones definidas</w:t>
      </w:r>
      <w:bookmarkEnd w:id="160"/>
      <w:bookmarkEnd w:id="161"/>
      <w:bookmarkEnd w:id="162"/>
      <w:bookmarkEnd w:id="163"/>
      <w:bookmarkEnd w:id="164"/>
    </w:p>
    <w:p w14:paraId="0FBDE84F" w14:textId="77777777" w:rsidR="00DD7A9E" w:rsidRPr="0009028A" w:rsidRDefault="00DD7A9E" w:rsidP="00DD7A9E">
      <w:pPr>
        <w:widowControl w:val="0"/>
        <w:autoSpaceDE w:val="0"/>
        <w:autoSpaceDN w:val="0"/>
        <w:adjustRightInd w:val="0"/>
        <w:spacing w:before="220" w:line="240" w:lineRule="auto"/>
        <w:jc w:val="both"/>
        <w:rPr>
          <w:rFonts w:ascii="Arial" w:hAnsi="Arial" w:cs="Arial"/>
          <w:sz w:val="20"/>
        </w:rPr>
      </w:pPr>
      <w:r w:rsidRPr="0009028A">
        <w:rPr>
          <w:rFonts w:ascii="Arial" w:hAnsi="Arial" w:cs="Arial"/>
          <w:sz w:val="20"/>
        </w:rPr>
        <w:t>Las obligaciones por aportaciones a planes de aportaciones definidas se reconocen como gasto a medida que se presta el servicio relacionado. Las aportaciones pagadas por adelantado son reconocidas como un activo en la medida que esté disponible un reembolso de efectivo o una reducción en los pagos futuros.</w:t>
      </w:r>
    </w:p>
    <w:p w14:paraId="0385E98E" w14:textId="705453F9" w:rsidR="00DD7A9E" w:rsidRPr="0009028A" w:rsidRDefault="00DD7A9E" w:rsidP="00DD7A9E">
      <w:pPr>
        <w:pStyle w:val="Ttulo2"/>
        <w:spacing w:afterAutospacing="0"/>
        <w:rPr>
          <w:rFonts w:ascii="Arial" w:hAnsi="Arial" w:cs="Arial"/>
          <w:b w:val="0"/>
        </w:rPr>
      </w:pPr>
      <w:bookmarkStart w:id="165" w:name="_Toc6292916"/>
      <w:bookmarkStart w:id="166" w:name="_Toc6294466"/>
      <w:bookmarkStart w:id="167" w:name="_Toc6322804"/>
      <w:bookmarkStart w:id="168" w:name="_Toc7029851"/>
      <w:bookmarkStart w:id="169" w:name="_Toc8735067"/>
      <w:r w:rsidRPr="0009028A">
        <w:rPr>
          <w:rFonts w:ascii="Arial" w:hAnsi="Arial" w:cs="Arial"/>
          <w:b w:val="0"/>
        </w:rPr>
        <w:t>4.1</w:t>
      </w:r>
      <w:r w:rsidR="00B92CF6">
        <w:rPr>
          <w:rFonts w:ascii="Arial" w:hAnsi="Arial" w:cs="Arial"/>
          <w:b w:val="0"/>
        </w:rPr>
        <w:t>0</w:t>
      </w:r>
      <w:r w:rsidRPr="0009028A">
        <w:rPr>
          <w:rFonts w:ascii="Arial" w:hAnsi="Arial" w:cs="Arial"/>
          <w:b w:val="0"/>
        </w:rPr>
        <w:t>.4. Beneficios por terminación</w:t>
      </w:r>
      <w:bookmarkEnd w:id="165"/>
      <w:bookmarkEnd w:id="166"/>
      <w:bookmarkEnd w:id="167"/>
      <w:bookmarkEnd w:id="168"/>
      <w:bookmarkEnd w:id="169"/>
    </w:p>
    <w:p w14:paraId="435DB1AC" w14:textId="77777777" w:rsidR="00DD7A9E" w:rsidRPr="0009028A" w:rsidRDefault="00DD7A9E" w:rsidP="00DD7A9E">
      <w:pPr>
        <w:widowControl w:val="0"/>
        <w:autoSpaceDE w:val="0"/>
        <w:autoSpaceDN w:val="0"/>
        <w:adjustRightInd w:val="0"/>
        <w:spacing w:before="220" w:line="240" w:lineRule="auto"/>
        <w:jc w:val="both"/>
        <w:rPr>
          <w:rFonts w:ascii="Arial" w:hAnsi="Arial" w:cs="Arial"/>
          <w:sz w:val="20"/>
        </w:rPr>
      </w:pPr>
      <w:r w:rsidRPr="0009028A">
        <w:rPr>
          <w:rFonts w:ascii="Arial" w:hAnsi="Arial" w:cs="Arial"/>
          <w:sz w:val="20"/>
        </w:rPr>
        <w:t>Los beneficios por terminación son reconocidos como gasto cuando la Compañía no puede retirar la oferta relacionada con los beneficios y cuando la Compañía reconoce los costos de reestructuración. Si no se espera liquidar los beneficios en su totalidad dentro de los 12 meses posteriores al término del período sobre el que se informa, estos se descuentan.</w:t>
      </w:r>
    </w:p>
    <w:p w14:paraId="7C75D917" w14:textId="0E700C57" w:rsidR="00DD7A9E" w:rsidRPr="0009028A" w:rsidRDefault="00DD7A9E" w:rsidP="00DD7A9E">
      <w:pPr>
        <w:pStyle w:val="Ttulo2"/>
        <w:spacing w:afterAutospacing="0"/>
        <w:rPr>
          <w:rFonts w:ascii="Arial" w:hAnsi="Arial" w:cs="Arial"/>
          <w:b w:val="0"/>
        </w:rPr>
      </w:pPr>
      <w:bookmarkStart w:id="170" w:name="_Toc6294467"/>
      <w:bookmarkStart w:id="171" w:name="_Toc6322805"/>
      <w:bookmarkStart w:id="172" w:name="_Toc8735068"/>
      <w:r w:rsidRPr="0009028A">
        <w:rPr>
          <w:rFonts w:ascii="Arial" w:hAnsi="Arial" w:cs="Arial"/>
          <w:b w:val="0"/>
        </w:rPr>
        <w:t>4.1</w:t>
      </w:r>
      <w:r w:rsidR="00B92CF6">
        <w:rPr>
          <w:rFonts w:ascii="Arial" w:hAnsi="Arial" w:cs="Arial"/>
          <w:b w:val="0"/>
        </w:rPr>
        <w:t>1</w:t>
      </w:r>
      <w:r w:rsidRPr="0009028A">
        <w:rPr>
          <w:rFonts w:ascii="Arial" w:hAnsi="Arial" w:cs="Arial"/>
          <w:b w:val="0"/>
        </w:rPr>
        <w:t>. Provisiones</w:t>
      </w:r>
      <w:bookmarkEnd w:id="170"/>
      <w:bookmarkEnd w:id="171"/>
      <w:bookmarkEnd w:id="172"/>
    </w:p>
    <w:p w14:paraId="50163DBE" w14:textId="77777777" w:rsidR="00DD7A9E" w:rsidRPr="0009028A" w:rsidRDefault="00DD7A9E" w:rsidP="00DD7A9E">
      <w:pPr>
        <w:pStyle w:val="Prrafodelista"/>
        <w:widowControl w:val="0"/>
        <w:autoSpaceDE w:val="0"/>
        <w:autoSpaceDN w:val="0"/>
        <w:adjustRightInd w:val="0"/>
        <w:spacing w:before="220" w:line="240" w:lineRule="auto"/>
        <w:ind w:left="0"/>
        <w:contextualSpacing w:val="0"/>
        <w:jc w:val="both"/>
        <w:rPr>
          <w:rFonts w:ascii="Arial" w:hAnsi="Arial" w:cs="Arial"/>
          <w:sz w:val="20"/>
        </w:rPr>
      </w:pPr>
      <w:r w:rsidRPr="0009028A">
        <w:rPr>
          <w:rFonts w:ascii="Arial" w:hAnsi="Arial" w:cs="Arial"/>
          <w:sz w:val="20"/>
        </w:rPr>
        <w:t xml:space="preserve">Se reconoce una provisión por aquellos pasivos en los que existe incertidumbre sobre su cuantía o vencimiento, como resultado de un suceso pasado del que la </w:t>
      </w:r>
      <w:r w:rsidR="005744AF" w:rsidRPr="0009028A">
        <w:rPr>
          <w:rFonts w:ascii="Arial" w:hAnsi="Arial" w:cs="Arial"/>
          <w:sz w:val="20"/>
        </w:rPr>
        <w:t xml:space="preserve">Compañía </w:t>
      </w:r>
      <w:r w:rsidRPr="0009028A">
        <w:rPr>
          <w:rFonts w:ascii="Arial" w:hAnsi="Arial" w:cs="Arial"/>
          <w:sz w:val="20"/>
        </w:rPr>
        <w:t xml:space="preserve">posee una obligación legal o implícita que puede ser estimada de forma fiable y es probable que sea necesario un flujo de salida de beneficios económicos para resolverla. </w:t>
      </w:r>
    </w:p>
    <w:p w14:paraId="004B7B91" w14:textId="4BD0C3D2" w:rsidR="00DD7A9E" w:rsidRPr="0009028A" w:rsidRDefault="00DD7A9E" w:rsidP="00DD7A9E">
      <w:pPr>
        <w:pStyle w:val="Ttulo2"/>
        <w:spacing w:afterAutospacing="0"/>
        <w:rPr>
          <w:rFonts w:ascii="Arial" w:hAnsi="Arial" w:cs="Arial"/>
          <w:b w:val="0"/>
        </w:rPr>
      </w:pPr>
      <w:bookmarkStart w:id="173" w:name="_Toc6292918"/>
      <w:bookmarkStart w:id="174" w:name="_Toc6294468"/>
      <w:bookmarkStart w:id="175" w:name="_Toc6322806"/>
      <w:bookmarkStart w:id="176" w:name="_Toc7029853"/>
      <w:bookmarkStart w:id="177" w:name="_Toc8735069"/>
      <w:r w:rsidRPr="0009028A">
        <w:rPr>
          <w:rFonts w:ascii="Arial" w:hAnsi="Arial" w:cs="Arial"/>
          <w:b w:val="0"/>
        </w:rPr>
        <w:t>4.1</w:t>
      </w:r>
      <w:r w:rsidR="00B92CF6">
        <w:rPr>
          <w:rFonts w:ascii="Arial" w:hAnsi="Arial" w:cs="Arial"/>
          <w:b w:val="0"/>
        </w:rPr>
        <w:t>1</w:t>
      </w:r>
      <w:r w:rsidRPr="0009028A">
        <w:rPr>
          <w:rFonts w:ascii="Arial" w:hAnsi="Arial" w:cs="Arial"/>
          <w:b w:val="0"/>
        </w:rPr>
        <w:t>.1. Litigios</w:t>
      </w:r>
      <w:bookmarkEnd w:id="173"/>
      <w:bookmarkEnd w:id="174"/>
      <w:bookmarkEnd w:id="175"/>
      <w:bookmarkEnd w:id="176"/>
      <w:bookmarkEnd w:id="177"/>
    </w:p>
    <w:p w14:paraId="6AD01F79" w14:textId="77777777" w:rsidR="00DD7A9E" w:rsidRPr="0009028A" w:rsidRDefault="00DD7A9E" w:rsidP="00DD7A9E">
      <w:pPr>
        <w:pStyle w:val="Prrafodelista"/>
        <w:widowControl w:val="0"/>
        <w:autoSpaceDE w:val="0"/>
        <w:autoSpaceDN w:val="0"/>
        <w:adjustRightInd w:val="0"/>
        <w:spacing w:before="220" w:line="240" w:lineRule="auto"/>
        <w:ind w:left="0"/>
        <w:contextualSpacing w:val="0"/>
        <w:jc w:val="both"/>
        <w:rPr>
          <w:rFonts w:ascii="Arial" w:hAnsi="Arial" w:cs="Arial"/>
          <w:sz w:val="20"/>
        </w:rPr>
      </w:pPr>
      <w:r w:rsidRPr="0009028A">
        <w:rPr>
          <w:rFonts w:ascii="Arial" w:hAnsi="Arial" w:cs="Arial"/>
          <w:sz w:val="20"/>
        </w:rPr>
        <w:t xml:space="preserve">El saldo de la provisión para litigios cubre demandas interpuestas contra la </w:t>
      </w:r>
      <w:r w:rsidR="005744AF" w:rsidRPr="0009028A">
        <w:rPr>
          <w:rFonts w:ascii="Arial" w:hAnsi="Arial" w:cs="Arial"/>
          <w:sz w:val="20"/>
        </w:rPr>
        <w:t xml:space="preserve">Compañía </w:t>
      </w:r>
      <w:r w:rsidRPr="0009028A">
        <w:rPr>
          <w:rFonts w:ascii="Arial" w:hAnsi="Arial" w:cs="Arial"/>
          <w:sz w:val="20"/>
        </w:rPr>
        <w:t>por parte de determinados proveedores y clientes. De acuerdo con la opinión de los administradores, después de la correspondiente asesoría legal, no se espera que el resultado de estos litigios difiera significativamente de los importes provisionados al cierre de cada año.</w:t>
      </w:r>
    </w:p>
    <w:p w14:paraId="4D544ED5" w14:textId="34541059" w:rsidR="00DD7A9E" w:rsidRPr="0009028A" w:rsidRDefault="00DD7A9E" w:rsidP="00DD7A9E">
      <w:pPr>
        <w:pStyle w:val="Ttulo2"/>
        <w:spacing w:afterAutospacing="0"/>
        <w:rPr>
          <w:rFonts w:ascii="Arial" w:hAnsi="Arial" w:cs="Arial"/>
          <w:b w:val="0"/>
        </w:rPr>
      </w:pPr>
      <w:bookmarkStart w:id="178" w:name="_Toc6292919"/>
      <w:bookmarkStart w:id="179" w:name="_Toc6294469"/>
      <w:bookmarkStart w:id="180" w:name="_Toc6322807"/>
      <w:bookmarkStart w:id="181" w:name="_Toc7029854"/>
      <w:bookmarkStart w:id="182" w:name="_Toc8735070"/>
      <w:r w:rsidRPr="0009028A">
        <w:rPr>
          <w:rFonts w:ascii="Arial" w:hAnsi="Arial" w:cs="Arial"/>
          <w:b w:val="0"/>
        </w:rPr>
        <w:t>4.1</w:t>
      </w:r>
      <w:r w:rsidR="00B92CF6">
        <w:rPr>
          <w:rFonts w:ascii="Arial" w:hAnsi="Arial" w:cs="Arial"/>
          <w:b w:val="0"/>
        </w:rPr>
        <w:t>1</w:t>
      </w:r>
      <w:r w:rsidRPr="0009028A">
        <w:rPr>
          <w:rFonts w:ascii="Arial" w:hAnsi="Arial" w:cs="Arial"/>
          <w:b w:val="0"/>
        </w:rPr>
        <w:t>.2. Contratos de carácter oneroso</w:t>
      </w:r>
      <w:bookmarkEnd w:id="178"/>
      <w:bookmarkEnd w:id="179"/>
      <w:bookmarkEnd w:id="180"/>
      <w:bookmarkEnd w:id="181"/>
      <w:bookmarkEnd w:id="182"/>
    </w:p>
    <w:p w14:paraId="36611C91" w14:textId="77777777" w:rsidR="00DD7A9E" w:rsidRPr="0009028A" w:rsidRDefault="00DD7A9E" w:rsidP="00DD7A9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Una provisión para contratos de carácter oneroso es reconocida cuando los beneficios económicos que la Compañía espera la evaluación de índice de estados que son evaluados por la interventoría y los modelos económicos que han sido aprobados de este contrato sean menores que los costos inevitables para cumplir con sus obligaciones del contrato. La provisión es reconocida al valor presente del menor entre los costos esperados para finalizar el contrato o el costo neto esperado de continuar con el contrato. Antes de establecer una provisión, la Compañía reconoce cualquier pérdida por deterioro de los activos asociados con el contrato.</w:t>
      </w:r>
    </w:p>
    <w:p w14:paraId="4691C2B0" w14:textId="77777777" w:rsidR="005744AF" w:rsidRPr="0009028A" w:rsidRDefault="005744AF" w:rsidP="008B3749">
      <w:pPr>
        <w:pStyle w:val="Sinespaciado"/>
      </w:pPr>
      <w:bookmarkStart w:id="183" w:name="_Toc6292920"/>
      <w:bookmarkStart w:id="184" w:name="_Toc6294470"/>
      <w:bookmarkStart w:id="185" w:name="_Toc6322808"/>
      <w:bookmarkStart w:id="186" w:name="_Toc7029855"/>
    </w:p>
    <w:p w14:paraId="60E6B5DF" w14:textId="6B56B75D" w:rsidR="00DD7A9E" w:rsidRPr="0009028A" w:rsidRDefault="00DD7A9E" w:rsidP="00DD7A9E">
      <w:pPr>
        <w:pStyle w:val="Ttulo2"/>
        <w:spacing w:afterAutospacing="0"/>
        <w:rPr>
          <w:rFonts w:ascii="Arial" w:hAnsi="Arial" w:cs="Arial"/>
          <w:b w:val="0"/>
        </w:rPr>
      </w:pPr>
      <w:bookmarkStart w:id="187" w:name="_Toc8735071"/>
      <w:r w:rsidRPr="0009028A">
        <w:rPr>
          <w:rFonts w:ascii="Arial" w:hAnsi="Arial" w:cs="Arial"/>
          <w:b w:val="0"/>
        </w:rPr>
        <w:t>4.1</w:t>
      </w:r>
      <w:r w:rsidR="00B92CF6">
        <w:rPr>
          <w:rFonts w:ascii="Arial" w:hAnsi="Arial" w:cs="Arial"/>
          <w:b w:val="0"/>
        </w:rPr>
        <w:t>1</w:t>
      </w:r>
      <w:r w:rsidRPr="0009028A">
        <w:rPr>
          <w:rFonts w:ascii="Arial" w:hAnsi="Arial" w:cs="Arial"/>
          <w:b w:val="0"/>
        </w:rPr>
        <w:t>.3. Mantenimiento mayor</w:t>
      </w:r>
      <w:bookmarkEnd w:id="183"/>
      <w:bookmarkEnd w:id="184"/>
      <w:bookmarkEnd w:id="185"/>
      <w:bookmarkEnd w:id="186"/>
      <w:bookmarkEnd w:id="187"/>
    </w:p>
    <w:p w14:paraId="0DDC2759" w14:textId="77777777" w:rsidR="00DD7A9E" w:rsidRPr="0009028A" w:rsidRDefault="00DD7A9E" w:rsidP="00DD7A9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Para las concesiones próximas a iniciar el mantenimiento mayor se realizan estudios preliminares del costo estimado de dicho mantenimiento, y sobre la base a los estudios realizados y consideraciones internas de la gerencia. En estos análisis se incluye contractualmente.</w:t>
      </w:r>
    </w:p>
    <w:p w14:paraId="51DE340F" w14:textId="77777777" w:rsidR="00DD7A9E" w:rsidRPr="0009028A" w:rsidRDefault="00DD7A9E" w:rsidP="00DD7A9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Para el mantenimiento mayor de las concesiones a largo plazo, la obligación de pavimentación surge como consecuencia del uso de la carretera durante la fase de operación, considerando los costos estimados ajustados con IPC de EEUU, sobre este monto se realiza la actualización a valor presente de la obligación.</w:t>
      </w:r>
    </w:p>
    <w:p w14:paraId="547FFC2A" w14:textId="77777777" w:rsidR="00DD7A9E" w:rsidRPr="0009028A" w:rsidRDefault="00DD7A9E" w:rsidP="00DD7A9E">
      <w:pPr>
        <w:pStyle w:val="Textoindependiente"/>
        <w:tabs>
          <w:tab w:val="left" w:pos="284"/>
        </w:tabs>
        <w:spacing w:after="0" w:line="240" w:lineRule="auto"/>
        <w:jc w:val="both"/>
        <w:rPr>
          <w:rFonts w:ascii="Arial" w:eastAsiaTheme="minorEastAsia" w:hAnsi="Arial" w:cs="Arial"/>
          <w:sz w:val="20"/>
          <w:szCs w:val="20"/>
        </w:rPr>
      </w:pPr>
    </w:p>
    <w:p w14:paraId="4CF9B37E" w14:textId="450E670B" w:rsidR="00DD7A9E" w:rsidRPr="0009028A" w:rsidRDefault="00DD7A9E" w:rsidP="00DD7A9E">
      <w:pPr>
        <w:pStyle w:val="Ttulo2"/>
        <w:spacing w:afterAutospacing="0"/>
        <w:rPr>
          <w:rFonts w:ascii="Arial" w:hAnsi="Arial" w:cs="Arial"/>
          <w:b w:val="0"/>
        </w:rPr>
      </w:pPr>
      <w:bookmarkStart w:id="188" w:name="_Toc6294471"/>
      <w:bookmarkStart w:id="189" w:name="_Toc6322809"/>
      <w:bookmarkStart w:id="190" w:name="_Toc8735072"/>
      <w:r w:rsidRPr="0009028A">
        <w:rPr>
          <w:rFonts w:ascii="Arial" w:hAnsi="Arial" w:cs="Arial"/>
          <w:b w:val="0"/>
        </w:rPr>
        <w:t>4.1</w:t>
      </w:r>
      <w:r w:rsidR="00B92CF6">
        <w:rPr>
          <w:rFonts w:ascii="Arial" w:hAnsi="Arial" w:cs="Arial"/>
          <w:b w:val="0"/>
        </w:rPr>
        <w:t>2</w:t>
      </w:r>
      <w:r w:rsidRPr="0009028A">
        <w:rPr>
          <w:rFonts w:ascii="Arial" w:hAnsi="Arial" w:cs="Arial"/>
          <w:b w:val="0"/>
        </w:rPr>
        <w:t>. Capital social / acciones comunes</w:t>
      </w:r>
      <w:bookmarkEnd w:id="188"/>
      <w:bookmarkEnd w:id="189"/>
      <w:bookmarkEnd w:id="190"/>
    </w:p>
    <w:p w14:paraId="2267D99E" w14:textId="77777777" w:rsidR="00DD7A9E" w:rsidRPr="0009028A" w:rsidRDefault="00DD7A9E" w:rsidP="00DD7A9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Las acciones comunes son clasificadas como patrimonio. Los costos incrementales atribuibles directamente a la emisión de acciones comunes y a opciones de acciones son reconocidas como una deducción del patrimonio, netos de cualquier efecto tributario.</w:t>
      </w:r>
    </w:p>
    <w:p w14:paraId="05144B02" w14:textId="77777777" w:rsidR="005744AF" w:rsidRPr="0009028A" w:rsidRDefault="005744AF" w:rsidP="008B3749">
      <w:pPr>
        <w:pStyle w:val="Sinespaciado"/>
      </w:pPr>
      <w:bookmarkStart w:id="191" w:name="_Toc6294472"/>
      <w:bookmarkStart w:id="192" w:name="_Toc6322810"/>
    </w:p>
    <w:p w14:paraId="768E3F93" w14:textId="470A036B" w:rsidR="005744AF" w:rsidRPr="0009028A" w:rsidRDefault="00DD7A9E" w:rsidP="005744AF">
      <w:pPr>
        <w:pStyle w:val="Ttulo2"/>
        <w:spacing w:afterAutospacing="0"/>
        <w:rPr>
          <w:rFonts w:ascii="Arial" w:hAnsi="Arial" w:cs="Arial"/>
          <w:b w:val="0"/>
        </w:rPr>
      </w:pPr>
      <w:bookmarkStart w:id="193" w:name="_Toc8735073"/>
      <w:r w:rsidRPr="0009028A">
        <w:rPr>
          <w:rFonts w:ascii="Arial" w:hAnsi="Arial" w:cs="Arial"/>
          <w:b w:val="0"/>
        </w:rPr>
        <w:t>4.1</w:t>
      </w:r>
      <w:r w:rsidR="00B92CF6">
        <w:rPr>
          <w:rFonts w:ascii="Arial" w:hAnsi="Arial" w:cs="Arial"/>
          <w:b w:val="0"/>
        </w:rPr>
        <w:t>3</w:t>
      </w:r>
      <w:r w:rsidRPr="0009028A">
        <w:rPr>
          <w:rFonts w:ascii="Arial" w:hAnsi="Arial" w:cs="Arial"/>
          <w:b w:val="0"/>
        </w:rPr>
        <w:t>. Ingresos</w:t>
      </w:r>
      <w:bookmarkEnd w:id="191"/>
      <w:bookmarkEnd w:id="192"/>
      <w:r w:rsidR="000550B9">
        <w:rPr>
          <w:rFonts w:ascii="Arial" w:hAnsi="Arial" w:cs="Arial"/>
          <w:b w:val="0"/>
        </w:rPr>
        <w:t xml:space="preserve"> por contratos con clientes</w:t>
      </w:r>
      <w:bookmarkEnd w:id="193"/>
    </w:p>
    <w:p w14:paraId="4A29DEEA" w14:textId="77777777" w:rsidR="005744AF" w:rsidRPr="0009028A" w:rsidRDefault="005744AF" w:rsidP="008B3749">
      <w:pPr>
        <w:pStyle w:val="Sinespaciado"/>
      </w:pPr>
    </w:p>
    <w:p w14:paraId="60B18880" w14:textId="25C152BD" w:rsidR="00DD7A9E" w:rsidRPr="0009028A" w:rsidRDefault="00DD7A9E" w:rsidP="00DD7A9E">
      <w:pPr>
        <w:pStyle w:val="Ttulo2"/>
        <w:spacing w:afterAutospacing="0"/>
        <w:rPr>
          <w:rFonts w:ascii="Arial" w:hAnsi="Arial" w:cs="Arial"/>
          <w:b w:val="0"/>
        </w:rPr>
      </w:pPr>
      <w:bookmarkStart w:id="194" w:name="_Toc6292923"/>
      <w:bookmarkStart w:id="195" w:name="_Toc6294473"/>
      <w:bookmarkStart w:id="196" w:name="_Toc6322811"/>
      <w:bookmarkStart w:id="197" w:name="_Toc7029858"/>
      <w:bookmarkStart w:id="198" w:name="_Toc8735074"/>
      <w:r w:rsidRPr="0009028A">
        <w:rPr>
          <w:rFonts w:ascii="Arial" w:hAnsi="Arial" w:cs="Arial"/>
          <w:b w:val="0"/>
        </w:rPr>
        <w:t>4.1</w:t>
      </w:r>
      <w:r w:rsidR="00B92CF6">
        <w:rPr>
          <w:rFonts w:ascii="Arial" w:hAnsi="Arial" w:cs="Arial"/>
          <w:b w:val="0"/>
        </w:rPr>
        <w:t>3</w:t>
      </w:r>
      <w:r w:rsidRPr="0009028A">
        <w:rPr>
          <w:rFonts w:ascii="Arial" w:hAnsi="Arial" w:cs="Arial"/>
          <w:b w:val="0"/>
        </w:rPr>
        <w:t>.1. Activos de contratos</w:t>
      </w:r>
      <w:bookmarkEnd w:id="194"/>
      <w:bookmarkEnd w:id="195"/>
      <w:bookmarkEnd w:id="196"/>
      <w:bookmarkEnd w:id="197"/>
      <w:bookmarkEnd w:id="198"/>
    </w:p>
    <w:p w14:paraId="15CE72E4" w14:textId="77777777" w:rsidR="005744AF" w:rsidRPr="0009028A" w:rsidRDefault="005744AF" w:rsidP="008B3749">
      <w:pPr>
        <w:pStyle w:val="Sinespaciado"/>
      </w:pPr>
    </w:p>
    <w:p w14:paraId="2C1A46E2" w14:textId="77777777" w:rsidR="00DD7A9E" w:rsidRPr="0009028A" w:rsidRDefault="00DD7A9E" w:rsidP="00DD7A9E">
      <w:pPr>
        <w:spacing w:line="240" w:lineRule="auto"/>
        <w:jc w:val="both"/>
        <w:rPr>
          <w:rFonts w:ascii="Arial" w:hAnsi="Arial" w:cs="Arial"/>
          <w:sz w:val="20"/>
        </w:rPr>
      </w:pPr>
      <w:r w:rsidRPr="0009028A">
        <w:rPr>
          <w:rFonts w:ascii="Arial" w:hAnsi="Arial" w:cs="Arial"/>
          <w:sz w:val="20"/>
        </w:rPr>
        <w:t>Un activo de contrato es el derecho de la Compañía a recibir un pago a cambio de bienes o servicios que la Compañía ha transferido a un cliente, cuando ese derecho está supeditado a otra cosa que no sea el paso del tiempo (por ejemplo, la facturación o entrega de otros elementos parte del contrato). La Compañía percibe los activos de contratos como activos corrientes, ya que se espera realizarlos dentro del ciclo operativo normal.</w:t>
      </w:r>
    </w:p>
    <w:p w14:paraId="071E0C78" w14:textId="3133BCB4" w:rsidR="00DD7A9E" w:rsidRPr="0009028A" w:rsidRDefault="00DD7A9E" w:rsidP="00DD7A9E">
      <w:pPr>
        <w:spacing w:line="240" w:lineRule="auto"/>
        <w:jc w:val="both"/>
        <w:rPr>
          <w:rFonts w:ascii="Arial" w:hAnsi="Arial" w:cs="Arial"/>
          <w:sz w:val="20"/>
        </w:rPr>
      </w:pPr>
      <w:r w:rsidRPr="0009028A">
        <w:rPr>
          <w:rFonts w:ascii="Arial" w:hAnsi="Arial" w:cs="Arial"/>
          <w:sz w:val="20"/>
        </w:rPr>
        <w:t xml:space="preserve">Los costos de contratos elegibles para capitalización como costos incrementales al obtener un contrato se reconocen como un activo de contrato. Los costos de suscripción de contratos se capitalizan al ser incurridos si la Compañía espera recuperar dichos costos. Los costos de suscripción de contratos constituyen activos no corrientes en la medida que se espera recibir los beneficios económicos de dichos activos en un periodo mayor a doce meses. Los contratos se amortizan de forma sistemática y consistente con la transferencia al cliente de los servicios una vez se han reconocido los ingresos correspondientes. Los costos de suscripción de contratos capitalizados se deterioran si el cliente se retira o si el monto en libros del activo supera la proyección de los flujos de caja descontados que están relacionados con el contrato. </w:t>
      </w:r>
    </w:p>
    <w:p w14:paraId="3CCDA146" w14:textId="4F5CF00F" w:rsidR="00DD7A9E" w:rsidRPr="0009028A" w:rsidRDefault="00DD7A9E" w:rsidP="000550B9">
      <w:pPr>
        <w:pStyle w:val="Ttulo2"/>
        <w:spacing w:after="240" w:afterAutospacing="0"/>
        <w:rPr>
          <w:rFonts w:ascii="Arial" w:hAnsi="Arial" w:cs="Arial"/>
          <w:b w:val="0"/>
        </w:rPr>
      </w:pPr>
      <w:bookmarkStart w:id="199" w:name="_Toc6292924"/>
      <w:bookmarkStart w:id="200" w:name="_Toc6294474"/>
      <w:bookmarkStart w:id="201" w:name="_Toc6322812"/>
      <w:bookmarkStart w:id="202" w:name="_Toc7029859"/>
      <w:bookmarkStart w:id="203" w:name="_Toc8735075"/>
      <w:r w:rsidRPr="0009028A">
        <w:rPr>
          <w:rFonts w:ascii="Arial" w:hAnsi="Arial" w:cs="Arial"/>
          <w:b w:val="0"/>
        </w:rPr>
        <w:t>4.1</w:t>
      </w:r>
      <w:r w:rsidR="00B92CF6">
        <w:rPr>
          <w:rFonts w:ascii="Arial" w:hAnsi="Arial" w:cs="Arial"/>
          <w:b w:val="0"/>
        </w:rPr>
        <w:t>3</w:t>
      </w:r>
      <w:r w:rsidRPr="0009028A">
        <w:rPr>
          <w:rFonts w:ascii="Arial" w:hAnsi="Arial" w:cs="Arial"/>
          <w:b w:val="0"/>
        </w:rPr>
        <w:t>.2. Pasivos de contratos</w:t>
      </w:r>
      <w:bookmarkEnd w:id="199"/>
      <w:bookmarkEnd w:id="200"/>
      <w:bookmarkEnd w:id="201"/>
      <w:bookmarkEnd w:id="202"/>
      <w:bookmarkEnd w:id="203"/>
    </w:p>
    <w:p w14:paraId="123735FF" w14:textId="77777777" w:rsidR="00DD7A9E" w:rsidRPr="0009028A" w:rsidRDefault="00DD7A9E" w:rsidP="00DD7A9E">
      <w:pPr>
        <w:spacing w:line="240" w:lineRule="auto"/>
        <w:jc w:val="both"/>
        <w:rPr>
          <w:rFonts w:ascii="Arial" w:hAnsi="Arial" w:cs="Arial"/>
          <w:sz w:val="20"/>
          <w:szCs w:val="20"/>
        </w:rPr>
      </w:pPr>
      <w:r w:rsidRPr="0009028A">
        <w:rPr>
          <w:rFonts w:ascii="Arial" w:hAnsi="Arial" w:cs="Arial"/>
          <w:sz w:val="20"/>
        </w:rPr>
        <w:t>Los pasivos de contratos constituyen la obligación de la Compañía a transferir bienes o servicios a un cliente, por los cuales la Compañía ha recibido un pago por parte del cliente final o si el monto está vencido.   Incluyen también el ingreso diferido relacionado con bienes o servicios que se entregarán o prestarán en el futuro, los cuales se facturan al cliente por adelantado, pero aún no están vencidos.</w:t>
      </w:r>
      <w:r w:rsidRPr="0009028A">
        <w:rPr>
          <w:rFonts w:ascii="Arial" w:hAnsi="Arial" w:cs="Arial"/>
          <w:sz w:val="20"/>
          <w:szCs w:val="20"/>
        </w:rPr>
        <w:t xml:space="preserve"> </w:t>
      </w:r>
    </w:p>
    <w:p w14:paraId="6B1F34ED" w14:textId="77777777" w:rsidR="00DD7A9E" w:rsidRPr="0009028A" w:rsidRDefault="00DD7A9E" w:rsidP="00DD7A9E">
      <w:pPr>
        <w:spacing w:line="240" w:lineRule="auto"/>
        <w:jc w:val="both"/>
        <w:rPr>
          <w:rFonts w:ascii="Arial" w:hAnsi="Arial" w:cs="Arial"/>
          <w:sz w:val="20"/>
          <w:szCs w:val="20"/>
        </w:rPr>
      </w:pPr>
      <w:r w:rsidRPr="0009028A">
        <w:rPr>
          <w:rFonts w:ascii="Arial" w:eastAsiaTheme="majorEastAsia" w:hAnsi="Arial" w:cs="Arial"/>
          <w:b/>
          <w:color w:val="002060"/>
          <w:sz w:val="20"/>
          <w:szCs w:val="20"/>
        </w:rPr>
        <w:t xml:space="preserve">Ingresos provenientes de contratos con clientes </w:t>
      </w:r>
    </w:p>
    <w:p w14:paraId="273E5844" w14:textId="77777777" w:rsidR="00DD7A9E" w:rsidRPr="0009028A" w:rsidRDefault="00DD7A9E" w:rsidP="00DD7A9E">
      <w:pPr>
        <w:spacing w:line="240" w:lineRule="auto"/>
        <w:jc w:val="both"/>
        <w:rPr>
          <w:rFonts w:ascii="Arial" w:hAnsi="Arial" w:cs="Arial"/>
          <w:sz w:val="20"/>
        </w:rPr>
      </w:pPr>
      <w:r w:rsidRPr="0009028A">
        <w:rPr>
          <w:rFonts w:ascii="Arial" w:hAnsi="Arial" w:cs="Arial"/>
          <w:sz w:val="20"/>
        </w:rPr>
        <w:t xml:space="preserve">La Compañía reconoce los ingresos provenientes de contratos con clientes con base en un modelo de cinco pasos establecido en la NIIF 15: </w:t>
      </w:r>
    </w:p>
    <w:p w14:paraId="1DCCFF66" w14:textId="77777777" w:rsidR="00DD7A9E" w:rsidRPr="0009028A" w:rsidRDefault="00DD7A9E" w:rsidP="00835247">
      <w:pPr>
        <w:pStyle w:val="Prrafodelista"/>
        <w:numPr>
          <w:ilvl w:val="0"/>
          <w:numId w:val="26"/>
        </w:numPr>
        <w:spacing w:after="0" w:line="240" w:lineRule="auto"/>
        <w:ind w:left="426"/>
        <w:jc w:val="both"/>
        <w:rPr>
          <w:rFonts w:ascii="Arial" w:hAnsi="Arial" w:cs="Arial"/>
          <w:sz w:val="20"/>
        </w:rPr>
      </w:pPr>
      <w:r w:rsidRPr="0009028A">
        <w:rPr>
          <w:rFonts w:ascii="Arial" w:hAnsi="Arial" w:cs="Arial"/>
          <w:sz w:val="20"/>
        </w:rPr>
        <w:t>Paso 1. Identificación de contratos con clientes: Un contrato se define como un acuerdo entre dos o más partes, el cual crea derechos y obligaciones exigibles y establece criterios que se deben cumplir para cada contrato. Los contratos pueden ser escritos, verbales o implícitos a través de las prácticas empresariales acostumbradas de una empresa.</w:t>
      </w:r>
    </w:p>
    <w:p w14:paraId="5C6EA599" w14:textId="77777777" w:rsidR="00485DEA" w:rsidRPr="0009028A" w:rsidRDefault="00DD7A9E" w:rsidP="00835247">
      <w:pPr>
        <w:pStyle w:val="Prrafodelista"/>
        <w:numPr>
          <w:ilvl w:val="0"/>
          <w:numId w:val="26"/>
        </w:numPr>
        <w:spacing w:after="0" w:line="240" w:lineRule="auto"/>
        <w:ind w:left="426"/>
        <w:jc w:val="both"/>
        <w:rPr>
          <w:rFonts w:ascii="Arial" w:hAnsi="Arial" w:cs="Arial"/>
          <w:sz w:val="20"/>
        </w:rPr>
      </w:pPr>
      <w:r w:rsidRPr="0009028A">
        <w:rPr>
          <w:rFonts w:ascii="Arial" w:hAnsi="Arial" w:cs="Arial"/>
          <w:sz w:val="20"/>
        </w:rPr>
        <w:t>Paso 2. Identificación de las obligaciones de desempeño en el contrato: Una obligación de desempeño es una promesa en un contrato con un cliente para la transferencia de un bien o servicio a este último.</w:t>
      </w:r>
    </w:p>
    <w:p w14:paraId="1BD3CB9B" w14:textId="77777777" w:rsidR="00DD7A9E" w:rsidRPr="0009028A" w:rsidRDefault="00DD7A9E" w:rsidP="00835247">
      <w:pPr>
        <w:pStyle w:val="Prrafodelista"/>
        <w:numPr>
          <w:ilvl w:val="0"/>
          <w:numId w:val="26"/>
        </w:numPr>
        <w:spacing w:after="0" w:line="240" w:lineRule="auto"/>
        <w:ind w:left="426"/>
        <w:jc w:val="both"/>
        <w:rPr>
          <w:rFonts w:ascii="Arial" w:hAnsi="Arial" w:cs="Arial"/>
          <w:sz w:val="20"/>
        </w:rPr>
      </w:pPr>
      <w:r w:rsidRPr="0009028A">
        <w:rPr>
          <w:rFonts w:ascii="Arial" w:hAnsi="Arial" w:cs="Arial"/>
          <w:sz w:val="20"/>
        </w:rPr>
        <w:t>Paso 3. Determinación del precio de la transacción: El precio de la transacción es el monto del pago al que la Compañía espera tener derecho a cambio de la transferencia de los bienes o servicios prometidos a un cliente, sin tener en cuenta los montos recibidos en representación de terceros.</w:t>
      </w:r>
    </w:p>
    <w:p w14:paraId="2736B7CD" w14:textId="77777777" w:rsidR="00DD7A9E" w:rsidRPr="0009028A" w:rsidRDefault="00DD7A9E" w:rsidP="00835247">
      <w:pPr>
        <w:pStyle w:val="Prrafodelista"/>
        <w:numPr>
          <w:ilvl w:val="0"/>
          <w:numId w:val="26"/>
        </w:numPr>
        <w:spacing w:after="0" w:line="240" w:lineRule="auto"/>
        <w:ind w:left="426"/>
        <w:jc w:val="both"/>
        <w:rPr>
          <w:rFonts w:ascii="Arial" w:hAnsi="Arial" w:cs="Arial"/>
          <w:sz w:val="20"/>
        </w:rPr>
      </w:pPr>
      <w:r w:rsidRPr="0009028A">
        <w:rPr>
          <w:rFonts w:ascii="Arial" w:hAnsi="Arial" w:cs="Arial"/>
          <w:sz w:val="20"/>
        </w:rPr>
        <w:t>Paso 4. Distribuir el precio de la transacción entre las obligaciones de desempeño del contrato: En un contrato que tiene más de una obligación de desempeño, la Compañía distribuye el precio de la transacción entre las obligaciones de desempeño en montos que representen el monto de la consideración a la que la Compañía espera tener derecho a cambio de cumplir cada obligación de desempeño.</w:t>
      </w:r>
    </w:p>
    <w:p w14:paraId="7935F9AD" w14:textId="77777777" w:rsidR="00DD7A9E" w:rsidRPr="0009028A" w:rsidRDefault="00DD7A9E" w:rsidP="00835247">
      <w:pPr>
        <w:pStyle w:val="Prrafodelista"/>
        <w:numPr>
          <w:ilvl w:val="0"/>
          <w:numId w:val="26"/>
        </w:numPr>
        <w:tabs>
          <w:tab w:val="left" w:pos="426"/>
        </w:tabs>
        <w:spacing w:after="0" w:line="240" w:lineRule="auto"/>
        <w:ind w:left="426"/>
        <w:jc w:val="both"/>
        <w:rPr>
          <w:rFonts w:ascii="Arial" w:hAnsi="Arial" w:cs="Arial"/>
          <w:sz w:val="20"/>
        </w:rPr>
      </w:pPr>
      <w:r w:rsidRPr="0009028A">
        <w:rPr>
          <w:rFonts w:ascii="Arial" w:hAnsi="Arial" w:cs="Arial"/>
          <w:sz w:val="20"/>
        </w:rPr>
        <w:t>Paso 5. Reconocimiento de ingresos cuando (o a medida que) la Compañía cumple una obligación de desempeño.</w:t>
      </w:r>
    </w:p>
    <w:p w14:paraId="26B8699F" w14:textId="77777777" w:rsidR="005744AF" w:rsidRPr="0009028A" w:rsidRDefault="005744AF" w:rsidP="008B3749">
      <w:pPr>
        <w:pStyle w:val="Sinespaciado"/>
      </w:pPr>
    </w:p>
    <w:p w14:paraId="0BB8B156" w14:textId="77777777" w:rsidR="00DD7A9E" w:rsidRPr="0009028A" w:rsidRDefault="00DD7A9E" w:rsidP="00DD7A9E">
      <w:pPr>
        <w:spacing w:line="240" w:lineRule="auto"/>
        <w:jc w:val="both"/>
        <w:rPr>
          <w:rFonts w:ascii="Arial" w:hAnsi="Arial" w:cs="Arial"/>
          <w:sz w:val="20"/>
        </w:rPr>
      </w:pPr>
      <w:r w:rsidRPr="0009028A">
        <w:rPr>
          <w:rFonts w:ascii="Arial" w:hAnsi="Arial" w:cs="Arial"/>
          <w:sz w:val="20"/>
        </w:rPr>
        <w:t xml:space="preserve">La Compañía cumple una obligación de desempeño y reconoce los ingresos a través del tiempo, si se cumple alguno de los siguientes criterios: </w:t>
      </w:r>
    </w:p>
    <w:p w14:paraId="4777E90A" w14:textId="77777777" w:rsidR="00DD7A9E" w:rsidRPr="0009028A" w:rsidRDefault="00DD7A9E" w:rsidP="00835247">
      <w:pPr>
        <w:pStyle w:val="Prrafodelista"/>
        <w:numPr>
          <w:ilvl w:val="0"/>
          <w:numId w:val="17"/>
        </w:numPr>
        <w:spacing w:after="0" w:line="240" w:lineRule="auto"/>
        <w:ind w:left="284" w:hanging="284"/>
        <w:jc w:val="both"/>
        <w:rPr>
          <w:rFonts w:ascii="Arial" w:hAnsi="Arial" w:cs="Arial"/>
          <w:sz w:val="20"/>
        </w:rPr>
      </w:pPr>
      <w:r w:rsidRPr="0009028A">
        <w:rPr>
          <w:rFonts w:ascii="Arial" w:hAnsi="Arial" w:cs="Arial"/>
          <w:sz w:val="20"/>
        </w:rPr>
        <w:t>El desempeño de la Compañía no crea un activo con un uso alternativo para la Compañía, y la Compañía tiene un derecho exigible al pago por el desempeño completado a la fecha.</w:t>
      </w:r>
    </w:p>
    <w:p w14:paraId="5E33F255" w14:textId="77777777" w:rsidR="00DD7A9E" w:rsidRPr="0009028A" w:rsidRDefault="00DD7A9E" w:rsidP="00835247">
      <w:pPr>
        <w:pStyle w:val="Prrafodelista"/>
        <w:numPr>
          <w:ilvl w:val="0"/>
          <w:numId w:val="17"/>
        </w:numPr>
        <w:spacing w:after="0" w:line="240" w:lineRule="auto"/>
        <w:ind w:left="284" w:hanging="284"/>
        <w:jc w:val="both"/>
        <w:rPr>
          <w:rFonts w:ascii="Arial" w:hAnsi="Arial" w:cs="Arial"/>
          <w:sz w:val="20"/>
        </w:rPr>
      </w:pPr>
      <w:r w:rsidRPr="0009028A">
        <w:rPr>
          <w:rFonts w:ascii="Arial" w:hAnsi="Arial" w:cs="Arial"/>
          <w:sz w:val="20"/>
        </w:rPr>
        <w:t>El desempeño de la Compañía crea o mejora un activo que el cliente controla a medida que el mismo se crea o mejora.</w:t>
      </w:r>
    </w:p>
    <w:p w14:paraId="09E48E95" w14:textId="77777777" w:rsidR="00DD7A9E" w:rsidRPr="0009028A" w:rsidRDefault="00DD7A9E" w:rsidP="00835247">
      <w:pPr>
        <w:pStyle w:val="Prrafodelista"/>
        <w:numPr>
          <w:ilvl w:val="0"/>
          <w:numId w:val="17"/>
        </w:numPr>
        <w:spacing w:after="0" w:line="240" w:lineRule="auto"/>
        <w:ind w:left="284" w:hanging="284"/>
        <w:jc w:val="both"/>
        <w:rPr>
          <w:rFonts w:ascii="Arial" w:hAnsi="Arial" w:cs="Arial"/>
          <w:sz w:val="20"/>
        </w:rPr>
      </w:pPr>
      <w:r w:rsidRPr="0009028A">
        <w:rPr>
          <w:rFonts w:ascii="Arial" w:hAnsi="Arial" w:cs="Arial"/>
          <w:sz w:val="20"/>
        </w:rPr>
        <w:t>El cliente al mismo tiempo recibe y consume los beneficios que resultan del desempeño de la Compañía a medida que este trabaja.</w:t>
      </w:r>
    </w:p>
    <w:p w14:paraId="203EAC98" w14:textId="77777777" w:rsidR="00DD7A9E" w:rsidRPr="0009028A" w:rsidRDefault="00DD7A9E" w:rsidP="00DD7A9E">
      <w:pPr>
        <w:spacing w:line="240" w:lineRule="auto"/>
        <w:jc w:val="both"/>
        <w:rPr>
          <w:rFonts w:ascii="Arial" w:hAnsi="Arial" w:cs="Arial"/>
          <w:sz w:val="20"/>
        </w:rPr>
      </w:pPr>
      <w:r w:rsidRPr="0009028A">
        <w:rPr>
          <w:rFonts w:ascii="Arial" w:hAnsi="Arial" w:cs="Arial"/>
          <w:sz w:val="20"/>
        </w:rPr>
        <w:t>Para obligaciones de desempeño donde no se cumple ninguna de las condiciones indicadas, se reconoce el ingreso en el momento en que se cumple la obligación de desempeño.</w:t>
      </w:r>
    </w:p>
    <w:p w14:paraId="1F6FFB1E" w14:textId="77777777" w:rsidR="00DD7A9E" w:rsidRPr="0009028A" w:rsidRDefault="00DD7A9E" w:rsidP="00DD7A9E">
      <w:pPr>
        <w:spacing w:line="240" w:lineRule="auto"/>
        <w:jc w:val="both"/>
        <w:rPr>
          <w:rFonts w:ascii="Arial" w:hAnsi="Arial" w:cs="Arial"/>
          <w:sz w:val="20"/>
        </w:rPr>
      </w:pPr>
      <w:r w:rsidRPr="0009028A">
        <w:rPr>
          <w:rFonts w:ascii="Arial" w:hAnsi="Arial" w:cs="Arial"/>
          <w:sz w:val="20"/>
        </w:rPr>
        <w:t xml:space="preserve">Cuando la Compañía cumple una obligación de desempeño mediante la entrega de los bienes o servicios prometidos, crea un activo de contrato por el monto de la consideración obtenida con el desempeño. Cuando el monto de la consideración recibida por parte de un cliente supera el monto del ingreso reconocido, esto genera un pasivo de contrato. </w:t>
      </w:r>
    </w:p>
    <w:p w14:paraId="260174B5" w14:textId="77777777" w:rsidR="00DD7A9E" w:rsidRPr="0009028A" w:rsidRDefault="00DD7A9E" w:rsidP="00DD7A9E">
      <w:pPr>
        <w:spacing w:line="240" w:lineRule="auto"/>
        <w:jc w:val="both"/>
        <w:rPr>
          <w:rFonts w:ascii="Arial" w:hAnsi="Arial" w:cs="Arial"/>
          <w:sz w:val="20"/>
        </w:rPr>
      </w:pPr>
      <w:r w:rsidRPr="0009028A">
        <w:rPr>
          <w:rFonts w:ascii="Arial" w:hAnsi="Arial" w:cs="Arial"/>
          <w:sz w:val="20"/>
        </w:rPr>
        <w:t>El ingreso se mide con base en la consideración especificada en el contrato con el cliente, y excluye los montos recibidos en representación de terceros. La Compañía reconoce ingresos cuando transfiere el control sobre un bien o servicio a un cliente. El ingreso se presenta neto del impuesto al valor agregado (IVA), reembolsos y descuentos y tras eliminar las ventas al interior de la Compañía.</w:t>
      </w:r>
    </w:p>
    <w:p w14:paraId="20E7102F" w14:textId="77777777" w:rsidR="00DD7A9E" w:rsidRPr="0009028A" w:rsidRDefault="00DD7A9E" w:rsidP="00DD7A9E">
      <w:pPr>
        <w:spacing w:line="240" w:lineRule="auto"/>
        <w:jc w:val="both"/>
        <w:rPr>
          <w:rFonts w:ascii="Arial" w:hAnsi="Arial" w:cs="Arial"/>
          <w:sz w:val="20"/>
        </w:rPr>
      </w:pPr>
      <w:r w:rsidRPr="0009028A">
        <w:rPr>
          <w:rFonts w:ascii="Arial" w:hAnsi="Arial" w:cs="Arial"/>
          <w:sz w:val="20"/>
        </w:rPr>
        <w:t>La Compañía evalúa sus planes de ingreso con base en criterios específicos para determinar si actúa como principal o como agente.</w:t>
      </w:r>
    </w:p>
    <w:p w14:paraId="5B64990A" w14:textId="77777777" w:rsidR="00DD7A9E" w:rsidRPr="0009028A" w:rsidRDefault="00DD7A9E" w:rsidP="00DD7A9E">
      <w:pPr>
        <w:spacing w:line="240" w:lineRule="auto"/>
        <w:jc w:val="both"/>
        <w:rPr>
          <w:rFonts w:ascii="Arial" w:hAnsi="Arial" w:cs="Arial"/>
          <w:sz w:val="20"/>
        </w:rPr>
      </w:pPr>
      <w:r w:rsidRPr="0009028A">
        <w:rPr>
          <w:rFonts w:ascii="Arial" w:hAnsi="Arial" w:cs="Arial"/>
          <w:sz w:val="20"/>
        </w:rPr>
        <w:t>El ingreso se reconoce en la medida que es probable que los beneficios económicos fluyan hacia la Compañía y si es posible medir de forma confiable los ingresos y costos, en caso que los haya.</w:t>
      </w:r>
    </w:p>
    <w:p w14:paraId="3D4FF6CA" w14:textId="77777777" w:rsidR="00DD7A9E" w:rsidRPr="0009028A" w:rsidRDefault="00DD7A9E" w:rsidP="00DD7A9E">
      <w:pPr>
        <w:spacing w:line="240" w:lineRule="auto"/>
        <w:jc w:val="both"/>
        <w:rPr>
          <w:rFonts w:ascii="Arial" w:hAnsi="Arial" w:cs="Arial"/>
          <w:sz w:val="20"/>
        </w:rPr>
      </w:pPr>
      <w:r w:rsidRPr="0009028A">
        <w:rPr>
          <w:rFonts w:ascii="Arial" w:hAnsi="Arial" w:cs="Arial"/>
          <w:sz w:val="20"/>
        </w:rPr>
        <w:t xml:space="preserve">A continuación, aparece una descripción de las actividades principales a través de las cuales la Compañía genera ingresos provenientes de contratos con clientes: </w:t>
      </w:r>
    </w:p>
    <w:p w14:paraId="3FBB7B46" w14:textId="77777777" w:rsidR="00DD7A9E" w:rsidRPr="0009028A" w:rsidRDefault="00DD7A9E" w:rsidP="00835247">
      <w:pPr>
        <w:pStyle w:val="Prrafodelista"/>
        <w:numPr>
          <w:ilvl w:val="0"/>
          <w:numId w:val="20"/>
        </w:numPr>
        <w:spacing w:line="240" w:lineRule="auto"/>
        <w:jc w:val="both"/>
        <w:rPr>
          <w:rFonts w:ascii="Arial" w:hAnsi="Arial" w:cs="Arial"/>
          <w:sz w:val="20"/>
        </w:rPr>
      </w:pPr>
      <w:r w:rsidRPr="0009028A">
        <w:rPr>
          <w:rFonts w:ascii="Arial" w:hAnsi="Arial" w:cs="Arial"/>
          <w:sz w:val="20"/>
        </w:rPr>
        <w:t>Servicios de operación y construcción (Concesiones)</w:t>
      </w:r>
    </w:p>
    <w:p w14:paraId="167508BF" w14:textId="77777777" w:rsidR="00DD7A9E" w:rsidRPr="0009028A" w:rsidRDefault="00DD7A9E" w:rsidP="00DD7A9E">
      <w:pPr>
        <w:spacing w:line="240" w:lineRule="auto"/>
        <w:jc w:val="both"/>
        <w:rPr>
          <w:rFonts w:ascii="Arial" w:hAnsi="Arial" w:cs="Arial"/>
          <w:sz w:val="20"/>
        </w:rPr>
      </w:pPr>
      <w:r w:rsidRPr="0009028A">
        <w:rPr>
          <w:rFonts w:ascii="Arial" w:hAnsi="Arial" w:cs="Arial"/>
          <w:sz w:val="20"/>
        </w:rPr>
        <w:t>En los acuerdos de concesión, la Compañía determina que sus obligaciones de desempeño (construcción, operación y mantenimiento) han sido cumplidas a través del tiempo y mide su avance hacia la finalización para determinar el tiempo para el reconocimiento de ingresos utilizando un método que representa la transferencia de los bienes o servicios al cliente. La Compañía tiene en cuenta la naturaleza de los productos o servicios prestados y los términos del contrato, tales como el derecho a la cancelación, derechos a exigir o retener pagos, y el título legal para trabajar en un proceso para determinar el mejor método de entrada o salida para medir el avance hacia el cumplimiento de una obligación de desempeño.</w:t>
      </w:r>
    </w:p>
    <w:p w14:paraId="22DD3279" w14:textId="691232AD" w:rsidR="00DD7A9E" w:rsidRPr="0009028A" w:rsidRDefault="00DD7A9E" w:rsidP="00DD7A9E">
      <w:pPr>
        <w:spacing w:line="240" w:lineRule="auto"/>
        <w:jc w:val="both"/>
        <w:rPr>
          <w:rFonts w:ascii="Arial" w:hAnsi="Arial" w:cs="Arial"/>
          <w:sz w:val="20"/>
        </w:rPr>
      </w:pPr>
      <w:r w:rsidRPr="0009028A">
        <w:rPr>
          <w:rFonts w:ascii="Arial" w:hAnsi="Arial" w:cs="Arial"/>
          <w:sz w:val="20"/>
        </w:rPr>
        <w:t>La Compañía aplica un único método para medir el avance en cada obligación de desempeño al interior de un contrato. El método puede ser de entrada (costo incurrido, horas trabajadas) o de salida (unidades producidas, metas alcanzadas).</w:t>
      </w:r>
    </w:p>
    <w:p w14:paraId="1AE61072" w14:textId="77777777" w:rsidR="00DD7A9E" w:rsidRPr="0009028A" w:rsidRDefault="00DD7A9E" w:rsidP="00DD7A9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Se revisan los estimados de ingresos, costos o grado de avance hacia la finalización si cambian las circunstancias. Todo aumento o disminución que se de en los ingresos o costos estimados se refleja en el estado de resultados en el periodo en que la gerencia se enteró de las circunstancias que llevaron a la revisión.</w:t>
      </w:r>
    </w:p>
    <w:p w14:paraId="071199A5" w14:textId="77777777" w:rsidR="00DD7A9E" w:rsidRPr="0009028A" w:rsidRDefault="00DD7A9E" w:rsidP="00835247">
      <w:pPr>
        <w:pStyle w:val="Prrafodelista"/>
        <w:widowControl w:val="0"/>
        <w:numPr>
          <w:ilvl w:val="0"/>
          <w:numId w:val="19"/>
        </w:numPr>
        <w:autoSpaceDE w:val="0"/>
        <w:autoSpaceDN w:val="0"/>
        <w:adjustRightInd w:val="0"/>
        <w:spacing w:before="220" w:line="240" w:lineRule="auto"/>
        <w:jc w:val="both"/>
        <w:rPr>
          <w:rFonts w:ascii="Arial" w:hAnsi="Arial" w:cs="Arial"/>
          <w:sz w:val="20"/>
        </w:rPr>
      </w:pPr>
      <w:r w:rsidRPr="0009028A">
        <w:rPr>
          <w:rFonts w:ascii="Arial" w:hAnsi="Arial" w:cs="Arial"/>
          <w:sz w:val="20"/>
        </w:rPr>
        <w:t>Componentes de financiación</w:t>
      </w:r>
    </w:p>
    <w:p w14:paraId="493FF335" w14:textId="77777777" w:rsidR="00DD7A9E" w:rsidRPr="0009028A" w:rsidRDefault="00DD7A9E" w:rsidP="00DD7A9E">
      <w:pPr>
        <w:spacing w:line="240" w:lineRule="auto"/>
        <w:jc w:val="both"/>
        <w:rPr>
          <w:rFonts w:ascii="Arial" w:hAnsi="Arial" w:cs="Arial"/>
          <w:sz w:val="20"/>
        </w:rPr>
      </w:pPr>
      <w:r w:rsidRPr="0009028A">
        <w:rPr>
          <w:rFonts w:ascii="Arial" w:hAnsi="Arial" w:cs="Arial"/>
          <w:sz w:val="20"/>
        </w:rPr>
        <w:t>Teniendo en cuenta que la Compañía posee obligaciones de desempeño a largo plazo, esta ha determinado un modelo financiero con el cual se pueda estimar el valor presente de dichas obligaciones de desempeño, en este sentido, se identifica un componente de financiación significativo, que se ha reconocido de acuerdo a los estándares planteados en la Norma.</w:t>
      </w:r>
    </w:p>
    <w:p w14:paraId="35620ECC" w14:textId="77777777" w:rsidR="00DD7A9E" w:rsidRPr="0009028A" w:rsidRDefault="00DD7A9E" w:rsidP="00DD7A9E">
      <w:pPr>
        <w:spacing w:line="240" w:lineRule="auto"/>
        <w:jc w:val="both"/>
        <w:rPr>
          <w:rFonts w:ascii="Arial" w:hAnsi="Arial" w:cs="Arial"/>
          <w:sz w:val="20"/>
        </w:rPr>
      </w:pPr>
      <w:r w:rsidRPr="0009028A">
        <w:rPr>
          <w:rFonts w:ascii="Arial" w:hAnsi="Arial" w:cs="Arial"/>
          <w:sz w:val="20"/>
        </w:rPr>
        <w:t>Actualmente, la Compañía reconoce los ingresos por intereses separados de los ingresos por actividades ordinarias en el estado de resultados. Sin embargo, los mismos son reconocidos como ingresos operacionales teniendo en cuenta que desde el punto de vista del negocio los intereses están relacionados con el retorno de la inversión, es decir, son ingresos por intereses derivados del objeto del contrato de concesión, el desarrollo de la operación y están en función del modelo financiero elaborado para establecer los ingresos operacionales de la Compañía.</w:t>
      </w:r>
    </w:p>
    <w:p w14:paraId="0DDE7A16" w14:textId="77777777" w:rsidR="00DD7A9E" w:rsidRPr="0009028A" w:rsidRDefault="00DD7A9E" w:rsidP="00DD7A9E">
      <w:pPr>
        <w:spacing w:line="240" w:lineRule="auto"/>
        <w:jc w:val="both"/>
        <w:rPr>
          <w:rFonts w:ascii="Arial" w:hAnsi="Arial" w:cs="Arial"/>
          <w:sz w:val="20"/>
        </w:rPr>
      </w:pPr>
      <w:r w:rsidRPr="0009028A">
        <w:rPr>
          <w:rFonts w:ascii="Arial" w:hAnsi="Arial" w:cs="Arial"/>
          <w:sz w:val="20"/>
        </w:rPr>
        <w:t>En ese orden de ideas, la Compañía presenta intereses como un tipo de ingresos de actividades ordinarias en circunstancias en la que el interés representa ingresos de las actividades ordinarias de la entidad.</w:t>
      </w:r>
    </w:p>
    <w:p w14:paraId="2AFE4688" w14:textId="6C8BE603" w:rsidR="00DD7A9E" w:rsidRPr="0009028A" w:rsidRDefault="00DD7A9E" w:rsidP="00DD7A9E">
      <w:pPr>
        <w:pStyle w:val="Ttulo2"/>
        <w:spacing w:afterAutospacing="0"/>
        <w:rPr>
          <w:rFonts w:ascii="Arial" w:hAnsi="Arial" w:cs="Arial"/>
          <w:b w:val="0"/>
        </w:rPr>
      </w:pPr>
      <w:bookmarkStart w:id="204" w:name="_Toc6294475"/>
      <w:bookmarkStart w:id="205" w:name="_Toc6322813"/>
      <w:bookmarkStart w:id="206" w:name="_Toc8735076"/>
      <w:r w:rsidRPr="0009028A">
        <w:rPr>
          <w:rFonts w:ascii="Arial" w:hAnsi="Arial" w:cs="Arial"/>
          <w:b w:val="0"/>
        </w:rPr>
        <w:t>4.1</w:t>
      </w:r>
      <w:r w:rsidR="004C76E2">
        <w:rPr>
          <w:rFonts w:ascii="Arial" w:hAnsi="Arial" w:cs="Arial"/>
          <w:b w:val="0"/>
        </w:rPr>
        <w:t>4</w:t>
      </w:r>
      <w:r w:rsidRPr="0009028A">
        <w:rPr>
          <w:rFonts w:ascii="Arial" w:hAnsi="Arial" w:cs="Arial"/>
          <w:b w:val="0"/>
        </w:rPr>
        <w:t>. Ingresos</w:t>
      </w:r>
      <w:bookmarkEnd w:id="204"/>
      <w:bookmarkEnd w:id="205"/>
      <w:bookmarkEnd w:id="206"/>
    </w:p>
    <w:p w14:paraId="1607B80F" w14:textId="77777777" w:rsidR="005744AF" w:rsidRPr="0009028A" w:rsidRDefault="005744AF" w:rsidP="008B3749">
      <w:pPr>
        <w:pStyle w:val="Sinespaciado"/>
      </w:pPr>
      <w:bookmarkStart w:id="207" w:name="_Toc6292926"/>
      <w:bookmarkStart w:id="208" w:name="_Toc6294476"/>
      <w:bookmarkStart w:id="209" w:name="_Toc6322814"/>
      <w:bookmarkStart w:id="210" w:name="_Toc7029861"/>
    </w:p>
    <w:p w14:paraId="412CD56A" w14:textId="06937B62" w:rsidR="00DD7A9E" w:rsidRPr="0009028A" w:rsidRDefault="00DD7A9E" w:rsidP="00DD7A9E">
      <w:pPr>
        <w:pStyle w:val="Ttulo2"/>
        <w:spacing w:afterAutospacing="0"/>
        <w:rPr>
          <w:rFonts w:ascii="Arial" w:hAnsi="Arial" w:cs="Arial"/>
          <w:b w:val="0"/>
        </w:rPr>
      </w:pPr>
      <w:bookmarkStart w:id="211" w:name="_Toc8735077"/>
      <w:r w:rsidRPr="0009028A">
        <w:rPr>
          <w:rFonts w:ascii="Arial" w:hAnsi="Arial" w:cs="Arial"/>
          <w:b w:val="0"/>
        </w:rPr>
        <w:t>4.1</w:t>
      </w:r>
      <w:r w:rsidR="004C76E2">
        <w:rPr>
          <w:rFonts w:ascii="Arial" w:hAnsi="Arial" w:cs="Arial"/>
          <w:b w:val="0"/>
        </w:rPr>
        <w:t>4</w:t>
      </w:r>
      <w:r w:rsidRPr="0009028A">
        <w:rPr>
          <w:rFonts w:ascii="Arial" w:hAnsi="Arial" w:cs="Arial"/>
          <w:b w:val="0"/>
        </w:rPr>
        <w:t>.1. Prestación de servicios</w:t>
      </w:r>
      <w:bookmarkEnd w:id="207"/>
      <w:bookmarkEnd w:id="208"/>
      <w:bookmarkEnd w:id="209"/>
      <w:bookmarkEnd w:id="210"/>
      <w:bookmarkEnd w:id="211"/>
    </w:p>
    <w:p w14:paraId="700425A9" w14:textId="77777777" w:rsidR="00DD7A9E" w:rsidRPr="0009028A" w:rsidRDefault="00DD7A9E" w:rsidP="00DD7A9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El ingreso por prestación de servicios es reconocido en el resultado en proporción al grado de realización de la transacción a la fecha del estado de situación financiera. El grado de realización es evaluado de acuerdo a estudios del trabajo llevado a cabo.</w:t>
      </w:r>
    </w:p>
    <w:p w14:paraId="6A25C2A5" w14:textId="77777777" w:rsidR="005744AF" w:rsidRPr="0009028A" w:rsidRDefault="005744AF" w:rsidP="008B3749">
      <w:pPr>
        <w:pStyle w:val="Sinespaciado"/>
      </w:pPr>
      <w:bookmarkStart w:id="212" w:name="_Toc6292927"/>
      <w:bookmarkStart w:id="213" w:name="_Toc6294477"/>
      <w:bookmarkStart w:id="214" w:name="_Toc6322815"/>
      <w:bookmarkStart w:id="215" w:name="_Toc7029862"/>
    </w:p>
    <w:p w14:paraId="45A936B1" w14:textId="57ADDFA6" w:rsidR="00DD7A9E" w:rsidRPr="0009028A" w:rsidRDefault="00DD7A9E" w:rsidP="00DD7A9E">
      <w:pPr>
        <w:pStyle w:val="Ttulo2"/>
        <w:spacing w:afterAutospacing="0"/>
        <w:rPr>
          <w:rFonts w:ascii="Arial" w:hAnsi="Arial" w:cs="Arial"/>
          <w:sz w:val="20"/>
          <w:szCs w:val="22"/>
        </w:rPr>
      </w:pPr>
      <w:bookmarkStart w:id="216" w:name="_Toc8735078"/>
      <w:r w:rsidRPr="0009028A">
        <w:rPr>
          <w:rFonts w:ascii="Arial" w:hAnsi="Arial" w:cs="Arial"/>
          <w:b w:val="0"/>
        </w:rPr>
        <w:t>4.1</w:t>
      </w:r>
      <w:r w:rsidR="004C76E2">
        <w:rPr>
          <w:rFonts w:ascii="Arial" w:hAnsi="Arial" w:cs="Arial"/>
          <w:b w:val="0"/>
        </w:rPr>
        <w:t>4</w:t>
      </w:r>
      <w:r w:rsidRPr="0009028A">
        <w:rPr>
          <w:rFonts w:ascii="Arial" w:hAnsi="Arial" w:cs="Arial"/>
          <w:b w:val="0"/>
        </w:rPr>
        <w:t>.2. Contratos de construcción</w:t>
      </w:r>
      <w:bookmarkEnd w:id="212"/>
      <w:bookmarkEnd w:id="213"/>
      <w:bookmarkEnd w:id="214"/>
      <w:bookmarkEnd w:id="215"/>
      <w:bookmarkEnd w:id="216"/>
    </w:p>
    <w:p w14:paraId="07A3FCB8" w14:textId="77777777" w:rsidR="00DD7A9E" w:rsidRPr="0009028A" w:rsidRDefault="00DD7A9E" w:rsidP="00DD7A9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Los ingresos ordinarios de los contratos de construcción incluyen el importe inicial del ingreso acordado, cualquier modificación incorporada en el alcance de los trabajos contemplados en el contrato, así como los importes relacionados con reclamaciones e incentivos que se consideren probables, siempre que éstos últimos conceptos se puedan valorar con fiabilidad.</w:t>
      </w:r>
    </w:p>
    <w:p w14:paraId="3922DF35" w14:textId="77777777" w:rsidR="00DD7A9E" w:rsidRPr="0009028A" w:rsidRDefault="00DD7A9E" w:rsidP="00DD7A9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Así mismo, los costos de los contratos de construcción incluyen los costos directamente relacionados con el contrato, aquellos relacionados con la actividad del contrato en general que pueden ser imputados al mismo y cualquier otro costo que se puede repercutir al cliente, según los términos del contrato. Los costos del contrato comprenden igualmente aquellos incurridos durante su negociación si pueden ser identificados y valorados con fiabilidad, siempre que se considere probable la aceptación del contrato por parte del cliente.</w:t>
      </w:r>
    </w:p>
    <w:p w14:paraId="09D9CF38" w14:textId="77777777" w:rsidR="00DD7A9E" w:rsidRPr="0009028A" w:rsidRDefault="00DD7A9E" w:rsidP="00DD7A9E">
      <w:pPr>
        <w:widowControl w:val="0"/>
        <w:autoSpaceDE w:val="0"/>
        <w:autoSpaceDN w:val="0"/>
        <w:adjustRightInd w:val="0"/>
        <w:spacing w:before="240" w:after="0" w:line="240" w:lineRule="auto"/>
        <w:jc w:val="both"/>
        <w:rPr>
          <w:rFonts w:ascii="Arial" w:hAnsi="Arial" w:cs="Arial"/>
          <w:sz w:val="20"/>
        </w:rPr>
      </w:pPr>
      <w:r w:rsidRPr="0009028A">
        <w:rPr>
          <w:rFonts w:ascii="Arial" w:hAnsi="Arial" w:cs="Arial"/>
          <w:sz w:val="20"/>
        </w:rPr>
        <w:t>Los ingresos ordinarios y los costos asociados con un contrato de construcción se reconocen considerando su grado de realización a la fecha de cierre, cuando el resultado de este puede ser estimado con fiabilidad. Una pérdida esperada por causa de un contrato se reconoce inmediatamente en resultados.</w:t>
      </w:r>
    </w:p>
    <w:p w14:paraId="03EF5E74" w14:textId="77777777" w:rsidR="00DD7A9E" w:rsidRPr="0009028A" w:rsidRDefault="00DD7A9E" w:rsidP="00DD7A9E">
      <w:pPr>
        <w:widowControl w:val="0"/>
        <w:autoSpaceDE w:val="0"/>
        <w:autoSpaceDN w:val="0"/>
        <w:adjustRightInd w:val="0"/>
        <w:spacing w:before="240" w:after="0" w:line="240" w:lineRule="auto"/>
        <w:jc w:val="both"/>
        <w:rPr>
          <w:rFonts w:ascii="Arial" w:hAnsi="Arial" w:cs="Arial"/>
          <w:sz w:val="20"/>
        </w:rPr>
      </w:pPr>
      <w:r w:rsidRPr="0009028A">
        <w:rPr>
          <w:rFonts w:ascii="Arial" w:hAnsi="Arial" w:cs="Arial"/>
          <w:sz w:val="20"/>
        </w:rPr>
        <w:t>La Compañía realiza la estimación de los ingresos en el período sobre el que se informa y que aún no han sido facturados, evaluando el grado de avance de los proyectos de construcción que es posible medir de forma fiable y cuyos beneficios económicos son probables. El método del costo es el utilizado para determinar el grado de avance de las construcciones en curso.</w:t>
      </w:r>
    </w:p>
    <w:p w14:paraId="11074A15" w14:textId="77777777" w:rsidR="005744AF" w:rsidRPr="0009028A" w:rsidRDefault="005744AF" w:rsidP="008B3749">
      <w:pPr>
        <w:pStyle w:val="Sinespaciado"/>
      </w:pPr>
      <w:bookmarkStart w:id="217" w:name="_Toc6292928"/>
      <w:bookmarkStart w:id="218" w:name="_Toc6294478"/>
      <w:bookmarkStart w:id="219" w:name="_Toc6322816"/>
      <w:bookmarkStart w:id="220" w:name="_Toc7029863"/>
    </w:p>
    <w:p w14:paraId="5FB1B51C" w14:textId="296450C7" w:rsidR="00DD7A9E" w:rsidRPr="0009028A" w:rsidRDefault="00DD7A9E" w:rsidP="00DD7A9E">
      <w:pPr>
        <w:pStyle w:val="Ttulo2"/>
        <w:spacing w:afterAutospacing="0"/>
        <w:rPr>
          <w:rFonts w:ascii="Arial" w:hAnsi="Arial" w:cs="Arial"/>
          <w:sz w:val="20"/>
          <w:szCs w:val="22"/>
        </w:rPr>
      </w:pPr>
      <w:bookmarkStart w:id="221" w:name="_Toc8735079"/>
      <w:r w:rsidRPr="0009028A">
        <w:rPr>
          <w:rFonts w:ascii="Arial" w:hAnsi="Arial" w:cs="Arial"/>
          <w:b w:val="0"/>
        </w:rPr>
        <w:t>4.1</w:t>
      </w:r>
      <w:r w:rsidR="004C76E2">
        <w:rPr>
          <w:rFonts w:ascii="Arial" w:hAnsi="Arial" w:cs="Arial"/>
          <w:b w:val="0"/>
        </w:rPr>
        <w:t>4</w:t>
      </w:r>
      <w:r w:rsidRPr="0009028A">
        <w:rPr>
          <w:rFonts w:ascii="Arial" w:hAnsi="Arial" w:cs="Arial"/>
          <w:b w:val="0"/>
        </w:rPr>
        <w:t>.3. Ingresos por peajes</w:t>
      </w:r>
      <w:bookmarkEnd w:id="217"/>
      <w:bookmarkEnd w:id="218"/>
      <w:bookmarkEnd w:id="219"/>
      <w:bookmarkEnd w:id="220"/>
      <w:bookmarkEnd w:id="221"/>
    </w:p>
    <w:p w14:paraId="3F7DD6D4" w14:textId="77777777" w:rsidR="00DD7A9E" w:rsidRPr="0009028A" w:rsidRDefault="00DD7A9E" w:rsidP="00DD7A9E">
      <w:pPr>
        <w:widowControl w:val="0"/>
        <w:autoSpaceDE w:val="0"/>
        <w:autoSpaceDN w:val="0"/>
        <w:adjustRightInd w:val="0"/>
        <w:spacing w:before="240" w:after="0" w:line="240" w:lineRule="auto"/>
        <w:jc w:val="both"/>
        <w:rPr>
          <w:rFonts w:ascii="Arial" w:hAnsi="Arial" w:cs="Arial"/>
          <w:sz w:val="20"/>
        </w:rPr>
      </w:pPr>
      <w:r w:rsidRPr="0009028A">
        <w:rPr>
          <w:rFonts w:ascii="Arial" w:hAnsi="Arial" w:cs="Arial"/>
          <w:sz w:val="20"/>
        </w:rPr>
        <w:t xml:space="preserve">Los ingresos por peajes se reconocen en el momento del cobro a los usuarios que utilizan la carretera concesionada. La Compañía rebaja de sus ingresos, la porción asociada al activo financiero por los ingresos proyectados del modelo determinado de acuerdo con CINIIF 12. </w:t>
      </w:r>
    </w:p>
    <w:p w14:paraId="59A74CD2" w14:textId="77777777" w:rsidR="005744AF" w:rsidRPr="0009028A" w:rsidRDefault="005744AF" w:rsidP="008B3749">
      <w:pPr>
        <w:pStyle w:val="Sinespaciado"/>
      </w:pPr>
      <w:bookmarkStart w:id="222" w:name="_Toc6292929"/>
      <w:bookmarkStart w:id="223" w:name="_Toc6294479"/>
      <w:bookmarkStart w:id="224" w:name="_Toc6322817"/>
      <w:bookmarkStart w:id="225" w:name="_Toc7029864"/>
    </w:p>
    <w:p w14:paraId="023AEAE9" w14:textId="09B186C8" w:rsidR="00DD7A9E" w:rsidRPr="0009028A" w:rsidRDefault="00DD7A9E" w:rsidP="00DD7A9E">
      <w:pPr>
        <w:pStyle w:val="Ttulo2"/>
        <w:spacing w:afterAutospacing="0"/>
        <w:rPr>
          <w:rFonts w:ascii="Arial" w:hAnsi="Arial" w:cs="Arial"/>
          <w:sz w:val="20"/>
          <w:szCs w:val="22"/>
        </w:rPr>
      </w:pPr>
      <w:bookmarkStart w:id="226" w:name="_Toc8735080"/>
      <w:r w:rsidRPr="0009028A">
        <w:rPr>
          <w:rFonts w:ascii="Arial" w:hAnsi="Arial" w:cs="Arial"/>
          <w:b w:val="0"/>
        </w:rPr>
        <w:t>4.1</w:t>
      </w:r>
      <w:r w:rsidR="004C76E2">
        <w:rPr>
          <w:rFonts w:ascii="Arial" w:hAnsi="Arial" w:cs="Arial"/>
          <w:b w:val="0"/>
        </w:rPr>
        <w:t>4</w:t>
      </w:r>
      <w:r w:rsidRPr="0009028A">
        <w:rPr>
          <w:rFonts w:ascii="Arial" w:hAnsi="Arial" w:cs="Arial"/>
          <w:b w:val="0"/>
        </w:rPr>
        <w:t>.4. Ingresos por financiación (activo financiero)</w:t>
      </w:r>
      <w:bookmarkEnd w:id="222"/>
      <w:bookmarkEnd w:id="223"/>
      <w:bookmarkEnd w:id="224"/>
      <w:bookmarkEnd w:id="225"/>
      <w:bookmarkEnd w:id="226"/>
    </w:p>
    <w:p w14:paraId="29529F39" w14:textId="77777777" w:rsidR="00DD7A9E" w:rsidRPr="0009028A" w:rsidRDefault="00DD7A9E" w:rsidP="00DD7A9E">
      <w:pPr>
        <w:widowControl w:val="0"/>
        <w:autoSpaceDE w:val="0"/>
        <w:autoSpaceDN w:val="0"/>
        <w:adjustRightInd w:val="0"/>
        <w:spacing w:before="240" w:after="0" w:line="240" w:lineRule="auto"/>
        <w:jc w:val="both"/>
        <w:rPr>
          <w:rFonts w:ascii="Arial" w:hAnsi="Arial" w:cs="Arial"/>
          <w:sz w:val="20"/>
        </w:rPr>
      </w:pPr>
      <w:r w:rsidRPr="0009028A">
        <w:rPr>
          <w:rFonts w:ascii="Arial" w:hAnsi="Arial" w:cs="Arial"/>
          <w:sz w:val="20"/>
        </w:rPr>
        <w:t>Corresponde al ingreso de la valoración a costo amortizado del activo financiero registrado de acuerdo a las condiciones del contrato, por tener un derecho contractual incondicional (según lo establecido en la CINIIF 12).</w:t>
      </w:r>
    </w:p>
    <w:p w14:paraId="61B3187C" w14:textId="77777777" w:rsidR="005744AF" w:rsidRPr="0009028A" w:rsidRDefault="005744AF" w:rsidP="008B3749">
      <w:pPr>
        <w:pStyle w:val="Sinespaciado"/>
      </w:pPr>
      <w:bookmarkStart w:id="227" w:name="_Toc6292930"/>
      <w:bookmarkStart w:id="228" w:name="_Toc6294480"/>
      <w:bookmarkStart w:id="229" w:name="_Toc6322818"/>
      <w:bookmarkStart w:id="230" w:name="_Toc7029865"/>
    </w:p>
    <w:p w14:paraId="2EBF4888" w14:textId="78365BD1" w:rsidR="00DD7A9E" w:rsidRPr="0009028A" w:rsidRDefault="00DD7A9E" w:rsidP="00DD7A9E">
      <w:pPr>
        <w:pStyle w:val="Ttulo2"/>
        <w:spacing w:afterAutospacing="0"/>
        <w:rPr>
          <w:rFonts w:ascii="Arial" w:hAnsi="Arial" w:cs="Arial"/>
          <w:sz w:val="20"/>
          <w:szCs w:val="22"/>
        </w:rPr>
      </w:pPr>
      <w:bookmarkStart w:id="231" w:name="_Toc8735081"/>
      <w:r w:rsidRPr="0009028A">
        <w:rPr>
          <w:rFonts w:ascii="Arial" w:hAnsi="Arial" w:cs="Arial"/>
          <w:b w:val="0"/>
        </w:rPr>
        <w:t>4.1</w:t>
      </w:r>
      <w:r w:rsidR="004C76E2">
        <w:rPr>
          <w:rFonts w:ascii="Arial" w:hAnsi="Arial" w:cs="Arial"/>
          <w:b w:val="0"/>
        </w:rPr>
        <w:t>4</w:t>
      </w:r>
      <w:r w:rsidRPr="0009028A">
        <w:rPr>
          <w:rFonts w:ascii="Arial" w:hAnsi="Arial" w:cs="Arial"/>
          <w:b w:val="0"/>
        </w:rPr>
        <w:t>.5. Otros ingresos financieros</w:t>
      </w:r>
      <w:bookmarkEnd w:id="227"/>
      <w:bookmarkEnd w:id="228"/>
      <w:bookmarkEnd w:id="229"/>
      <w:bookmarkEnd w:id="230"/>
      <w:bookmarkEnd w:id="231"/>
    </w:p>
    <w:p w14:paraId="7B4E4A11" w14:textId="77777777" w:rsidR="00DD7A9E" w:rsidRPr="0009028A" w:rsidRDefault="00DD7A9E" w:rsidP="00DD7A9E">
      <w:pPr>
        <w:widowControl w:val="0"/>
        <w:autoSpaceDE w:val="0"/>
        <w:autoSpaceDN w:val="0"/>
        <w:adjustRightInd w:val="0"/>
        <w:spacing w:before="240" w:after="0" w:line="240" w:lineRule="auto"/>
        <w:jc w:val="both"/>
        <w:rPr>
          <w:rFonts w:ascii="Arial" w:hAnsi="Arial" w:cs="Arial"/>
          <w:sz w:val="20"/>
        </w:rPr>
      </w:pPr>
      <w:r w:rsidRPr="0009028A">
        <w:rPr>
          <w:rFonts w:ascii="Arial" w:hAnsi="Arial" w:cs="Arial"/>
          <w:sz w:val="20"/>
        </w:rPr>
        <w:t>Los ingresos financieros están compuestos por ingresos por intereses en fondos invertidos principalmente, los cuales son reconocidos en resultados al costo amortizado, usando el método de interés efectivo.</w:t>
      </w:r>
    </w:p>
    <w:p w14:paraId="057C6504" w14:textId="77777777" w:rsidR="005744AF" w:rsidRPr="0009028A" w:rsidRDefault="005744AF" w:rsidP="008B3749">
      <w:pPr>
        <w:pStyle w:val="Sinespaciado"/>
      </w:pPr>
      <w:bookmarkStart w:id="232" w:name="_Toc6292931"/>
      <w:bookmarkStart w:id="233" w:name="_Toc6294481"/>
      <w:bookmarkStart w:id="234" w:name="_Toc6322819"/>
      <w:bookmarkStart w:id="235" w:name="_Toc7029866"/>
    </w:p>
    <w:p w14:paraId="103C013B" w14:textId="789870B2" w:rsidR="00DD7A9E" w:rsidRPr="0009028A" w:rsidRDefault="00DD7A9E" w:rsidP="00DD7A9E">
      <w:pPr>
        <w:pStyle w:val="Ttulo2"/>
        <w:spacing w:afterAutospacing="0"/>
        <w:rPr>
          <w:rFonts w:ascii="Arial" w:hAnsi="Arial" w:cs="Arial"/>
          <w:sz w:val="20"/>
          <w:szCs w:val="22"/>
        </w:rPr>
      </w:pPr>
      <w:bookmarkStart w:id="236" w:name="_Toc8735082"/>
      <w:r w:rsidRPr="0009028A">
        <w:rPr>
          <w:rFonts w:ascii="Arial" w:hAnsi="Arial" w:cs="Arial"/>
          <w:b w:val="0"/>
        </w:rPr>
        <w:t>4.1</w:t>
      </w:r>
      <w:r w:rsidR="004C76E2">
        <w:rPr>
          <w:rFonts w:ascii="Arial" w:hAnsi="Arial" w:cs="Arial"/>
          <w:b w:val="0"/>
        </w:rPr>
        <w:t>4</w:t>
      </w:r>
      <w:r w:rsidRPr="0009028A">
        <w:rPr>
          <w:rFonts w:ascii="Arial" w:hAnsi="Arial" w:cs="Arial"/>
          <w:b w:val="0"/>
        </w:rPr>
        <w:t>.6. Ingresos por dividendos</w:t>
      </w:r>
      <w:bookmarkEnd w:id="232"/>
      <w:bookmarkEnd w:id="233"/>
      <w:bookmarkEnd w:id="234"/>
      <w:bookmarkEnd w:id="235"/>
      <w:bookmarkEnd w:id="236"/>
    </w:p>
    <w:p w14:paraId="6907DF71" w14:textId="77777777" w:rsidR="00DD7A9E" w:rsidRPr="0009028A" w:rsidRDefault="00DD7A9E" w:rsidP="00DD7A9E">
      <w:pPr>
        <w:widowControl w:val="0"/>
        <w:autoSpaceDE w:val="0"/>
        <w:autoSpaceDN w:val="0"/>
        <w:adjustRightInd w:val="0"/>
        <w:spacing w:before="240" w:after="0" w:line="240" w:lineRule="auto"/>
        <w:jc w:val="both"/>
        <w:rPr>
          <w:rFonts w:ascii="Arial" w:hAnsi="Arial" w:cs="Arial"/>
          <w:sz w:val="20"/>
        </w:rPr>
      </w:pPr>
      <w:r w:rsidRPr="0009028A">
        <w:rPr>
          <w:rFonts w:ascii="Arial" w:hAnsi="Arial" w:cs="Arial"/>
          <w:sz w:val="20"/>
        </w:rPr>
        <w:t>La Compañía reconoce los ingresos por dividendos cuando tiene el derecho a recibir el pago, que es generalmente cuando son decretados los dividendos, excepto cuando el dividendo represente una recuperación del costo de la inversión y cuando los ingresos por dividendos pertenecen a asociadas, negocios conjuntos.</w:t>
      </w:r>
    </w:p>
    <w:p w14:paraId="6E13D5ED" w14:textId="77777777" w:rsidR="005744AF" w:rsidRPr="0009028A" w:rsidRDefault="005744AF" w:rsidP="008B3749">
      <w:pPr>
        <w:pStyle w:val="Sinespaciado"/>
      </w:pPr>
      <w:bookmarkStart w:id="237" w:name="_Toc6292932"/>
      <w:bookmarkStart w:id="238" w:name="_Toc6294482"/>
      <w:bookmarkStart w:id="239" w:name="_Toc6322820"/>
      <w:bookmarkStart w:id="240" w:name="_Toc7029867"/>
    </w:p>
    <w:p w14:paraId="0A02EA2D" w14:textId="25A22C6E" w:rsidR="00DD7A9E" w:rsidRPr="0009028A" w:rsidRDefault="00DD7A9E" w:rsidP="00DD7A9E">
      <w:pPr>
        <w:pStyle w:val="Ttulo2"/>
        <w:spacing w:afterAutospacing="0"/>
        <w:rPr>
          <w:rFonts w:ascii="Arial" w:hAnsi="Arial" w:cs="Arial"/>
          <w:sz w:val="20"/>
          <w:szCs w:val="22"/>
        </w:rPr>
      </w:pPr>
      <w:bookmarkStart w:id="241" w:name="_Toc8735083"/>
      <w:r w:rsidRPr="0009028A">
        <w:rPr>
          <w:rFonts w:ascii="Arial" w:hAnsi="Arial" w:cs="Arial"/>
          <w:b w:val="0"/>
        </w:rPr>
        <w:t>4.1</w:t>
      </w:r>
      <w:r w:rsidR="004C76E2">
        <w:rPr>
          <w:rFonts w:ascii="Arial" w:hAnsi="Arial" w:cs="Arial"/>
          <w:b w:val="0"/>
        </w:rPr>
        <w:t>4</w:t>
      </w:r>
      <w:r w:rsidRPr="0009028A">
        <w:rPr>
          <w:rFonts w:ascii="Arial" w:hAnsi="Arial" w:cs="Arial"/>
          <w:b w:val="0"/>
        </w:rPr>
        <w:t>.7. Componentes de financiación</w:t>
      </w:r>
      <w:bookmarkEnd w:id="237"/>
      <w:bookmarkEnd w:id="238"/>
      <w:bookmarkEnd w:id="239"/>
      <w:bookmarkEnd w:id="240"/>
      <w:bookmarkEnd w:id="241"/>
    </w:p>
    <w:p w14:paraId="2CDE643D" w14:textId="77777777" w:rsidR="00DD7A9E" w:rsidRPr="0009028A" w:rsidRDefault="00DD7A9E" w:rsidP="00DD7A9E">
      <w:pPr>
        <w:widowControl w:val="0"/>
        <w:autoSpaceDE w:val="0"/>
        <w:autoSpaceDN w:val="0"/>
        <w:adjustRightInd w:val="0"/>
        <w:spacing w:before="220" w:after="0" w:line="240" w:lineRule="auto"/>
        <w:jc w:val="both"/>
        <w:rPr>
          <w:rFonts w:ascii="Arial" w:hAnsi="Arial" w:cs="Arial"/>
          <w:sz w:val="20"/>
        </w:rPr>
      </w:pPr>
      <w:r w:rsidRPr="0009028A">
        <w:rPr>
          <w:rFonts w:ascii="Arial" w:hAnsi="Arial" w:cs="Arial"/>
          <w:sz w:val="20"/>
        </w:rPr>
        <w:t>Los ingresos se miden por el valor razonable de la contraprestación recibida o por recibir, y representan importes a cobrar por los bienes entregados, neto de descuentos, devoluciones, y el impuesto al valor agregado. La Compañía reconoce los ingresos cuando el importe de los mismos se puede medir con fiabilidad, sea probable que los beneficios económicos futuros vayan a fluir a la entidad y cuando se han cumplido los criterios específicos para cada una de las actividades de la Compañía, tal como se describe a continuación. La Compañía basa su estimación de devoluciones sobre la base de los resultados históricos, teniendo en cuenta el tipo de cliente, el tipo de operación y las características específicas de cada acuerdo.</w:t>
      </w:r>
    </w:p>
    <w:p w14:paraId="6AB85239" w14:textId="77777777" w:rsidR="005744AF" w:rsidRPr="0009028A" w:rsidRDefault="005744AF" w:rsidP="008B3749">
      <w:pPr>
        <w:pStyle w:val="Sinespaciado"/>
      </w:pPr>
      <w:bookmarkStart w:id="242" w:name="_Toc6294483"/>
      <w:bookmarkStart w:id="243" w:name="_Toc6322821"/>
    </w:p>
    <w:p w14:paraId="3C373B49" w14:textId="6817301A" w:rsidR="00DD7A9E" w:rsidRPr="0009028A" w:rsidRDefault="00DD7A9E" w:rsidP="00DD7A9E">
      <w:pPr>
        <w:pStyle w:val="Ttulo2"/>
        <w:spacing w:afterAutospacing="0"/>
        <w:rPr>
          <w:rFonts w:ascii="Arial" w:hAnsi="Arial" w:cs="Arial"/>
          <w:sz w:val="20"/>
          <w:szCs w:val="22"/>
        </w:rPr>
      </w:pPr>
      <w:bookmarkStart w:id="244" w:name="_Toc8735084"/>
      <w:r w:rsidRPr="0009028A">
        <w:rPr>
          <w:rFonts w:ascii="Arial" w:hAnsi="Arial" w:cs="Arial"/>
          <w:b w:val="0"/>
        </w:rPr>
        <w:t>4.1</w:t>
      </w:r>
      <w:r w:rsidR="004C76E2">
        <w:rPr>
          <w:rFonts w:ascii="Arial" w:hAnsi="Arial" w:cs="Arial"/>
          <w:b w:val="0"/>
        </w:rPr>
        <w:t>5</w:t>
      </w:r>
      <w:r w:rsidRPr="0009028A">
        <w:rPr>
          <w:rFonts w:ascii="Arial" w:hAnsi="Arial" w:cs="Arial"/>
          <w:b w:val="0"/>
        </w:rPr>
        <w:t>. Ingresos financieros y costos financieros</w:t>
      </w:r>
      <w:bookmarkEnd w:id="242"/>
      <w:bookmarkEnd w:id="243"/>
      <w:bookmarkEnd w:id="244"/>
    </w:p>
    <w:p w14:paraId="2DEA2C8C" w14:textId="77777777" w:rsidR="00DD7A9E" w:rsidRPr="0009028A" w:rsidRDefault="00DD7A9E" w:rsidP="00DD7A9E">
      <w:pPr>
        <w:pStyle w:val="Prrafodelista"/>
        <w:widowControl w:val="0"/>
        <w:autoSpaceDE w:val="0"/>
        <w:autoSpaceDN w:val="0"/>
        <w:adjustRightInd w:val="0"/>
        <w:spacing w:before="220" w:line="240" w:lineRule="auto"/>
        <w:ind w:left="0"/>
        <w:contextualSpacing w:val="0"/>
        <w:jc w:val="both"/>
        <w:rPr>
          <w:rFonts w:ascii="Arial" w:hAnsi="Arial" w:cs="Arial"/>
          <w:sz w:val="20"/>
        </w:rPr>
      </w:pPr>
      <w:r w:rsidRPr="0009028A">
        <w:rPr>
          <w:rFonts w:ascii="Arial" w:hAnsi="Arial" w:cs="Arial"/>
          <w:sz w:val="20"/>
        </w:rPr>
        <w:t>Los ingresos financieros están compuestos por ingresos por intereses en fondos invertidos principalmente, los cuales son reconocidos en resultados al costo amortizado, usando el método de interés efectivo. Los ingresos por dividendos son reconocidos en resultados en la fecha en que se establece el derecho de la compañía a recibir pagos, la que en el caso de los instrumentos citados corresponde a la antigua fecha de pago de dividendos.</w:t>
      </w:r>
    </w:p>
    <w:p w14:paraId="0BBBC636" w14:textId="77777777" w:rsidR="00DD7A9E" w:rsidRPr="0009028A" w:rsidRDefault="00DD7A9E" w:rsidP="00DD7A9E">
      <w:pPr>
        <w:pStyle w:val="Prrafodelista"/>
        <w:widowControl w:val="0"/>
        <w:autoSpaceDE w:val="0"/>
        <w:autoSpaceDN w:val="0"/>
        <w:adjustRightInd w:val="0"/>
        <w:spacing w:before="220" w:line="240" w:lineRule="auto"/>
        <w:ind w:left="0"/>
        <w:contextualSpacing w:val="0"/>
        <w:jc w:val="both"/>
        <w:rPr>
          <w:rFonts w:ascii="Arial" w:hAnsi="Arial" w:cs="Arial"/>
          <w:sz w:val="20"/>
        </w:rPr>
      </w:pPr>
      <w:r w:rsidRPr="0009028A">
        <w:rPr>
          <w:rFonts w:ascii="Arial" w:hAnsi="Arial" w:cs="Arial"/>
          <w:sz w:val="20"/>
        </w:rPr>
        <w:t>Los costos financieros están compuestos por gastos por intereses en préstamos o financiamientos, cambios en el valor razonable de los activos financieros al valor razonable con cambios en resultados y pérdidas por deterioro reconocidas en los activos financieros. Los costos por préstamos que no son directamente atribuibles a la adquisición, la construcción o la producción de un activo apto se reconocen en resultados usando el método de interés efectivo.</w:t>
      </w:r>
    </w:p>
    <w:p w14:paraId="3DAFC6CE" w14:textId="19508579" w:rsidR="00DD7A9E" w:rsidRPr="0009028A" w:rsidRDefault="00DD7A9E" w:rsidP="00DD7A9E">
      <w:pPr>
        <w:pStyle w:val="Ttulo2"/>
        <w:spacing w:afterAutospacing="0"/>
        <w:rPr>
          <w:rFonts w:ascii="Arial" w:hAnsi="Arial" w:cs="Arial"/>
          <w:sz w:val="20"/>
          <w:szCs w:val="22"/>
        </w:rPr>
      </w:pPr>
      <w:bookmarkStart w:id="245" w:name="_Toc6294484"/>
      <w:bookmarkStart w:id="246" w:name="_Toc6322822"/>
      <w:bookmarkStart w:id="247" w:name="_Toc8735085"/>
      <w:r w:rsidRPr="0009028A">
        <w:rPr>
          <w:rFonts w:ascii="Arial" w:hAnsi="Arial" w:cs="Arial"/>
          <w:b w:val="0"/>
        </w:rPr>
        <w:t>4.1</w:t>
      </w:r>
      <w:r w:rsidR="004C76E2">
        <w:rPr>
          <w:rFonts w:ascii="Arial" w:hAnsi="Arial" w:cs="Arial"/>
          <w:b w:val="0"/>
        </w:rPr>
        <w:t>6</w:t>
      </w:r>
      <w:r w:rsidRPr="0009028A">
        <w:rPr>
          <w:rFonts w:ascii="Arial" w:hAnsi="Arial" w:cs="Arial"/>
          <w:b w:val="0"/>
        </w:rPr>
        <w:t>. Impuesto a las ganancias</w:t>
      </w:r>
      <w:bookmarkEnd w:id="245"/>
      <w:bookmarkEnd w:id="246"/>
      <w:bookmarkEnd w:id="247"/>
    </w:p>
    <w:p w14:paraId="1B6AA7BA" w14:textId="77777777" w:rsidR="00DD7A9E" w:rsidRPr="0009028A" w:rsidRDefault="00DD7A9E" w:rsidP="00DD7A9E">
      <w:pPr>
        <w:widowControl w:val="0"/>
        <w:autoSpaceDE w:val="0"/>
        <w:autoSpaceDN w:val="0"/>
        <w:adjustRightInd w:val="0"/>
        <w:spacing w:before="240" w:after="0" w:line="240" w:lineRule="auto"/>
        <w:jc w:val="both"/>
        <w:rPr>
          <w:rFonts w:ascii="Arial" w:hAnsi="Arial" w:cs="Arial"/>
          <w:sz w:val="20"/>
        </w:rPr>
      </w:pPr>
      <w:r w:rsidRPr="0009028A">
        <w:rPr>
          <w:rFonts w:ascii="Arial" w:hAnsi="Arial" w:cs="Arial"/>
          <w:sz w:val="20"/>
        </w:rPr>
        <w:t xml:space="preserve">El gasto o ingreso por impuesto a la renta comprende el impuesto a la renta corriente, y el impuesto diferido. </w:t>
      </w:r>
    </w:p>
    <w:p w14:paraId="65B14AB5" w14:textId="77777777" w:rsidR="00DD7A9E" w:rsidRPr="0009028A" w:rsidRDefault="00DD7A9E" w:rsidP="00DD7A9E">
      <w:pPr>
        <w:widowControl w:val="0"/>
        <w:autoSpaceDE w:val="0"/>
        <w:autoSpaceDN w:val="0"/>
        <w:adjustRightInd w:val="0"/>
        <w:spacing w:before="240" w:after="0" w:line="240" w:lineRule="auto"/>
        <w:jc w:val="both"/>
        <w:rPr>
          <w:rFonts w:ascii="Arial" w:hAnsi="Arial" w:cs="Arial"/>
          <w:sz w:val="20"/>
        </w:rPr>
      </w:pPr>
      <w:r w:rsidRPr="0009028A">
        <w:rPr>
          <w:rFonts w:ascii="Arial" w:hAnsi="Arial" w:cs="Arial"/>
          <w:sz w:val="20"/>
        </w:rPr>
        <w:t xml:space="preserve">El impuesto corriente es la cantidad a pagar o a recuperar por el impuesto de renta corriente, se calcula sobre la base de las leyes tributarias promulgadas o sustancialmente promulgadas a la fecha del estado de situación financiera. La Gerencia evalúa periódicamente la posición asumida en las declaraciones de impuestos, respecto de situaciones en las que las leyes tributarias son objeto de interpretación y, en caso necesario, constituye provisiones sobre los montos que espera deberá pagar a las autoridades tributarias. </w:t>
      </w:r>
    </w:p>
    <w:p w14:paraId="5D8BEE2C" w14:textId="77777777" w:rsidR="00DD7A9E" w:rsidRPr="0009028A" w:rsidRDefault="00DD7A9E" w:rsidP="00DD7A9E">
      <w:pPr>
        <w:widowControl w:val="0"/>
        <w:autoSpaceDE w:val="0"/>
        <w:autoSpaceDN w:val="0"/>
        <w:adjustRightInd w:val="0"/>
        <w:spacing w:before="240" w:after="0" w:line="240" w:lineRule="auto"/>
        <w:jc w:val="both"/>
        <w:rPr>
          <w:rFonts w:ascii="Arial" w:hAnsi="Arial" w:cs="Arial"/>
          <w:sz w:val="20"/>
        </w:rPr>
      </w:pPr>
      <w:r w:rsidRPr="0009028A">
        <w:rPr>
          <w:rFonts w:ascii="Arial" w:hAnsi="Arial" w:cs="Arial"/>
          <w:sz w:val="20"/>
        </w:rPr>
        <w:t>El impuesto diferido se reconoce en el resultado del periodo, excepto cuando se trata de partidas que se reconocen en el patrimonio o en otro resultado integral. En estos casos, el impuesto también se reconoce en el patrimonio o en otro resultado integral, respectivamente.</w:t>
      </w:r>
    </w:p>
    <w:p w14:paraId="5C3D07D1" w14:textId="77777777" w:rsidR="00DD7A9E" w:rsidRPr="0009028A" w:rsidRDefault="00DD7A9E" w:rsidP="00DD7A9E">
      <w:pPr>
        <w:widowControl w:val="0"/>
        <w:autoSpaceDE w:val="0"/>
        <w:autoSpaceDN w:val="0"/>
        <w:adjustRightInd w:val="0"/>
        <w:spacing w:before="200" w:after="0" w:line="240" w:lineRule="auto"/>
        <w:jc w:val="both"/>
        <w:rPr>
          <w:rFonts w:ascii="Arial" w:hAnsi="Arial" w:cs="Arial"/>
          <w:sz w:val="20"/>
        </w:rPr>
      </w:pPr>
      <w:r w:rsidRPr="0009028A">
        <w:rPr>
          <w:rFonts w:ascii="Arial" w:hAnsi="Arial" w:cs="Arial"/>
          <w:sz w:val="20"/>
        </w:rPr>
        <w:t>Los pasivos por impuesto diferido son los importes a pagar en el futuro en concepto de impuesto sobre la renta relacionados con las diferencias temporarias imponibles mientras que los activos por impuesto diferido son los importes a recuperar por concepto de impuesto de renta debido a la existencia de diferencias temporarias deducibles, bases imponibles negativas compensables o deducciones pendientes de aplicación. A estos efectos se entiende por diferencia temporaria la diferencia existente entre el valor contable, de los activos y pasivos y su base tributaria.</w:t>
      </w:r>
    </w:p>
    <w:p w14:paraId="2C61C41B" w14:textId="77777777" w:rsidR="00DD7A9E" w:rsidRPr="0009028A" w:rsidRDefault="00DD7A9E" w:rsidP="00DD7A9E">
      <w:pPr>
        <w:pStyle w:val="Prrafodelista"/>
        <w:widowControl w:val="0"/>
        <w:autoSpaceDE w:val="0"/>
        <w:autoSpaceDN w:val="0"/>
        <w:adjustRightInd w:val="0"/>
        <w:spacing w:before="240" w:line="240" w:lineRule="auto"/>
        <w:ind w:left="0"/>
        <w:contextualSpacing w:val="0"/>
        <w:jc w:val="both"/>
        <w:rPr>
          <w:rFonts w:ascii="Arial" w:hAnsi="Arial" w:cs="Arial"/>
          <w:sz w:val="20"/>
        </w:rPr>
      </w:pPr>
      <w:r w:rsidRPr="0009028A">
        <w:rPr>
          <w:rFonts w:ascii="Arial" w:hAnsi="Arial" w:cs="Arial"/>
          <w:sz w:val="20"/>
        </w:rPr>
        <w:t>El valor en libros de los activos por impuesto diferido es revisado a la fecha del estado de situación financiera y reducido en la medida que ya no es probable que habrá suficientes ganancias imponibles disponibles para permitir que se use todo o parte del activo por impuesto diferido.</w:t>
      </w:r>
    </w:p>
    <w:p w14:paraId="3DACF7DB" w14:textId="185ACAD9" w:rsidR="00DD7A9E" w:rsidRPr="0009028A" w:rsidRDefault="00DD7A9E" w:rsidP="00DD7A9E">
      <w:pPr>
        <w:pStyle w:val="Ttulo2"/>
        <w:spacing w:afterAutospacing="0"/>
        <w:rPr>
          <w:rFonts w:ascii="Arial" w:hAnsi="Arial" w:cs="Arial"/>
          <w:sz w:val="20"/>
          <w:szCs w:val="22"/>
        </w:rPr>
      </w:pPr>
      <w:bookmarkStart w:id="248" w:name="_Toc6292935"/>
      <w:bookmarkStart w:id="249" w:name="_Toc6294485"/>
      <w:bookmarkStart w:id="250" w:name="_Toc6322823"/>
      <w:bookmarkStart w:id="251" w:name="_Toc7029870"/>
      <w:bookmarkStart w:id="252" w:name="_Toc8735086"/>
      <w:r w:rsidRPr="0009028A">
        <w:rPr>
          <w:rFonts w:ascii="Arial" w:hAnsi="Arial" w:cs="Arial"/>
          <w:b w:val="0"/>
        </w:rPr>
        <w:t>4.1</w:t>
      </w:r>
      <w:r w:rsidR="004C76E2">
        <w:rPr>
          <w:rFonts w:ascii="Arial" w:hAnsi="Arial" w:cs="Arial"/>
          <w:b w:val="0"/>
        </w:rPr>
        <w:t>6</w:t>
      </w:r>
      <w:r w:rsidRPr="0009028A">
        <w:rPr>
          <w:rFonts w:ascii="Arial" w:hAnsi="Arial" w:cs="Arial"/>
          <w:b w:val="0"/>
        </w:rPr>
        <w:t>.1. Reconocimiento de diferencias temporarias imponibles</w:t>
      </w:r>
      <w:bookmarkEnd w:id="248"/>
      <w:bookmarkEnd w:id="249"/>
      <w:bookmarkEnd w:id="250"/>
      <w:bookmarkEnd w:id="251"/>
      <w:bookmarkEnd w:id="252"/>
    </w:p>
    <w:p w14:paraId="2FAD614E" w14:textId="77777777" w:rsidR="00DD7A9E" w:rsidRPr="0009028A" w:rsidRDefault="00DD7A9E" w:rsidP="00DD7A9E">
      <w:pPr>
        <w:widowControl w:val="0"/>
        <w:autoSpaceDE w:val="0"/>
        <w:autoSpaceDN w:val="0"/>
        <w:adjustRightInd w:val="0"/>
        <w:spacing w:before="200" w:after="0" w:line="240" w:lineRule="auto"/>
        <w:jc w:val="both"/>
        <w:rPr>
          <w:rFonts w:ascii="Arial" w:hAnsi="Arial" w:cs="Arial"/>
          <w:sz w:val="20"/>
        </w:rPr>
      </w:pPr>
      <w:r w:rsidRPr="0009028A">
        <w:rPr>
          <w:rFonts w:ascii="Arial" w:hAnsi="Arial" w:cs="Arial"/>
          <w:sz w:val="20"/>
        </w:rPr>
        <w:t>Los pasivos por impuesto diferido derivados de diferencias temporarias imponibles se reconocen en todos los casos excepto que:</w:t>
      </w:r>
    </w:p>
    <w:p w14:paraId="297AB186" w14:textId="77777777" w:rsidR="00DD7A9E" w:rsidRPr="0009028A" w:rsidRDefault="00DD7A9E" w:rsidP="00835247">
      <w:pPr>
        <w:pStyle w:val="Prrafodelista"/>
        <w:widowControl w:val="0"/>
        <w:numPr>
          <w:ilvl w:val="0"/>
          <w:numId w:val="4"/>
        </w:numPr>
        <w:autoSpaceDE w:val="0"/>
        <w:autoSpaceDN w:val="0"/>
        <w:adjustRightInd w:val="0"/>
        <w:spacing w:before="200" w:after="0" w:line="240" w:lineRule="auto"/>
        <w:ind w:left="567" w:hanging="283"/>
        <w:contextualSpacing w:val="0"/>
        <w:jc w:val="both"/>
        <w:rPr>
          <w:rFonts w:ascii="Arial" w:hAnsi="Arial" w:cs="Arial"/>
          <w:sz w:val="20"/>
        </w:rPr>
      </w:pPr>
      <w:r w:rsidRPr="0009028A">
        <w:rPr>
          <w:rFonts w:ascii="Arial" w:hAnsi="Arial" w:cs="Arial"/>
          <w:sz w:val="20"/>
        </w:rPr>
        <w:t>Surjan del reconocimiento inicial de la plusvalía o de un activo o pasivo en una transacción que no es una combinación de negocios y en la fecha de la transacción no afecta ni al resultado contable ni a la base imponible fiscal;</w:t>
      </w:r>
    </w:p>
    <w:p w14:paraId="62F92065" w14:textId="77777777" w:rsidR="00DD7A9E" w:rsidRPr="0009028A" w:rsidRDefault="00DD7A9E" w:rsidP="00835247">
      <w:pPr>
        <w:pStyle w:val="Prrafodelista"/>
        <w:widowControl w:val="0"/>
        <w:numPr>
          <w:ilvl w:val="0"/>
          <w:numId w:val="4"/>
        </w:numPr>
        <w:autoSpaceDE w:val="0"/>
        <w:autoSpaceDN w:val="0"/>
        <w:adjustRightInd w:val="0"/>
        <w:spacing w:before="200" w:after="0" w:line="240" w:lineRule="auto"/>
        <w:ind w:left="567" w:hanging="283"/>
        <w:contextualSpacing w:val="0"/>
        <w:jc w:val="both"/>
        <w:rPr>
          <w:rFonts w:ascii="Arial" w:hAnsi="Arial" w:cs="Arial"/>
          <w:sz w:val="20"/>
        </w:rPr>
      </w:pPr>
      <w:r w:rsidRPr="0009028A">
        <w:rPr>
          <w:rFonts w:ascii="Arial" w:hAnsi="Arial" w:cs="Arial"/>
          <w:sz w:val="20"/>
        </w:rPr>
        <w:t>Correspondan a diferencias asociadas con inversiones en subsidiarias, asociadas y negocios conjuntos sobre las que La Compañía tenga la capacidad de controlar el momento de su reversión y no fuese probable que se produzca su reversión en un futuro previsible.</w:t>
      </w:r>
    </w:p>
    <w:p w14:paraId="0A5C9DCF" w14:textId="77777777" w:rsidR="00DD7A9E" w:rsidRPr="0009028A" w:rsidRDefault="00DD7A9E" w:rsidP="00DD7A9E">
      <w:pPr>
        <w:widowControl w:val="0"/>
        <w:autoSpaceDE w:val="0"/>
        <w:autoSpaceDN w:val="0"/>
        <w:adjustRightInd w:val="0"/>
        <w:spacing w:before="200" w:after="0" w:line="240" w:lineRule="auto"/>
        <w:jc w:val="both"/>
        <w:rPr>
          <w:rFonts w:ascii="Arial" w:hAnsi="Arial" w:cs="Arial"/>
          <w:sz w:val="20"/>
        </w:rPr>
      </w:pPr>
    </w:p>
    <w:p w14:paraId="1E1EBCE2" w14:textId="119EC811" w:rsidR="00DD7A9E" w:rsidRPr="0009028A" w:rsidRDefault="00DD7A9E" w:rsidP="00DD7A9E">
      <w:pPr>
        <w:pStyle w:val="Ttulo2"/>
        <w:spacing w:afterAutospacing="0"/>
        <w:rPr>
          <w:rFonts w:ascii="Arial" w:hAnsi="Arial" w:cs="Arial"/>
          <w:sz w:val="20"/>
          <w:szCs w:val="22"/>
        </w:rPr>
      </w:pPr>
      <w:bookmarkStart w:id="253" w:name="_Toc6292936"/>
      <w:bookmarkStart w:id="254" w:name="_Toc6294486"/>
      <w:bookmarkStart w:id="255" w:name="_Toc6322824"/>
      <w:bookmarkStart w:id="256" w:name="_Toc7029871"/>
      <w:bookmarkStart w:id="257" w:name="_Toc8735087"/>
      <w:r w:rsidRPr="0009028A">
        <w:rPr>
          <w:rFonts w:ascii="Arial" w:hAnsi="Arial" w:cs="Arial"/>
          <w:b w:val="0"/>
        </w:rPr>
        <w:t>4.1</w:t>
      </w:r>
      <w:r w:rsidR="004C76E2">
        <w:rPr>
          <w:rFonts w:ascii="Arial" w:hAnsi="Arial" w:cs="Arial"/>
          <w:b w:val="0"/>
        </w:rPr>
        <w:t>6</w:t>
      </w:r>
      <w:r w:rsidRPr="0009028A">
        <w:rPr>
          <w:rFonts w:ascii="Arial" w:hAnsi="Arial" w:cs="Arial"/>
          <w:b w:val="0"/>
        </w:rPr>
        <w:t>.2. Reconocimiento de diferencias temporarias deducibles</w:t>
      </w:r>
      <w:bookmarkEnd w:id="253"/>
      <w:bookmarkEnd w:id="254"/>
      <w:bookmarkEnd w:id="255"/>
      <w:bookmarkEnd w:id="256"/>
      <w:bookmarkEnd w:id="257"/>
    </w:p>
    <w:p w14:paraId="1C40E3CD" w14:textId="77777777" w:rsidR="00DD7A9E" w:rsidRPr="0009028A" w:rsidRDefault="00DD7A9E" w:rsidP="00DD7A9E">
      <w:pPr>
        <w:widowControl w:val="0"/>
        <w:autoSpaceDE w:val="0"/>
        <w:autoSpaceDN w:val="0"/>
        <w:adjustRightInd w:val="0"/>
        <w:spacing w:before="200" w:after="0" w:line="240" w:lineRule="auto"/>
        <w:jc w:val="both"/>
        <w:rPr>
          <w:rFonts w:ascii="Arial" w:hAnsi="Arial" w:cs="Arial"/>
          <w:sz w:val="20"/>
        </w:rPr>
      </w:pPr>
      <w:r w:rsidRPr="0009028A">
        <w:rPr>
          <w:rFonts w:ascii="Arial" w:hAnsi="Arial" w:cs="Arial"/>
          <w:sz w:val="20"/>
        </w:rPr>
        <w:t>Los activos por impuesto diferido derivados de diferencias temporarias deducibles se reconocen siempre que:</w:t>
      </w:r>
    </w:p>
    <w:p w14:paraId="006FDDB5" w14:textId="77777777" w:rsidR="00DD7A9E" w:rsidRPr="0009028A" w:rsidRDefault="00DD7A9E" w:rsidP="00835247">
      <w:pPr>
        <w:pStyle w:val="Prrafodelista"/>
        <w:widowControl w:val="0"/>
        <w:numPr>
          <w:ilvl w:val="0"/>
          <w:numId w:val="21"/>
        </w:numPr>
        <w:autoSpaceDE w:val="0"/>
        <w:autoSpaceDN w:val="0"/>
        <w:adjustRightInd w:val="0"/>
        <w:spacing w:before="200" w:after="0" w:line="240" w:lineRule="auto"/>
        <w:ind w:left="567" w:hanging="283"/>
        <w:contextualSpacing w:val="0"/>
        <w:jc w:val="both"/>
        <w:rPr>
          <w:rFonts w:ascii="Arial" w:hAnsi="Arial" w:cs="Arial"/>
          <w:sz w:val="20"/>
        </w:rPr>
      </w:pPr>
      <w:r w:rsidRPr="0009028A">
        <w:rPr>
          <w:rFonts w:ascii="Arial" w:hAnsi="Arial" w:cs="Arial"/>
          <w:sz w:val="20"/>
        </w:rPr>
        <w:t>Resulte probable que existan ganancias fiscales futuras suficientes para su compensación excepto en aquellos casos en las que las diferencias surjan del reconocimiento inicial de activos o pasivos en una transacción que no es una combinación de negocios y en la fecha de la transacción no afecta ni al resultado contable ni a la base imponible fiscal;</w:t>
      </w:r>
    </w:p>
    <w:p w14:paraId="5E991F00" w14:textId="77777777" w:rsidR="00DD7A9E" w:rsidRPr="0009028A" w:rsidRDefault="00DD7A9E" w:rsidP="00835247">
      <w:pPr>
        <w:pStyle w:val="Prrafodelista"/>
        <w:widowControl w:val="0"/>
        <w:numPr>
          <w:ilvl w:val="0"/>
          <w:numId w:val="21"/>
        </w:numPr>
        <w:autoSpaceDE w:val="0"/>
        <w:autoSpaceDN w:val="0"/>
        <w:adjustRightInd w:val="0"/>
        <w:spacing w:before="200" w:after="0" w:line="240" w:lineRule="auto"/>
        <w:ind w:left="567" w:hanging="283"/>
        <w:contextualSpacing w:val="0"/>
        <w:jc w:val="both"/>
        <w:rPr>
          <w:rFonts w:ascii="Arial" w:hAnsi="Arial" w:cs="Arial"/>
          <w:sz w:val="20"/>
        </w:rPr>
      </w:pPr>
      <w:r w:rsidRPr="0009028A">
        <w:rPr>
          <w:rFonts w:ascii="Arial" w:hAnsi="Arial" w:cs="Arial"/>
          <w:sz w:val="20"/>
        </w:rPr>
        <w:t>Correspondan a diferencias temporarias asociadas con inversiones en subsidiarias, asociadas y negocios conjuntos en la medida en que las diferencias temporarias vayan a revertir en un futuro previsible y se espere generar ganancias fiscales futuras positivas para compensar las diferencias;</w:t>
      </w:r>
    </w:p>
    <w:p w14:paraId="33473053" w14:textId="77777777" w:rsidR="00DD7A9E" w:rsidRPr="0009028A" w:rsidRDefault="00DD7A9E" w:rsidP="00DD7A9E">
      <w:pPr>
        <w:pStyle w:val="Prrafodelista"/>
        <w:widowControl w:val="0"/>
        <w:autoSpaceDE w:val="0"/>
        <w:autoSpaceDN w:val="0"/>
        <w:adjustRightInd w:val="0"/>
        <w:spacing w:before="200" w:line="240" w:lineRule="auto"/>
        <w:ind w:left="567" w:hanging="283"/>
        <w:contextualSpacing w:val="0"/>
        <w:jc w:val="both"/>
        <w:rPr>
          <w:rFonts w:ascii="Arial" w:hAnsi="Arial" w:cs="Arial"/>
          <w:sz w:val="20"/>
        </w:rPr>
      </w:pPr>
      <w:r w:rsidRPr="0009028A">
        <w:rPr>
          <w:rFonts w:ascii="Arial" w:hAnsi="Arial" w:cs="Arial"/>
          <w:sz w:val="20"/>
        </w:rPr>
        <w:tab/>
        <w:t>Las oportunidades de planificación fiscal, sólo se consideran en la evaluación de la recuperación de los activos por impuestos diferidos, si La Compañía tiene la intención de adoptarlas o es probable que las vaya a adoptar.</w:t>
      </w:r>
    </w:p>
    <w:p w14:paraId="4D159F9E" w14:textId="7B87B5E3" w:rsidR="00DD7A9E" w:rsidRPr="0009028A" w:rsidRDefault="00DD7A9E" w:rsidP="00DD7A9E">
      <w:pPr>
        <w:pStyle w:val="Ttulo2"/>
        <w:spacing w:afterAutospacing="0"/>
        <w:rPr>
          <w:rFonts w:ascii="Arial" w:hAnsi="Arial" w:cs="Arial"/>
          <w:sz w:val="20"/>
          <w:szCs w:val="22"/>
        </w:rPr>
      </w:pPr>
      <w:bookmarkStart w:id="258" w:name="_Toc6292937"/>
      <w:bookmarkStart w:id="259" w:name="_Toc6294487"/>
      <w:bookmarkStart w:id="260" w:name="_Toc6322825"/>
      <w:bookmarkStart w:id="261" w:name="_Toc7029872"/>
      <w:bookmarkStart w:id="262" w:name="_Toc8735088"/>
      <w:r w:rsidRPr="0009028A">
        <w:rPr>
          <w:rFonts w:ascii="Arial" w:hAnsi="Arial" w:cs="Arial"/>
          <w:b w:val="0"/>
        </w:rPr>
        <w:t>4.1</w:t>
      </w:r>
      <w:r w:rsidR="004C76E2">
        <w:rPr>
          <w:rFonts w:ascii="Arial" w:hAnsi="Arial" w:cs="Arial"/>
          <w:b w:val="0"/>
        </w:rPr>
        <w:t>6</w:t>
      </w:r>
      <w:r w:rsidRPr="0009028A">
        <w:rPr>
          <w:rFonts w:ascii="Arial" w:hAnsi="Arial" w:cs="Arial"/>
          <w:b w:val="0"/>
        </w:rPr>
        <w:t>.3. Medición</w:t>
      </w:r>
      <w:bookmarkEnd w:id="258"/>
      <w:bookmarkEnd w:id="259"/>
      <w:bookmarkEnd w:id="260"/>
      <w:bookmarkEnd w:id="261"/>
      <w:bookmarkEnd w:id="262"/>
    </w:p>
    <w:p w14:paraId="51994478" w14:textId="77777777" w:rsidR="00DD7A9E" w:rsidRPr="0009028A" w:rsidRDefault="00DD7A9E" w:rsidP="00DD7A9E">
      <w:pPr>
        <w:widowControl w:val="0"/>
        <w:autoSpaceDE w:val="0"/>
        <w:autoSpaceDN w:val="0"/>
        <w:adjustRightInd w:val="0"/>
        <w:spacing w:before="200" w:after="0" w:line="240" w:lineRule="auto"/>
        <w:jc w:val="both"/>
        <w:rPr>
          <w:rFonts w:ascii="Arial" w:hAnsi="Arial" w:cs="Arial"/>
          <w:sz w:val="20"/>
        </w:rPr>
      </w:pPr>
      <w:r w:rsidRPr="0009028A">
        <w:rPr>
          <w:rFonts w:ascii="Arial" w:hAnsi="Arial" w:cs="Arial"/>
          <w:sz w:val="20"/>
        </w:rPr>
        <w:t xml:space="preserve">Los activos y pasivos por impuestos diferidos se miden empleando las tasas fiscales que vayan a ser de aplicación en los ejercicios en los que se espera realizar los activos o pagar los pasivos, a partir de la normativa y tipos que están aprobados o se encuentren a punto de aprobarse y una vez consideradas las consecuencias fiscales que se derivarán de la forma en que la Compañía espera recuperar los activos o liquidar los pasivos. </w:t>
      </w:r>
    </w:p>
    <w:p w14:paraId="7FE481C9" w14:textId="77777777" w:rsidR="00DD7A9E" w:rsidRPr="0009028A" w:rsidRDefault="00DD7A9E" w:rsidP="00DD7A9E">
      <w:pPr>
        <w:widowControl w:val="0"/>
        <w:autoSpaceDE w:val="0"/>
        <w:autoSpaceDN w:val="0"/>
        <w:adjustRightInd w:val="0"/>
        <w:spacing w:before="240" w:after="0" w:line="240" w:lineRule="auto"/>
        <w:jc w:val="both"/>
        <w:rPr>
          <w:rFonts w:ascii="Arial" w:hAnsi="Arial" w:cs="Arial"/>
          <w:sz w:val="20"/>
        </w:rPr>
      </w:pPr>
      <w:r w:rsidRPr="0009028A">
        <w:rPr>
          <w:rFonts w:ascii="Arial" w:hAnsi="Arial" w:cs="Arial"/>
          <w:sz w:val="20"/>
        </w:rPr>
        <w:t xml:space="preserve">La Compañía revisa en la fecha de cierre del ejercicio, el importe en libros de los activos por impuestos diferidos, con el objeto de reducir dicho valor en la medida en que no es probable que vayan a existir suficientes bases imponibles positivas futuras para compensarlos. </w:t>
      </w:r>
    </w:p>
    <w:p w14:paraId="7C54062F" w14:textId="77777777" w:rsidR="00DD7A9E" w:rsidRPr="0009028A" w:rsidRDefault="00DD7A9E" w:rsidP="00DD7A9E">
      <w:pPr>
        <w:widowControl w:val="0"/>
        <w:autoSpaceDE w:val="0"/>
        <w:autoSpaceDN w:val="0"/>
        <w:adjustRightInd w:val="0"/>
        <w:spacing w:before="180" w:after="0" w:line="240" w:lineRule="auto"/>
        <w:jc w:val="both"/>
        <w:rPr>
          <w:rFonts w:ascii="Arial" w:hAnsi="Arial" w:cs="Arial"/>
          <w:sz w:val="20"/>
        </w:rPr>
      </w:pPr>
      <w:r w:rsidRPr="0009028A">
        <w:rPr>
          <w:rFonts w:ascii="Arial" w:hAnsi="Arial" w:cs="Arial"/>
          <w:sz w:val="20"/>
        </w:rPr>
        <w:t>Los activos por impuestos diferidos que no cumplen las condiciones anteriores no son reconocidos en el estado de situación financiera consolidado. La Compañía reconsidera al cierre del ejercicio, si se cumplen las condiciones para reconocer los activos por impuestos diferidos que previamente no habían sido reconocidos.</w:t>
      </w:r>
    </w:p>
    <w:p w14:paraId="3E7E372E" w14:textId="77777777" w:rsidR="005744AF" w:rsidRPr="0009028A" w:rsidRDefault="005744AF" w:rsidP="008E00CC">
      <w:pPr>
        <w:rPr>
          <w:rFonts w:ascii="Arial" w:hAnsi="Arial" w:cs="Arial"/>
        </w:rPr>
      </w:pPr>
      <w:bookmarkStart w:id="263" w:name="_Toc6292938"/>
      <w:bookmarkStart w:id="264" w:name="_Toc6294488"/>
      <w:bookmarkStart w:id="265" w:name="_Toc6322826"/>
      <w:bookmarkStart w:id="266" w:name="_Toc7029873"/>
    </w:p>
    <w:p w14:paraId="0B17AE2A" w14:textId="2DF2CF07" w:rsidR="00DD7A9E" w:rsidRPr="0009028A" w:rsidRDefault="00DD7A9E" w:rsidP="00DD7A9E">
      <w:pPr>
        <w:pStyle w:val="Ttulo2"/>
        <w:spacing w:afterAutospacing="0"/>
        <w:rPr>
          <w:rFonts w:ascii="Arial" w:hAnsi="Arial" w:cs="Arial"/>
          <w:b w:val="0"/>
        </w:rPr>
      </w:pPr>
      <w:bookmarkStart w:id="267" w:name="_Toc8735089"/>
      <w:r w:rsidRPr="0009028A">
        <w:rPr>
          <w:rFonts w:ascii="Arial" w:hAnsi="Arial" w:cs="Arial"/>
          <w:b w:val="0"/>
        </w:rPr>
        <w:t>4.1</w:t>
      </w:r>
      <w:r w:rsidR="004C76E2">
        <w:rPr>
          <w:rFonts w:ascii="Arial" w:hAnsi="Arial" w:cs="Arial"/>
          <w:b w:val="0"/>
        </w:rPr>
        <w:t>6</w:t>
      </w:r>
      <w:r w:rsidRPr="0009028A">
        <w:rPr>
          <w:rFonts w:ascii="Arial" w:hAnsi="Arial" w:cs="Arial"/>
          <w:b w:val="0"/>
        </w:rPr>
        <w:t>.4. Compensación y clasificación</w:t>
      </w:r>
      <w:bookmarkEnd w:id="263"/>
      <w:bookmarkEnd w:id="264"/>
      <w:bookmarkEnd w:id="265"/>
      <w:bookmarkEnd w:id="266"/>
      <w:bookmarkEnd w:id="267"/>
    </w:p>
    <w:p w14:paraId="26813B8E" w14:textId="77777777" w:rsidR="00DD7A9E" w:rsidRPr="0009028A" w:rsidRDefault="00DD7A9E" w:rsidP="00DD7A9E">
      <w:pPr>
        <w:widowControl w:val="0"/>
        <w:autoSpaceDE w:val="0"/>
        <w:autoSpaceDN w:val="0"/>
        <w:adjustRightInd w:val="0"/>
        <w:spacing w:before="180" w:after="0" w:line="240" w:lineRule="auto"/>
        <w:jc w:val="both"/>
        <w:rPr>
          <w:rFonts w:ascii="Arial" w:hAnsi="Arial" w:cs="Arial"/>
          <w:sz w:val="20"/>
        </w:rPr>
      </w:pPr>
      <w:r w:rsidRPr="0009028A">
        <w:rPr>
          <w:rFonts w:ascii="Arial" w:hAnsi="Arial" w:cs="Arial"/>
          <w:sz w:val="20"/>
        </w:rPr>
        <w:t>La Compañía sólo compensa los activos y pasivos por impuesto sobre las ganancias corriente si existe un derecho legal frente a las autoridades fiscales y tiene la intención de liquidar las deudas que resulten por su importe neto o bien realizar los activos y liquidar las deudas de forma simultánea.</w:t>
      </w:r>
    </w:p>
    <w:p w14:paraId="46D67633" w14:textId="77777777" w:rsidR="00DD7A9E" w:rsidRPr="0009028A" w:rsidRDefault="00DD7A9E" w:rsidP="00DD7A9E">
      <w:pPr>
        <w:widowControl w:val="0"/>
        <w:autoSpaceDE w:val="0"/>
        <w:autoSpaceDN w:val="0"/>
        <w:adjustRightInd w:val="0"/>
        <w:spacing w:before="180" w:after="0" w:line="240" w:lineRule="auto"/>
        <w:jc w:val="both"/>
        <w:rPr>
          <w:rFonts w:ascii="Arial" w:hAnsi="Arial" w:cs="Arial"/>
          <w:sz w:val="20"/>
        </w:rPr>
      </w:pPr>
      <w:r w:rsidRPr="0009028A">
        <w:rPr>
          <w:rFonts w:ascii="Arial" w:hAnsi="Arial" w:cs="Arial"/>
          <w:sz w:val="20"/>
        </w:rPr>
        <w:t>La Compañía sólo compensa los activos y pasivos por impuesto sobre las ganancias diferidos si existe un derecho legal de compensación frente a las autoridades fiscales y dichos activos y pasivos corresponden a la misma autoridad fiscal, y al mismo sujeto pasivo o bien a diferentes sujetos pasivos que pretenden liquidar o realizar los activos y pasivos fiscales corrientes por su importe neto o realizar los activos y liquidar los pasivos simultáneamente, en cada uno de los ejercicios futuros en los que se espera liquidar o recuperar importes significativos de activos o pasivos por impuestos diferidos.</w:t>
      </w:r>
    </w:p>
    <w:p w14:paraId="2C816489" w14:textId="77777777" w:rsidR="00DD7A9E" w:rsidRPr="0009028A" w:rsidRDefault="00DD7A9E" w:rsidP="00DD7A9E">
      <w:pPr>
        <w:widowControl w:val="0"/>
        <w:autoSpaceDE w:val="0"/>
        <w:autoSpaceDN w:val="0"/>
        <w:adjustRightInd w:val="0"/>
        <w:spacing w:before="180" w:after="0" w:line="240" w:lineRule="auto"/>
        <w:jc w:val="both"/>
        <w:rPr>
          <w:rFonts w:ascii="Arial" w:hAnsi="Arial" w:cs="Arial"/>
          <w:sz w:val="20"/>
        </w:rPr>
      </w:pPr>
      <w:r w:rsidRPr="0009028A">
        <w:rPr>
          <w:rFonts w:ascii="Arial" w:hAnsi="Arial" w:cs="Arial"/>
          <w:sz w:val="20"/>
        </w:rPr>
        <w:t>Los activos y pasivos por impuestos diferidos se reconocen en estado de situación financiera consolidado como activos o pasivos no corrientes, independientemente de la fecha de esperada de realización o liquidación.</w:t>
      </w:r>
    </w:p>
    <w:p w14:paraId="7AFAA5B8" w14:textId="77777777" w:rsidR="005744AF" w:rsidRPr="0009028A" w:rsidRDefault="005744AF" w:rsidP="008B3749">
      <w:pPr>
        <w:pStyle w:val="Sinespaciado"/>
      </w:pPr>
      <w:bookmarkStart w:id="268" w:name="_Toc6294489"/>
      <w:bookmarkStart w:id="269" w:name="_Toc6322827"/>
    </w:p>
    <w:p w14:paraId="7CB48EC2" w14:textId="428DA6C5" w:rsidR="00DD7A9E" w:rsidRPr="0009028A" w:rsidRDefault="00DD7A9E" w:rsidP="00DD7A9E">
      <w:pPr>
        <w:pStyle w:val="Ttulo2"/>
        <w:spacing w:afterAutospacing="0"/>
        <w:rPr>
          <w:rFonts w:ascii="Arial" w:hAnsi="Arial" w:cs="Arial"/>
          <w:b w:val="0"/>
        </w:rPr>
      </w:pPr>
      <w:bookmarkStart w:id="270" w:name="_Toc8735090"/>
      <w:r w:rsidRPr="0009028A">
        <w:rPr>
          <w:rFonts w:ascii="Arial" w:hAnsi="Arial" w:cs="Arial"/>
          <w:b w:val="0"/>
        </w:rPr>
        <w:t>4.</w:t>
      </w:r>
      <w:r w:rsidR="004C76E2">
        <w:rPr>
          <w:rFonts w:ascii="Arial" w:hAnsi="Arial" w:cs="Arial"/>
          <w:b w:val="0"/>
        </w:rPr>
        <w:t>17</w:t>
      </w:r>
      <w:r w:rsidRPr="0009028A">
        <w:rPr>
          <w:rFonts w:ascii="Arial" w:hAnsi="Arial" w:cs="Arial"/>
          <w:b w:val="0"/>
        </w:rPr>
        <w:t>. Ganancia por acción</w:t>
      </w:r>
      <w:bookmarkEnd w:id="268"/>
      <w:bookmarkEnd w:id="269"/>
      <w:bookmarkEnd w:id="270"/>
    </w:p>
    <w:p w14:paraId="5F5BFC7A" w14:textId="06874D1E" w:rsidR="00E67230" w:rsidRPr="00950EDC" w:rsidRDefault="00703DFE" w:rsidP="00950EDC">
      <w:pPr>
        <w:pStyle w:val="Prrafodelista"/>
        <w:widowControl w:val="0"/>
        <w:autoSpaceDE w:val="0"/>
        <w:autoSpaceDN w:val="0"/>
        <w:adjustRightInd w:val="0"/>
        <w:spacing w:before="240" w:line="240" w:lineRule="auto"/>
        <w:ind w:left="0"/>
        <w:contextualSpacing w:val="0"/>
        <w:jc w:val="both"/>
        <w:rPr>
          <w:rFonts w:ascii="Arial" w:hAnsi="Arial" w:cs="Arial"/>
          <w:sz w:val="20"/>
        </w:rPr>
      </w:pPr>
      <w:r>
        <w:rPr>
          <w:rFonts w:ascii="Arial" w:hAnsi="Arial" w:cs="Arial"/>
          <w:sz w:val="20"/>
        </w:rPr>
        <w:t>La C</w:t>
      </w:r>
      <w:r w:rsidR="00DD7A9E" w:rsidRPr="0009028A">
        <w:rPr>
          <w:rFonts w:ascii="Arial" w:hAnsi="Arial" w:cs="Arial"/>
          <w:sz w:val="20"/>
        </w:rPr>
        <w:t>ompañía revela el dato de las ganancias por acciones básicas y de sus acciones ordinarias al cierre del ejercicio. Las ganancias por acción (GPA) básicas se calculan dividiendo el resultado atribuible a lo</w:t>
      </w:r>
      <w:r>
        <w:rPr>
          <w:rFonts w:ascii="Arial" w:hAnsi="Arial" w:cs="Arial"/>
          <w:sz w:val="20"/>
        </w:rPr>
        <w:t>s accionistas ordinarios de la C</w:t>
      </w:r>
      <w:r w:rsidR="00DD7A9E" w:rsidRPr="0009028A">
        <w:rPr>
          <w:rFonts w:ascii="Arial" w:hAnsi="Arial" w:cs="Arial"/>
          <w:sz w:val="20"/>
        </w:rPr>
        <w:t>ompañía, por el promedio ponderado de acciones ordinarias en ci</w:t>
      </w:r>
      <w:r w:rsidR="00950EDC">
        <w:rPr>
          <w:rFonts w:ascii="Arial" w:hAnsi="Arial" w:cs="Arial"/>
          <w:sz w:val="20"/>
        </w:rPr>
        <w:t>rculación durante el ejercicio.</w:t>
      </w:r>
    </w:p>
    <w:p w14:paraId="610C488E" w14:textId="59191A53" w:rsidR="0086036E" w:rsidRPr="00950EDC" w:rsidRDefault="00075E33" w:rsidP="00950EDC">
      <w:pPr>
        <w:pStyle w:val="Ttulo1"/>
      </w:pPr>
      <w:bookmarkStart w:id="271" w:name="_Toc506991899"/>
      <w:bookmarkStart w:id="272" w:name="_Toc8735091"/>
      <w:r w:rsidRPr="0009028A">
        <w:t xml:space="preserve">Nota </w:t>
      </w:r>
      <w:r w:rsidR="008C7EE5" w:rsidRPr="0009028A">
        <w:t>5</w:t>
      </w:r>
      <w:r w:rsidRPr="0009028A">
        <w:t>:</w:t>
      </w:r>
      <w:r w:rsidR="0086036E" w:rsidRPr="0009028A">
        <w:t xml:space="preserve"> E</w:t>
      </w:r>
      <w:r w:rsidRPr="0009028A">
        <w:t>fectivo y equivalentes de efectivo</w:t>
      </w:r>
      <w:bookmarkEnd w:id="271"/>
      <w:bookmarkEnd w:id="272"/>
    </w:p>
    <w:p w14:paraId="2F4862AD" w14:textId="77777777" w:rsidR="0059323C" w:rsidRDefault="0086036E" w:rsidP="009B4E3A">
      <w:pPr>
        <w:autoSpaceDE w:val="0"/>
        <w:autoSpaceDN w:val="0"/>
        <w:adjustRightInd w:val="0"/>
        <w:spacing w:after="0" w:line="240" w:lineRule="auto"/>
        <w:jc w:val="both"/>
        <w:rPr>
          <w:rFonts w:ascii="Arial" w:eastAsia="Arial" w:hAnsi="Arial" w:cs="Arial"/>
          <w:spacing w:val="1"/>
          <w:sz w:val="20"/>
          <w:szCs w:val="20"/>
        </w:rPr>
      </w:pPr>
      <w:r w:rsidRPr="0009028A">
        <w:rPr>
          <w:rFonts w:ascii="Arial" w:eastAsia="Arial" w:hAnsi="Arial" w:cs="Arial"/>
          <w:spacing w:val="1"/>
          <w:sz w:val="20"/>
          <w:szCs w:val="20"/>
        </w:rPr>
        <w:t>El saldo</w:t>
      </w:r>
      <w:r w:rsidR="00806149" w:rsidRPr="0009028A">
        <w:rPr>
          <w:rFonts w:ascii="Arial" w:eastAsia="Arial" w:hAnsi="Arial" w:cs="Arial"/>
          <w:spacing w:val="1"/>
          <w:sz w:val="20"/>
          <w:szCs w:val="20"/>
        </w:rPr>
        <w:t xml:space="preserve"> total</w:t>
      </w:r>
      <w:r w:rsidR="002801B7" w:rsidRPr="0009028A">
        <w:rPr>
          <w:rFonts w:ascii="Arial" w:eastAsia="Arial" w:hAnsi="Arial" w:cs="Arial"/>
          <w:spacing w:val="1"/>
          <w:sz w:val="20"/>
          <w:szCs w:val="20"/>
        </w:rPr>
        <w:t xml:space="preserve"> de e</w:t>
      </w:r>
      <w:r w:rsidRPr="0009028A">
        <w:rPr>
          <w:rFonts w:ascii="Arial" w:eastAsia="Arial" w:hAnsi="Arial" w:cs="Arial"/>
          <w:spacing w:val="1"/>
          <w:sz w:val="20"/>
          <w:szCs w:val="20"/>
        </w:rPr>
        <w:t xml:space="preserve">sta </w:t>
      </w:r>
      <w:r w:rsidR="00806149" w:rsidRPr="0009028A">
        <w:rPr>
          <w:rFonts w:ascii="Arial" w:eastAsia="Arial" w:hAnsi="Arial" w:cs="Arial"/>
          <w:spacing w:val="1"/>
          <w:sz w:val="20"/>
          <w:szCs w:val="20"/>
        </w:rPr>
        <w:t xml:space="preserve">partida </w:t>
      </w:r>
      <w:r w:rsidRPr="0009028A">
        <w:rPr>
          <w:rFonts w:ascii="Arial" w:eastAsia="Arial" w:hAnsi="Arial" w:cs="Arial"/>
          <w:spacing w:val="1"/>
          <w:sz w:val="20"/>
          <w:szCs w:val="20"/>
        </w:rPr>
        <w:t xml:space="preserve">al final del </w:t>
      </w:r>
      <w:r w:rsidR="004C1B20" w:rsidRPr="0009028A">
        <w:rPr>
          <w:rFonts w:ascii="Arial" w:eastAsia="Arial" w:hAnsi="Arial" w:cs="Arial"/>
          <w:spacing w:val="1"/>
          <w:sz w:val="20"/>
          <w:szCs w:val="20"/>
        </w:rPr>
        <w:t>período</w:t>
      </w:r>
      <w:r w:rsidRPr="0009028A">
        <w:rPr>
          <w:rFonts w:ascii="Arial" w:eastAsia="Arial" w:hAnsi="Arial" w:cs="Arial"/>
          <w:spacing w:val="1"/>
          <w:sz w:val="20"/>
          <w:szCs w:val="20"/>
        </w:rPr>
        <w:t xml:space="preserve"> en que se</w:t>
      </w:r>
      <w:r w:rsidR="005F284F" w:rsidRPr="0009028A">
        <w:rPr>
          <w:rFonts w:ascii="Arial" w:eastAsia="Arial" w:hAnsi="Arial" w:cs="Arial"/>
          <w:spacing w:val="1"/>
          <w:sz w:val="20"/>
          <w:szCs w:val="20"/>
        </w:rPr>
        <w:t xml:space="preserve"> </w:t>
      </w:r>
      <w:r w:rsidR="00114632" w:rsidRPr="0009028A">
        <w:rPr>
          <w:rFonts w:ascii="Arial" w:eastAsia="Arial" w:hAnsi="Arial" w:cs="Arial"/>
          <w:spacing w:val="1"/>
          <w:sz w:val="20"/>
          <w:szCs w:val="20"/>
        </w:rPr>
        <w:t>informa, como se muestra en el e</w:t>
      </w:r>
      <w:r w:rsidRPr="0009028A">
        <w:rPr>
          <w:rFonts w:ascii="Arial" w:eastAsia="Arial" w:hAnsi="Arial" w:cs="Arial"/>
          <w:spacing w:val="1"/>
          <w:sz w:val="20"/>
          <w:szCs w:val="20"/>
        </w:rPr>
        <w:t xml:space="preserve">stado de </w:t>
      </w:r>
      <w:r w:rsidR="00114632" w:rsidRPr="0009028A">
        <w:rPr>
          <w:rFonts w:ascii="Arial" w:eastAsia="Arial" w:hAnsi="Arial" w:cs="Arial"/>
          <w:spacing w:val="1"/>
          <w:sz w:val="20"/>
          <w:szCs w:val="20"/>
        </w:rPr>
        <w:t>f</w:t>
      </w:r>
      <w:r w:rsidR="005F284F" w:rsidRPr="0009028A">
        <w:rPr>
          <w:rFonts w:ascii="Arial" w:eastAsia="Arial" w:hAnsi="Arial" w:cs="Arial"/>
          <w:spacing w:val="1"/>
          <w:sz w:val="20"/>
          <w:szCs w:val="20"/>
        </w:rPr>
        <w:t xml:space="preserve">lujo de </w:t>
      </w:r>
      <w:r w:rsidR="00114632" w:rsidRPr="0009028A">
        <w:rPr>
          <w:rFonts w:ascii="Arial" w:eastAsia="Arial" w:hAnsi="Arial" w:cs="Arial"/>
          <w:spacing w:val="1"/>
          <w:sz w:val="20"/>
          <w:szCs w:val="20"/>
        </w:rPr>
        <w:t>e</w:t>
      </w:r>
      <w:r w:rsidRPr="0009028A">
        <w:rPr>
          <w:rFonts w:ascii="Arial" w:eastAsia="Arial" w:hAnsi="Arial" w:cs="Arial"/>
          <w:spacing w:val="1"/>
          <w:sz w:val="20"/>
          <w:szCs w:val="20"/>
        </w:rPr>
        <w:t>fectivo</w:t>
      </w:r>
      <w:r w:rsidR="00C53BF2" w:rsidRPr="0009028A">
        <w:rPr>
          <w:rFonts w:ascii="Arial" w:eastAsia="Arial" w:hAnsi="Arial" w:cs="Arial"/>
          <w:spacing w:val="1"/>
          <w:sz w:val="20"/>
          <w:szCs w:val="20"/>
        </w:rPr>
        <w:t xml:space="preserve"> </w:t>
      </w:r>
      <w:r w:rsidR="00114632" w:rsidRPr="0009028A">
        <w:rPr>
          <w:rFonts w:ascii="Arial" w:eastAsia="Arial" w:hAnsi="Arial" w:cs="Arial"/>
          <w:spacing w:val="1"/>
          <w:sz w:val="20"/>
          <w:szCs w:val="20"/>
        </w:rPr>
        <w:t>s</w:t>
      </w:r>
      <w:r w:rsidR="0010294A" w:rsidRPr="0009028A">
        <w:rPr>
          <w:rFonts w:ascii="Arial" w:eastAsia="Arial" w:hAnsi="Arial" w:cs="Arial"/>
          <w:spacing w:val="1"/>
          <w:sz w:val="20"/>
          <w:szCs w:val="20"/>
        </w:rPr>
        <w:t>eparado</w:t>
      </w:r>
      <w:r w:rsidR="00114632" w:rsidRPr="0009028A">
        <w:rPr>
          <w:rFonts w:ascii="Arial" w:eastAsia="Arial" w:hAnsi="Arial" w:cs="Arial"/>
          <w:spacing w:val="1"/>
          <w:sz w:val="20"/>
          <w:szCs w:val="20"/>
        </w:rPr>
        <w:t xml:space="preserve"> c</w:t>
      </w:r>
      <w:r w:rsidR="00FD31B3" w:rsidRPr="0009028A">
        <w:rPr>
          <w:rFonts w:ascii="Arial" w:eastAsia="Arial" w:hAnsi="Arial" w:cs="Arial"/>
          <w:spacing w:val="1"/>
          <w:sz w:val="20"/>
          <w:szCs w:val="20"/>
        </w:rPr>
        <w:t>ondensado</w:t>
      </w:r>
      <w:r w:rsidRPr="0009028A">
        <w:rPr>
          <w:rFonts w:ascii="Arial" w:eastAsia="Arial" w:hAnsi="Arial" w:cs="Arial"/>
          <w:spacing w:val="1"/>
          <w:sz w:val="20"/>
          <w:szCs w:val="20"/>
        </w:rPr>
        <w:t xml:space="preserve">, puede ser conciliado con las partidas relacionadas en el </w:t>
      </w:r>
      <w:r w:rsidR="00114632" w:rsidRPr="0009028A">
        <w:rPr>
          <w:rFonts w:ascii="Arial" w:eastAsia="Arial" w:hAnsi="Arial" w:cs="Arial"/>
          <w:spacing w:val="1"/>
          <w:sz w:val="20"/>
          <w:szCs w:val="20"/>
        </w:rPr>
        <w:t>e</w:t>
      </w:r>
      <w:r w:rsidRPr="0009028A">
        <w:rPr>
          <w:rFonts w:ascii="Arial" w:eastAsia="Arial" w:hAnsi="Arial" w:cs="Arial"/>
          <w:spacing w:val="1"/>
          <w:sz w:val="20"/>
          <w:szCs w:val="20"/>
        </w:rPr>
        <w:t xml:space="preserve">stado de </w:t>
      </w:r>
      <w:r w:rsidR="00114632" w:rsidRPr="0009028A">
        <w:rPr>
          <w:rFonts w:ascii="Arial" w:eastAsia="Arial" w:hAnsi="Arial" w:cs="Arial"/>
          <w:spacing w:val="1"/>
          <w:sz w:val="20"/>
          <w:szCs w:val="20"/>
        </w:rPr>
        <w:t>s</w:t>
      </w:r>
      <w:r w:rsidRPr="0009028A">
        <w:rPr>
          <w:rFonts w:ascii="Arial" w:eastAsia="Arial" w:hAnsi="Arial" w:cs="Arial"/>
          <w:spacing w:val="1"/>
          <w:sz w:val="20"/>
          <w:szCs w:val="20"/>
        </w:rPr>
        <w:t xml:space="preserve">ituación </w:t>
      </w:r>
      <w:r w:rsidR="00114632" w:rsidRPr="0009028A">
        <w:rPr>
          <w:rFonts w:ascii="Arial" w:eastAsia="Arial" w:hAnsi="Arial" w:cs="Arial"/>
          <w:spacing w:val="1"/>
          <w:sz w:val="20"/>
          <w:szCs w:val="20"/>
        </w:rPr>
        <w:t>f</w:t>
      </w:r>
      <w:r w:rsidR="005F284F" w:rsidRPr="0009028A">
        <w:rPr>
          <w:rFonts w:ascii="Arial" w:eastAsia="Arial" w:hAnsi="Arial" w:cs="Arial"/>
          <w:spacing w:val="1"/>
          <w:sz w:val="20"/>
          <w:szCs w:val="20"/>
        </w:rPr>
        <w:t>i</w:t>
      </w:r>
      <w:r w:rsidRPr="0009028A">
        <w:rPr>
          <w:rFonts w:ascii="Arial" w:eastAsia="Arial" w:hAnsi="Arial" w:cs="Arial"/>
          <w:spacing w:val="1"/>
          <w:sz w:val="20"/>
          <w:szCs w:val="20"/>
        </w:rPr>
        <w:t xml:space="preserve">nanciera </w:t>
      </w:r>
      <w:r w:rsidR="00114632" w:rsidRPr="0009028A">
        <w:rPr>
          <w:rFonts w:ascii="Arial" w:eastAsia="Arial" w:hAnsi="Arial" w:cs="Arial"/>
          <w:spacing w:val="1"/>
          <w:sz w:val="20"/>
          <w:szCs w:val="20"/>
        </w:rPr>
        <w:t>s</w:t>
      </w:r>
      <w:r w:rsidR="0010294A" w:rsidRPr="0009028A">
        <w:rPr>
          <w:rFonts w:ascii="Arial" w:eastAsia="Arial" w:hAnsi="Arial" w:cs="Arial"/>
          <w:spacing w:val="1"/>
          <w:sz w:val="20"/>
          <w:szCs w:val="20"/>
        </w:rPr>
        <w:t>eparad</w:t>
      </w:r>
      <w:r w:rsidR="00114632" w:rsidRPr="0009028A">
        <w:rPr>
          <w:rFonts w:ascii="Arial" w:eastAsia="Arial" w:hAnsi="Arial" w:cs="Arial"/>
          <w:spacing w:val="1"/>
          <w:sz w:val="20"/>
          <w:szCs w:val="20"/>
        </w:rPr>
        <w:t>o c</w:t>
      </w:r>
      <w:r w:rsidR="00905FDC" w:rsidRPr="0009028A">
        <w:rPr>
          <w:rFonts w:ascii="Arial" w:eastAsia="Arial" w:hAnsi="Arial" w:cs="Arial"/>
          <w:spacing w:val="1"/>
          <w:sz w:val="20"/>
          <w:szCs w:val="20"/>
        </w:rPr>
        <w:t>ondensado</w:t>
      </w:r>
      <w:r w:rsidR="00C53BF2" w:rsidRPr="0009028A">
        <w:rPr>
          <w:rFonts w:ascii="Arial" w:eastAsia="Arial" w:hAnsi="Arial" w:cs="Arial"/>
          <w:spacing w:val="1"/>
          <w:sz w:val="20"/>
          <w:szCs w:val="20"/>
        </w:rPr>
        <w:t xml:space="preserve"> </w:t>
      </w:r>
      <w:r w:rsidRPr="0009028A">
        <w:rPr>
          <w:rFonts w:ascii="Arial" w:eastAsia="Arial" w:hAnsi="Arial" w:cs="Arial"/>
          <w:spacing w:val="1"/>
          <w:sz w:val="20"/>
          <w:szCs w:val="20"/>
        </w:rPr>
        <w:t>de la siguiente manera:</w:t>
      </w:r>
    </w:p>
    <w:p w14:paraId="032EAF98" w14:textId="77777777" w:rsidR="00950EDC" w:rsidRDefault="00950EDC" w:rsidP="009B4E3A">
      <w:pPr>
        <w:autoSpaceDE w:val="0"/>
        <w:autoSpaceDN w:val="0"/>
        <w:adjustRightInd w:val="0"/>
        <w:spacing w:after="0" w:line="240" w:lineRule="auto"/>
        <w:jc w:val="both"/>
        <w:rPr>
          <w:rFonts w:ascii="Arial" w:eastAsia="Arial" w:hAnsi="Arial" w:cs="Arial"/>
          <w:spacing w:val="1"/>
          <w:sz w:val="20"/>
          <w:szCs w:val="20"/>
        </w:rPr>
      </w:pPr>
    </w:p>
    <w:p w14:paraId="3A09F500" w14:textId="77777777" w:rsidR="00950EDC" w:rsidRDefault="00950EDC" w:rsidP="009B4E3A">
      <w:pPr>
        <w:autoSpaceDE w:val="0"/>
        <w:autoSpaceDN w:val="0"/>
        <w:adjustRightInd w:val="0"/>
        <w:spacing w:after="0" w:line="240" w:lineRule="auto"/>
        <w:jc w:val="both"/>
        <w:rPr>
          <w:rFonts w:ascii="Arial" w:eastAsia="Arial" w:hAnsi="Arial" w:cs="Arial"/>
          <w:spacing w:val="1"/>
          <w:sz w:val="20"/>
          <w:szCs w:val="20"/>
        </w:rPr>
      </w:pPr>
    </w:p>
    <w:p w14:paraId="2B08D55F" w14:textId="77777777" w:rsidR="00950EDC" w:rsidRPr="0009028A" w:rsidRDefault="00950EDC" w:rsidP="009B4E3A">
      <w:pPr>
        <w:autoSpaceDE w:val="0"/>
        <w:autoSpaceDN w:val="0"/>
        <w:adjustRightInd w:val="0"/>
        <w:spacing w:after="0" w:line="240" w:lineRule="auto"/>
        <w:jc w:val="both"/>
        <w:rPr>
          <w:rFonts w:ascii="Arial" w:eastAsia="Arial" w:hAnsi="Arial" w:cs="Arial"/>
          <w:spacing w:val="1"/>
          <w:sz w:val="20"/>
          <w:szCs w:val="20"/>
        </w:rPr>
      </w:pPr>
    </w:p>
    <w:p w14:paraId="06FE60B1" w14:textId="77777777" w:rsidR="002D175B" w:rsidRPr="0009028A" w:rsidRDefault="002D175B" w:rsidP="009B4E3A">
      <w:pPr>
        <w:autoSpaceDE w:val="0"/>
        <w:autoSpaceDN w:val="0"/>
        <w:adjustRightInd w:val="0"/>
        <w:spacing w:after="0" w:line="240" w:lineRule="auto"/>
        <w:jc w:val="both"/>
        <w:rPr>
          <w:rFonts w:ascii="Arial" w:eastAsia="Arial" w:hAnsi="Arial" w:cs="Arial"/>
          <w:spacing w:val="1"/>
          <w:sz w:val="20"/>
          <w:szCs w:val="20"/>
        </w:rPr>
      </w:pPr>
    </w:p>
    <w:tbl>
      <w:tblPr>
        <w:tblW w:w="5000" w:type="pct"/>
        <w:tblLook w:val="04A0" w:firstRow="1" w:lastRow="0" w:firstColumn="1" w:lastColumn="0" w:noHBand="0" w:noVBand="1"/>
      </w:tblPr>
      <w:tblGrid>
        <w:gridCol w:w="6523"/>
        <w:gridCol w:w="1700"/>
        <w:gridCol w:w="1698"/>
      </w:tblGrid>
      <w:tr w:rsidR="00192D6E" w:rsidRPr="0009028A" w14:paraId="1CE80E63" w14:textId="77777777" w:rsidTr="009B2650">
        <w:trPr>
          <w:trHeight w:val="227"/>
        </w:trPr>
        <w:tc>
          <w:tcPr>
            <w:tcW w:w="3287" w:type="pct"/>
            <w:shd w:val="clear" w:color="auto" w:fill="auto"/>
            <w:vAlign w:val="center"/>
          </w:tcPr>
          <w:p w14:paraId="67D0119B" w14:textId="77777777" w:rsidR="00192D6E" w:rsidRPr="0009028A" w:rsidRDefault="00192D6E" w:rsidP="009B2650">
            <w:pPr>
              <w:spacing w:before="18" w:after="0" w:line="240" w:lineRule="auto"/>
              <w:ind w:right="-1"/>
              <w:jc w:val="center"/>
              <w:rPr>
                <w:rFonts w:ascii="Arial" w:eastAsia="Times New Roman" w:hAnsi="Arial" w:cs="Arial"/>
                <w:b/>
                <w:color w:val="002060"/>
                <w:sz w:val="18"/>
                <w:szCs w:val="18"/>
                <w:lang w:val="es-ES" w:eastAsia="es-ES"/>
              </w:rPr>
            </w:pPr>
          </w:p>
        </w:tc>
        <w:tc>
          <w:tcPr>
            <w:tcW w:w="857" w:type="pct"/>
            <w:shd w:val="clear" w:color="auto" w:fill="auto"/>
            <w:vAlign w:val="center"/>
          </w:tcPr>
          <w:p w14:paraId="34406710" w14:textId="77777777" w:rsidR="00192D6E" w:rsidRPr="0009028A" w:rsidRDefault="00ED1E31" w:rsidP="009B2650">
            <w:pPr>
              <w:spacing w:before="18" w:after="0" w:line="240" w:lineRule="auto"/>
              <w:ind w:right="-1"/>
              <w:jc w:val="center"/>
              <w:rPr>
                <w:rFonts w:ascii="Arial" w:eastAsia="Arial" w:hAnsi="Arial" w:cs="Arial"/>
                <w:b/>
                <w:color w:val="002060"/>
                <w:spacing w:val="-1"/>
                <w:sz w:val="18"/>
                <w:szCs w:val="18"/>
              </w:rPr>
            </w:pPr>
            <w:r w:rsidRPr="0009028A">
              <w:rPr>
                <w:rFonts w:ascii="Arial" w:eastAsia="Times New Roman" w:hAnsi="Arial" w:cs="Arial"/>
                <w:b/>
                <w:bCs/>
                <w:color w:val="002060"/>
                <w:sz w:val="18"/>
                <w:szCs w:val="18"/>
                <w:lang w:val="es-ES" w:eastAsia="es-ES"/>
              </w:rPr>
              <w:t>Marzo</w:t>
            </w:r>
            <w:r w:rsidR="00905FDC" w:rsidRPr="0009028A">
              <w:rPr>
                <w:rFonts w:ascii="Arial" w:eastAsia="Times New Roman" w:hAnsi="Arial" w:cs="Arial"/>
                <w:b/>
                <w:bCs/>
                <w:color w:val="002060"/>
                <w:sz w:val="18"/>
                <w:szCs w:val="18"/>
                <w:lang w:val="es-ES" w:eastAsia="es-ES"/>
              </w:rPr>
              <w:t xml:space="preserve"> 201</w:t>
            </w:r>
            <w:r w:rsidRPr="0009028A">
              <w:rPr>
                <w:rFonts w:ascii="Arial" w:eastAsia="Times New Roman" w:hAnsi="Arial" w:cs="Arial"/>
                <w:b/>
                <w:bCs/>
                <w:color w:val="002060"/>
                <w:sz w:val="18"/>
                <w:szCs w:val="18"/>
                <w:lang w:val="es-ES" w:eastAsia="es-ES"/>
              </w:rPr>
              <w:t>9</w:t>
            </w:r>
          </w:p>
        </w:tc>
        <w:tc>
          <w:tcPr>
            <w:tcW w:w="856" w:type="pct"/>
            <w:shd w:val="clear" w:color="auto" w:fill="auto"/>
            <w:vAlign w:val="center"/>
          </w:tcPr>
          <w:p w14:paraId="25BE9F0A" w14:textId="77777777" w:rsidR="00192D6E" w:rsidRPr="0009028A" w:rsidRDefault="006211E2" w:rsidP="009B2650">
            <w:pPr>
              <w:spacing w:before="18" w:after="0" w:line="240" w:lineRule="auto"/>
              <w:ind w:right="-1"/>
              <w:jc w:val="center"/>
              <w:rPr>
                <w:rFonts w:ascii="Arial" w:eastAsia="Arial" w:hAnsi="Arial" w:cs="Arial"/>
                <w:b/>
                <w:color w:val="002060"/>
                <w:spacing w:val="-1"/>
                <w:sz w:val="18"/>
                <w:szCs w:val="18"/>
              </w:rPr>
            </w:pPr>
            <w:r w:rsidRPr="0009028A">
              <w:rPr>
                <w:rFonts w:ascii="Arial" w:eastAsia="Times New Roman" w:hAnsi="Arial" w:cs="Arial"/>
                <w:b/>
                <w:bCs/>
                <w:color w:val="002060"/>
                <w:sz w:val="18"/>
                <w:szCs w:val="18"/>
                <w:lang w:val="es-ES" w:eastAsia="es-ES"/>
              </w:rPr>
              <w:t xml:space="preserve">Diciembre </w:t>
            </w:r>
            <w:r w:rsidR="00905FDC" w:rsidRPr="0009028A">
              <w:rPr>
                <w:rFonts w:ascii="Arial" w:eastAsia="Times New Roman" w:hAnsi="Arial" w:cs="Arial"/>
                <w:b/>
                <w:bCs/>
                <w:color w:val="002060"/>
                <w:sz w:val="18"/>
                <w:szCs w:val="18"/>
                <w:lang w:val="es-ES" w:eastAsia="es-ES"/>
              </w:rPr>
              <w:t>201</w:t>
            </w:r>
            <w:r w:rsidR="00ED1E31" w:rsidRPr="0009028A">
              <w:rPr>
                <w:rFonts w:ascii="Arial" w:eastAsia="Times New Roman" w:hAnsi="Arial" w:cs="Arial"/>
                <w:b/>
                <w:bCs/>
                <w:color w:val="002060"/>
                <w:sz w:val="18"/>
                <w:szCs w:val="18"/>
                <w:lang w:val="es-ES" w:eastAsia="es-ES"/>
              </w:rPr>
              <w:t>8</w:t>
            </w:r>
          </w:p>
        </w:tc>
      </w:tr>
      <w:tr w:rsidR="00AA45FF" w:rsidRPr="0009028A" w14:paraId="62CA131C" w14:textId="77777777" w:rsidTr="009B2650">
        <w:trPr>
          <w:trHeight w:val="227"/>
        </w:trPr>
        <w:tc>
          <w:tcPr>
            <w:tcW w:w="3287" w:type="pct"/>
            <w:shd w:val="clear" w:color="auto" w:fill="auto"/>
            <w:vAlign w:val="center"/>
          </w:tcPr>
          <w:p w14:paraId="0D7CB7F2" w14:textId="77777777" w:rsidR="00AA45FF" w:rsidRPr="0009028A" w:rsidRDefault="00AA45FF" w:rsidP="009B2650">
            <w:pPr>
              <w:spacing w:before="18" w:after="0" w:line="240" w:lineRule="auto"/>
              <w:ind w:right="-1"/>
              <w:rPr>
                <w:rFonts w:ascii="Arial" w:eastAsia="Arial" w:hAnsi="Arial" w:cs="Arial"/>
                <w:spacing w:val="-1"/>
                <w:sz w:val="20"/>
                <w:szCs w:val="20"/>
              </w:rPr>
            </w:pPr>
            <w:r w:rsidRPr="0009028A">
              <w:rPr>
                <w:rFonts w:ascii="Arial" w:eastAsia="Times New Roman" w:hAnsi="Arial" w:cs="Arial"/>
                <w:sz w:val="18"/>
                <w:szCs w:val="18"/>
                <w:lang w:eastAsia="es-CO"/>
              </w:rPr>
              <w:t>Caja y bancos</w:t>
            </w:r>
          </w:p>
        </w:tc>
        <w:tc>
          <w:tcPr>
            <w:tcW w:w="857" w:type="pct"/>
            <w:shd w:val="clear" w:color="auto" w:fill="auto"/>
            <w:vAlign w:val="center"/>
          </w:tcPr>
          <w:p w14:paraId="04A97970" w14:textId="77777777" w:rsidR="00AA45FF" w:rsidRPr="0009028A" w:rsidRDefault="00710F32" w:rsidP="00AA45FF">
            <w:pPr>
              <w:spacing w:after="0" w:line="240" w:lineRule="auto"/>
              <w:jc w:val="right"/>
              <w:rPr>
                <w:rFonts w:ascii="Arial" w:hAnsi="Arial" w:cs="Arial"/>
                <w:color w:val="000000"/>
                <w:sz w:val="18"/>
                <w:szCs w:val="18"/>
              </w:rPr>
            </w:pPr>
            <w:r w:rsidRPr="0009028A">
              <w:rPr>
                <w:rFonts w:ascii="Arial" w:hAnsi="Arial" w:cs="Arial"/>
                <w:color w:val="000000"/>
                <w:sz w:val="18"/>
                <w:szCs w:val="18"/>
              </w:rPr>
              <w:t xml:space="preserve">$       </w:t>
            </w:r>
            <w:r w:rsidR="006D23A4" w:rsidRPr="0009028A">
              <w:rPr>
                <w:rFonts w:ascii="Arial" w:hAnsi="Arial" w:cs="Arial"/>
                <w:color w:val="000000"/>
                <w:sz w:val="18"/>
                <w:szCs w:val="18"/>
              </w:rPr>
              <w:t>4.094.535</w:t>
            </w:r>
          </w:p>
        </w:tc>
        <w:tc>
          <w:tcPr>
            <w:tcW w:w="856" w:type="pct"/>
            <w:shd w:val="clear" w:color="auto" w:fill="auto"/>
            <w:vAlign w:val="center"/>
          </w:tcPr>
          <w:p w14:paraId="74A46BD7" w14:textId="77777777" w:rsidR="00AA45FF" w:rsidRPr="0009028A" w:rsidRDefault="0043283B" w:rsidP="00AA45FF">
            <w:pPr>
              <w:spacing w:after="0" w:line="240" w:lineRule="auto"/>
              <w:jc w:val="right"/>
              <w:rPr>
                <w:rFonts w:ascii="Arial" w:eastAsia="Times New Roman" w:hAnsi="Arial" w:cs="Arial"/>
                <w:sz w:val="18"/>
                <w:szCs w:val="18"/>
                <w:lang w:eastAsia="es-CO"/>
              </w:rPr>
            </w:pPr>
            <w:r w:rsidRPr="0009028A">
              <w:rPr>
                <w:rFonts w:ascii="Arial" w:eastAsia="Times New Roman" w:hAnsi="Arial" w:cs="Arial"/>
                <w:sz w:val="18"/>
                <w:szCs w:val="18"/>
                <w:lang w:eastAsia="es-CO"/>
              </w:rPr>
              <w:t>3.</w:t>
            </w:r>
            <w:r w:rsidR="006D23A4" w:rsidRPr="0009028A">
              <w:rPr>
                <w:rFonts w:ascii="Arial" w:eastAsia="Times New Roman" w:hAnsi="Arial" w:cs="Arial"/>
                <w:sz w:val="18"/>
                <w:szCs w:val="18"/>
                <w:lang w:eastAsia="es-CO"/>
              </w:rPr>
              <w:t>224.575</w:t>
            </w:r>
          </w:p>
        </w:tc>
      </w:tr>
      <w:tr w:rsidR="00AA45FF" w:rsidRPr="0009028A" w14:paraId="2035127A" w14:textId="77777777" w:rsidTr="009B2650">
        <w:trPr>
          <w:trHeight w:val="227"/>
        </w:trPr>
        <w:tc>
          <w:tcPr>
            <w:tcW w:w="3287" w:type="pct"/>
            <w:shd w:val="clear" w:color="auto" w:fill="auto"/>
            <w:vAlign w:val="center"/>
          </w:tcPr>
          <w:p w14:paraId="7D4C0AAF" w14:textId="77777777" w:rsidR="00AA45FF" w:rsidRPr="0009028A" w:rsidRDefault="00AA45FF" w:rsidP="009B2650">
            <w:pPr>
              <w:spacing w:before="18" w:after="0" w:line="240" w:lineRule="auto"/>
              <w:ind w:right="-1"/>
              <w:rPr>
                <w:rFonts w:ascii="Arial" w:eastAsia="Arial" w:hAnsi="Arial" w:cs="Arial"/>
                <w:spacing w:val="-1"/>
                <w:sz w:val="20"/>
                <w:szCs w:val="20"/>
              </w:rPr>
            </w:pPr>
            <w:r w:rsidRPr="0009028A">
              <w:rPr>
                <w:rFonts w:ascii="Arial" w:eastAsia="Times New Roman" w:hAnsi="Arial" w:cs="Arial"/>
                <w:sz w:val="18"/>
                <w:szCs w:val="18"/>
                <w:lang w:eastAsia="es-CO"/>
              </w:rPr>
              <w:t>Equivalentes al efectivo</w:t>
            </w:r>
            <w:r w:rsidRPr="0009028A">
              <w:rPr>
                <w:rFonts w:ascii="Arial" w:eastAsia="Times New Roman" w:hAnsi="Arial" w:cs="Arial"/>
                <w:sz w:val="18"/>
                <w:szCs w:val="18"/>
                <w:vertAlign w:val="superscript"/>
                <w:lang w:eastAsia="es-CO"/>
              </w:rPr>
              <w:t xml:space="preserve"> </w:t>
            </w:r>
            <w:r w:rsidRPr="0009028A">
              <w:rPr>
                <w:rFonts w:ascii="Arial" w:eastAsia="Arial" w:hAnsi="Arial" w:cs="Arial"/>
                <w:spacing w:val="-1"/>
                <w:sz w:val="20"/>
                <w:szCs w:val="20"/>
              </w:rPr>
              <w:t>(*)</w:t>
            </w:r>
          </w:p>
        </w:tc>
        <w:tc>
          <w:tcPr>
            <w:tcW w:w="857" w:type="pct"/>
            <w:shd w:val="clear" w:color="auto" w:fill="auto"/>
            <w:vAlign w:val="center"/>
          </w:tcPr>
          <w:p w14:paraId="6942E2E4" w14:textId="77777777" w:rsidR="00AA45FF" w:rsidRPr="0009028A" w:rsidRDefault="00710F32" w:rsidP="00AA45FF">
            <w:pPr>
              <w:spacing w:after="0" w:line="240" w:lineRule="auto"/>
              <w:jc w:val="right"/>
              <w:rPr>
                <w:rFonts w:ascii="Arial" w:hAnsi="Arial" w:cs="Arial"/>
                <w:color w:val="000000"/>
                <w:sz w:val="18"/>
                <w:szCs w:val="18"/>
                <w:u w:val="single"/>
              </w:rPr>
            </w:pPr>
            <w:r w:rsidRPr="0009028A">
              <w:rPr>
                <w:rFonts w:ascii="Arial" w:hAnsi="Arial" w:cs="Arial"/>
                <w:color w:val="000000"/>
                <w:sz w:val="18"/>
                <w:szCs w:val="18"/>
                <w:u w:val="single"/>
              </w:rPr>
              <w:t xml:space="preserve">   </w:t>
            </w:r>
            <w:r w:rsidR="006D23A4" w:rsidRPr="0009028A">
              <w:rPr>
                <w:rFonts w:ascii="Arial" w:hAnsi="Arial" w:cs="Arial"/>
                <w:color w:val="000000"/>
                <w:sz w:val="18"/>
                <w:szCs w:val="18"/>
                <w:u w:val="single"/>
              </w:rPr>
              <w:t>5.201.084</w:t>
            </w:r>
          </w:p>
        </w:tc>
        <w:tc>
          <w:tcPr>
            <w:tcW w:w="856" w:type="pct"/>
            <w:shd w:val="clear" w:color="auto" w:fill="auto"/>
            <w:vAlign w:val="center"/>
          </w:tcPr>
          <w:p w14:paraId="460746D4" w14:textId="77777777" w:rsidR="00AA45FF" w:rsidRPr="0009028A" w:rsidRDefault="00710F32" w:rsidP="00AA45FF">
            <w:pPr>
              <w:spacing w:after="0" w:line="240" w:lineRule="auto"/>
              <w:jc w:val="right"/>
              <w:rPr>
                <w:rFonts w:ascii="Arial" w:eastAsia="Times New Roman" w:hAnsi="Arial" w:cs="Arial"/>
                <w:sz w:val="18"/>
                <w:szCs w:val="18"/>
                <w:u w:val="single"/>
                <w:lang w:eastAsia="es-CO"/>
              </w:rPr>
            </w:pPr>
            <w:r w:rsidRPr="0009028A">
              <w:rPr>
                <w:rFonts w:ascii="Arial" w:eastAsia="Times New Roman" w:hAnsi="Arial" w:cs="Arial"/>
                <w:sz w:val="18"/>
                <w:szCs w:val="18"/>
                <w:u w:val="single"/>
                <w:lang w:eastAsia="es-CO"/>
              </w:rPr>
              <w:t xml:space="preserve">   </w:t>
            </w:r>
            <w:r w:rsidR="0043283B" w:rsidRPr="0009028A">
              <w:rPr>
                <w:rFonts w:ascii="Arial" w:eastAsia="Times New Roman" w:hAnsi="Arial" w:cs="Arial"/>
                <w:sz w:val="18"/>
                <w:szCs w:val="18"/>
                <w:u w:val="single"/>
                <w:lang w:eastAsia="es-CO"/>
              </w:rPr>
              <w:t>13.</w:t>
            </w:r>
            <w:r w:rsidR="006D23A4" w:rsidRPr="0009028A">
              <w:rPr>
                <w:rFonts w:ascii="Arial" w:eastAsia="Times New Roman" w:hAnsi="Arial" w:cs="Arial"/>
                <w:sz w:val="18"/>
                <w:szCs w:val="18"/>
                <w:u w:val="single"/>
                <w:lang w:eastAsia="es-CO"/>
              </w:rPr>
              <w:t>443.851</w:t>
            </w:r>
          </w:p>
        </w:tc>
      </w:tr>
      <w:tr w:rsidR="00DF329D" w:rsidRPr="0009028A" w14:paraId="45CF033E" w14:textId="77777777" w:rsidTr="009B2650">
        <w:trPr>
          <w:trHeight w:val="227"/>
        </w:trPr>
        <w:tc>
          <w:tcPr>
            <w:tcW w:w="3287" w:type="pct"/>
            <w:shd w:val="clear" w:color="auto" w:fill="auto"/>
            <w:vAlign w:val="center"/>
          </w:tcPr>
          <w:p w14:paraId="2F129588" w14:textId="77777777" w:rsidR="00DF329D" w:rsidRPr="0009028A" w:rsidRDefault="00DF329D" w:rsidP="009B2650">
            <w:pPr>
              <w:spacing w:before="18" w:after="0" w:line="240" w:lineRule="auto"/>
              <w:ind w:right="-1"/>
              <w:rPr>
                <w:rFonts w:ascii="Arial" w:eastAsia="Arial" w:hAnsi="Arial" w:cs="Arial"/>
                <w:color w:val="002060"/>
                <w:spacing w:val="-1"/>
                <w:sz w:val="20"/>
                <w:szCs w:val="20"/>
              </w:rPr>
            </w:pPr>
            <w:r w:rsidRPr="0009028A">
              <w:rPr>
                <w:rFonts w:ascii="Arial" w:eastAsia="Times New Roman" w:hAnsi="Arial" w:cs="Arial"/>
                <w:b/>
                <w:bCs/>
                <w:color w:val="002060"/>
                <w:sz w:val="18"/>
                <w:szCs w:val="18"/>
                <w:lang w:eastAsia="es-CO"/>
              </w:rPr>
              <w:t>Total efectivo y equivalentes de efectivo</w:t>
            </w:r>
          </w:p>
        </w:tc>
        <w:tc>
          <w:tcPr>
            <w:tcW w:w="857" w:type="pct"/>
            <w:shd w:val="clear" w:color="auto" w:fill="auto"/>
            <w:vAlign w:val="center"/>
          </w:tcPr>
          <w:p w14:paraId="76FF599F" w14:textId="77777777" w:rsidR="00DF329D" w:rsidRPr="0009028A" w:rsidRDefault="00710F32" w:rsidP="00DF329D">
            <w:pPr>
              <w:spacing w:after="0" w:line="240" w:lineRule="auto"/>
              <w:jc w:val="right"/>
              <w:rPr>
                <w:rFonts w:ascii="Arial" w:eastAsia="Times New Roman" w:hAnsi="Arial" w:cs="Arial"/>
                <w:b/>
                <w:bCs/>
                <w:color w:val="002060"/>
                <w:sz w:val="18"/>
                <w:szCs w:val="18"/>
                <w:lang w:eastAsia="es-CO"/>
              </w:rPr>
            </w:pPr>
            <w:r w:rsidRPr="0009028A">
              <w:rPr>
                <w:rFonts w:ascii="Arial" w:eastAsia="Times New Roman" w:hAnsi="Arial" w:cs="Arial"/>
                <w:b/>
                <w:bCs/>
                <w:color w:val="002060"/>
                <w:sz w:val="18"/>
                <w:szCs w:val="18"/>
                <w:lang w:eastAsia="es-CO"/>
              </w:rPr>
              <w:t xml:space="preserve">$    </w:t>
            </w:r>
            <w:r w:rsidRPr="0009028A">
              <w:rPr>
                <w:rFonts w:ascii="Arial" w:eastAsia="Times New Roman" w:hAnsi="Arial" w:cs="Arial"/>
                <w:b/>
                <w:bCs/>
                <w:color w:val="002060"/>
                <w:sz w:val="18"/>
                <w:szCs w:val="18"/>
                <w:u w:val="double"/>
                <w:lang w:eastAsia="es-CO"/>
              </w:rPr>
              <w:t xml:space="preserve">   </w:t>
            </w:r>
            <w:r w:rsidR="006D23A4" w:rsidRPr="0009028A">
              <w:rPr>
                <w:rFonts w:ascii="Arial" w:eastAsia="Times New Roman" w:hAnsi="Arial" w:cs="Arial"/>
                <w:b/>
                <w:bCs/>
                <w:color w:val="002060"/>
                <w:sz w:val="18"/>
                <w:szCs w:val="18"/>
                <w:u w:val="double"/>
                <w:lang w:eastAsia="es-CO"/>
              </w:rPr>
              <w:t>9.295.619</w:t>
            </w:r>
          </w:p>
        </w:tc>
        <w:tc>
          <w:tcPr>
            <w:tcW w:w="856" w:type="pct"/>
            <w:shd w:val="clear" w:color="auto" w:fill="auto"/>
            <w:vAlign w:val="center"/>
          </w:tcPr>
          <w:p w14:paraId="3D1E1316" w14:textId="77777777" w:rsidR="00DF329D" w:rsidRPr="0009028A" w:rsidRDefault="00710F32" w:rsidP="00DF329D">
            <w:pPr>
              <w:spacing w:after="0" w:line="240" w:lineRule="auto"/>
              <w:jc w:val="right"/>
              <w:rPr>
                <w:rFonts w:ascii="Arial" w:eastAsia="Times New Roman" w:hAnsi="Arial" w:cs="Arial"/>
                <w:b/>
                <w:bCs/>
                <w:color w:val="002060"/>
                <w:sz w:val="18"/>
                <w:szCs w:val="18"/>
                <w:u w:val="double"/>
                <w:lang w:eastAsia="es-CO"/>
              </w:rPr>
            </w:pPr>
            <w:r w:rsidRPr="0009028A">
              <w:rPr>
                <w:rFonts w:ascii="Arial" w:eastAsia="Times New Roman" w:hAnsi="Arial" w:cs="Arial"/>
                <w:b/>
                <w:bCs/>
                <w:color w:val="002060"/>
                <w:sz w:val="18"/>
                <w:szCs w:val="18"/>
                <w:u w:val="double"/>
                <w:lang w:eastAsia="es-CO"/>
              </w:rPr>
              <w:t xml:space="preserve">   </w:t>
            </w:r>
            <w:r w:rsidR="0043283B" w:rsidRPr="0009028A">
              <w:rPr>
                <w:rFonts w:ascii="Arial" w:eastAsia="Times New Roman" w:hAnsi="Arial" w:cs="Arial"/>
                <w:b/>
                <w:bCs/>
                <w:color w:val="002060"/>
                <w:sz w:val="18"/>
                <w:szCs w:val="18"/>
                <w:u w:val="double"/>
                <w:lang w:eastAsia="es-CO"/>
              </w:rPr>
              <w:t>16.668.426</w:t>
            </w:r>
          </w:p>
        </w:tc>
      </w:tr>
    </w:tbl>
    <w:p w14:paraId="31BC299B" w14:textId="77777777" w:rsidR="00192D6E" w:rsidRPr="0009028A" w:rsidRDefault="00192D6E" w:rsidP="009B4E3A">
      <w:pPr>
        <w:spacing w:after="0"/>
        <w:rPr>
          <w:rFonts w:ascii="Arial" w:eastAsia="Arial" w:hAnsi="Arial" w:cs="Arial"/>
          <w:color w:val="808080" w:themeColor="background1" w:themeShade="80"/>
          <w:spacing w:val="1"/>
          <w:sz w:val="20"/>
          <w:szCs w:val="20"/>
        </w:rPr>
      </w:pPr>
    </w:p>
    <w:p w14:paraId="1A94EF1C" w14:textId="77777777" w:rsidR="00C53BF2" w:rsidRPr="0009028A" w:rsidRDefault="00C53BF2" w:rsidP="00343552">
      <w:pPr>
        <w:autoSpaceDE w:val="0"/>
        <w:autoSpaceDN w:val="0"/>
        <w:adjustRightInd w:val="0"/>
        <w:spacing w:after="0" w:line="240" w:lineRule="auto"/>
        <w:jc w:val="both"/>
        <w:rPr>
          <w:rFonts w:ascii="Arial" w:eastAsia="Arial" w:hAnsi="Arial" w:cs="Arial"/>
          <w:spacing w:val="1"/>
          <w:sz w:val="20"/>
          <w:szCs w:val="20"/>
        </w:rPr>
      </w:pPr>
      <w:r w:rsidRPr="0009028A">
        <w:rPr>
          <w:rFonts w:ascii="Arial" w:eastAsia="Arial" w:hAnsi="Arial" w:cs="Arial"/>
          <w:spacing w:val="1"/>
          <w:sz w:val="20"/>
          <w:szCs w:val="20"/>
        </w:rPr>
        <w:t xml:space="preserve">(*) A continuación, se detallan los equivalentes de efectivo que posee la Compañía al cierre del </w:t>
      </w:r>
      <w:r w:rsidR="004C1B20" w:rsidRPr="0009028A">
        <w:rPr>
          <w:rFonts w:ascii="Arial" w:eastAsia="Arial" w:hAnsi="Arial" w:cs="Arial"/>
          <w:spacing w:val="1"/>
          <w:sz w:val="20"/>
          <w:szCs w:val="20"/>
        </w:rPr>
        <w:t>período</w:t>
      </w:r>
      <w:r w:rsidRPr="0009028A">
        <w:rPr>
          <w:rFonts w:ascii="Arial" w:eastAsia="Arial" w:hAnsi="Arial" w:cs="Arial"/>
          <w:spacing w:val="1"/>
          <w:sz w:val="20"/>
          <w:szCs w:val="20"/>
        </w:rPr>
        <w:t xml:space="preserve"> informado:</w:t>
      </w:r>
    </w:p>
    <w:p w14:paraId="5EA5C9CE" w14:textId="77777777" w:rsidR="00192D6E" w:rsidRPr="0009028A" w:rsidRDefault="00192D6E" w:rsidP="00343552">
      <w:pPr>
        <w:spacing w:after="0"/>
        <w:rPr>
          <w:rFonts w:ascii="Arial" w:eastAsia="Arial" w:hAnsi="Arial" w:cs="Arial"/>
          <w:color w:val="808080" w:themeColor="background1" w:themeShade="80"/>
          <w:spacing w:val="1"/>
          <w:sz w:val="20"/>
          <w:szCs w:val="20"/>
        </w:rPr>
      </w:pPr>
    </w:p>
    <w:tbl>
      <w:tblPr>
        <w:tblW w:w="5000" w:type="pct"/>
        <w:tblCellMar>
          <w:left w:w="70" w:type="dxa"/>
          <w:right w:w="70" w:type="dxa"/>
        </w:tblCellMar>
        <w:tblLook w:val="04A0" w:firstRow="1" w:lastRow="0" w:firstColumn="1" w:lastColumn="0" w:noHBand="0" w:noVBand="1"/>
      </w:tblPr>
      <w:tblGrid>
        <w:gridCol w:w="6523"/>
        <w:gridCol w:w="1700"/>
        <w:gridCol w:w="1698"/>
      </w:tblGrid>
      <w:tr w:rsidR="00EF421F" w:rsidRPr="0009028A" w14:paraId="788B7FB8" w14:textId="77777777" w:rsidTr="009B2650">
        <w:trPr>
          <w:trHeight w:val="227"/>
        </w:trPr>
        <w:tc>
          <w:tcPr>
            <w:tcW w:w="3287" w:type="pct"/>
            <w:shd w:val="clear" w:color="auto" w:fill="auto"/>
            <w:vAlign w:val="center"/>
            <w:hideMark/>
          </w:tcPr>
          <w:p w14:paraId="193BCC5D" w14:textId="77777777" w:rsidR="00EF421F" w:rsidRPr="0009028A" w:rsidRDefault="00EF421F" w:rsidP="009B2650">
            <w:pPr>
              <w:spacing w:after="0" w:line="240" w:lineRule="auto"/>
              <w:jc w:val="center"/>
              <w:rPr>
                <w:rFonts w:ascii="Arial" w:eastAsia="Times New Roman" w:hAnsi="Arial" w:cs="Arial"/>
                <w:b/>
                <w:color w:val="002060"/>
                <w:sz w:val="18"/>
                <w:szCs w:val="18"/>
                <w:lang w:eastAsia="es-CO"/>
              </w:rPr>
            </w:pPr>
          </w:p>
        </w:tc>
        <w:tc>
          <w:tcPr>
            <w:tcW w:w="857" w:type="pct"/>
            <w:shd w:val="clear" w:color="auto" w:fill="auto"/>
            <w:vAlign w:val="center"/>
            <w:hideMark/>
          </w:tcPr>
          <w:p w14:paraId="261BCE2C" w14:textId="77777777" w:rsidR="00EF421F" w:rsidRPr="0009028A" w:rsidRDefault="00B2421E" w:rsidP="009B2650">
            <w:pPr>
              <w:spacing w:before="18" w:after="0" w:line="240" w:lineRule="auto"/>
              <w:ind w:right="-1"/>
              <w:jc w:val="center"/>
              <w:rPr>
                <w:rFonts w:ascii="Arial" w:eastAsia="Times New Roman" w:hAnsi="Arial" w:cs="Arial"/>
                <w:b/>
                <w:bCs/>
                <w:color w:val="002060"/>
                <w:sz w:val="18"/>
                <w:szCs w:val="18"/>
                <w:lang w:val="es-ES" w:eastAsia="es-ES"/>
              </w:rPr>
            </w:pPr>
            <w:r w:rsidRPr="0009028A">
              <w:rPr>
                <w:rFonts w:ascii="Arial" w:eastAsia="Times New Roman" w:hAnsi="Arial" w:cs="Arial"/>
                <w:b/>
                <w:bCs/>
                <w:color w:val="002060"/>
                <w:sz w:val="18"/>
                <w:szCs w:val="18"/>
                <w:lang w:val="es-ES" w:eastAsia="es-ES"/>
              </w:rPr>
              <w:t>Marzo</w:t>
            </w:r>
            <w:r w:rsidR="006211E2" w:rsidRPr="0009028A">
              <w:rPr>
                <w:rFonts w:ascii="Arial" w:eastAsia="Times New Roman" w:hAnsi="Arial" w:cs="Arial"/>
                <w:b/>
                <w:bCs/>
                <w:color w:val="002060"/>
                <w:sz w:val="18"/>
                <w:szCs w:val="18"/>
                <w:lang w:val="es-ES" w:eastAsia="es-ES"/>
              </w:rPr>
              <w:t xml:space="preserve"> 201</w:t>
            </w:r>
            <w:r w:rsidRPr="0009028A">
              <w:rPr>
                <w:rFonts w:ascii="Arial" w:eastAsia="Times New Roman" w:hAnsi="Arial" w:cs="Arial"/>
                <w:b/>
                <w:bCs/>
                <w:color w:val="002060"/>
                <w:sz w:val="18"/>
                <w:szCs w:val="18"/>
                <w:lang w:val="es-ES" w:eastAsia="es-ES"/>
              </w:rPr>
              <w:t>9</w:t>
            </w:r>
          </w:p>
        </w:tc>
        <w:tc>
          <w:tcPr>
            <w:tcW w:w="856" w:type="pct"/>
            <w:shd w:val="clear" w:color="auto" w:fill="auto"/>
            <w:vAlign w:val="center"/>
            <w:hideMark/>
          </w:tcPr>
          <w:p w14:paraId="13C14547" w14:textId="77777777" w:rsidR="00EF421F" w:rsidRPr="0009028A" w:rsidRDefault="006211E2" w:rsidP="009B2650">
            <w:pPr>
              <w:spacing w:before="18" w:after="0" w:line="240" w:lineRule="auto"/>
              <w:ind w:right="-1"/>
              <w:jc w:val="center"/>
              <w:rPr>
                <w:rFonts w:ascii="Arial" w:eastAsia="Times New Roman" w:hAnsi="Arial" w:cs="Arial"/>
                <w:b/>
                <w:bCs/>
                <w:color w:val="002060"/>
                <w:sz w:val="18"/>
                <w:szCs w:val="18"/>
                <w:lang w:val="es-ES" w:eastAsia="es-ES"/>
              </w:rPr>
            </w:pPr>
            <w:r w:rsidRPr="0009028A">
              <w:rPr>
                <w:rFonts w:ascii="Arial" w:eastAsia="Times New Roman" w:hAnsi="Arial" w:cs="Arial"/>
                <w:b/>
                <w:bCs/>
                <w:color w:val="002060"/>
                <w:sz w:val="18"/>
                <w:szCs w:val="18"/>
                <w:lang w:val="es-ES" w:eastAsia="es-ES"/>
              </w:rPr>
              <w:t>Diciembre 201</w:t>
            </w:r>
            <w:r w:rsidR="00B2421E" w:rsidRPr="0009028A">
              <w:rPr>
                <w:rFonts w:ascii="Arial" w:eastAsia="Times New Roman" w:hAnsi="Arial" w:cs="Arial"/>
                <w:b/>
                <w:bCs/>
                <w:color w:val="002060"/>
                <w:sz w:val="18"/>
                <w:szCs w:val="18"/>
                <w:lang w:val="es-ES" w:eastAsia="es-ES"/>
              </w:rPr>
              <w:t>8</w:t>
            </w:r>
          </w:p>
        </w:tc>
      </w:tr>
      <w:tr w:rsidR="007C2C4B" w:rsidRPr="0009028A" w14:paraId="4D25EE6A" w14:textId="77777777" w:rsidTr="009B2650">
        <w:trPr>
          <w:trHeight w:val="227"/>
        </w:trPr>
        <w:tc>
          <w:tcPr>
            <w:tcW w:w="3287" w:type="pct"/>
            <w:shd w:val="clear" w:color="auto" w:fill="auto"/>
            <w:vAlign w:val="center"/>
          </w:tcPr>
          <w:p w14:paraId="1AAFA843" w14:textId="77777777" w:rsidR="007C2C4B" w:rsidRPr="0009028A" w:rsidRDefault="00B2421E" w:rsidP="009B2650">
            <w:pPr>
              <w:spacing w:after="0" w:line="240" w:lineRule="auto"/>
              <w:rPr>
                <w:rFonts w:ascii="Arial" w:eastAsia="Times New Roman" w:hAnsi="Arial" w:cs="Arial"/>
                <w:sz w:val="18"/>
                <w:szCs w:val="18"/>
                <w:lang w:eastAsia="es-CO"/>
              </w:rPr>
            </w:pPr>
            <w:r w:rsidRPr="0009028A">
              <w:rPr>
                <w:rFonts w:ascii="Arial" w:eastAsia="Times New Roman" w:hAnsi="Arial" w:cs="Arial"/>
                <w:sz w:val="18"/>
                <w:szCs w:val="18"/>
                <w:lang w:eastAsia="es-CO"/>
              </w:rPr>
              <w:t>Fideicomisos</w:t>
            </w:r>
          </w:p>
        </w:tc>
        <w:tc>
          <w:tcPr>
            <w:tcW w:w="857" w:type="pct"/>
            <w:shd w:val="clear" w:color="auto" w:fill="auto"/>
            <w:vAlign w:val="center"/>
          </w:tcPr>
          <w:p w14:paraId="5FD6D3E7" w14:textId="77777777" w:rsidR="007C2C4B" w:rsidRPr="0009028A" w:rsidRDefault="00710F32" w:rsidP="009B2650">
            <w:pPr>
              <w:spacing w:after="0" w:line="240" w:lineRule="auto"/>
              <w:jc w:val="right"/>
              <w:rPr>
                <w:rFonts w:ascii="Arial" w:eastAsia="Arial" w:hAnsi="Arial" w:cs="Arial"/>
                <w:spacing w:val="1"/>
                <w:sz w:val="18"/>
                <w:szCs w:val="18"/>
              </w:rPr>
            </w:pPr>
            <w:r w:rsidRPr="0009028A">
              <w:rPr>
                <w:rFonts w:ascii="Arial" w:eastAsia="Arial" w:hAnsi="Arial" w:cs="Arial"/>
                <w:spacing w:val="1"/>
                <w:sz w:val="18"/>
                <w:szCs w:val="18"/>
              </w:rPr>
              <w:t xml:space="preserve">$       </w:t>
            </w:r>
            <w:r w:rsidR="006D23A4" w:rsidRPr="0009028A">
              <w:rPr>
                <w:rFonts w:ascii="Arial" w:eastAsia="Arial" w:hAnsi="Arial" w:cs="Arial"/>
                <w:spacing w:val="1"/>
                <w:sz w:val="18"/>
                <w:szCs w:val="18"/>
              </w:rPr>
              <w:t>5.201.084</w:t>
            </w:r>
          </w:p>
        </w:tc>
        <w:tc>
          <w:tcPr>
            <w:tcW w:w="856" w:type="pct"/>
            <w:shd w:val="clear" w:color="auto" w:fill="auto"/>
            <w:vAlign w:val="center"/>
          </w:tcPr>
          <w:p w14:paraId="4F8C1C49" w14:textId="77777777" w:rsidR="007C2C4B" w:rsidRPr="0009028A" w:rsidRDefault="00B2421E" w:rsidP="009B2650">
            <w:pPr>
              <w:spacing w:after="0" w:line="240" w:lineRule="auto"/>
              <w:jc w:val="right"/>
              <w:rPr>
                <w:rFonts w:ascii="Arial" w:eastAsia="Times New Roman" w:hAnsi="Arial" w:cs="Arial"/>
                <w:sz w:val="18"/>
                <w:szCs w:val="18"/>
                <w:lang w:eastAsia="es-CO"/>
              </w:rPr>
            </w:pPr>
            <w:r w:rsidRPr="0009028A">
              <w:rPr>
                <w:rFonts w:ascii="Arial" w:eastAsia="Times New Roman" w:hAnsi="Arial" w:cs="Arial"/>
                <w:sz w:val="18"/>
                <w:szCs w:val="18"/>
                <w:lang w:eastAsia="es-CO"/>
              </w:rPr>
              <w:t>13.432.0</w:t>
            </w:r>
            <w:r w:rsidR="006D23A4" w:rsidRPr="0009028A">
              <w:rPr>
                <w:rFonts w:ascii="Arial" w:eastAsia="Times New Roman" w:hAnsi="Arial" w:cs="Arial"/>
                <w:sz w:val="18"/>
                <w:szCs w:val="18"/>
                <w:lang w:eastAsia="es-CO"/>
              </w:rPr>
              <w:t>91</w:t>
            </w:r>
          </w:p>
        </w:tc>
      </w:tr>
      <w:tr w:rsidR="00B2421E" w:rsidRPr="0009028A" w14:paraId="3D5846B2" w14:textId="77777777" w:rsidTr="009B2650">
        <w:trPr>
          <w:trHeight w:val="227"/>
        </w:trPr>
        <w:tc>
          <w:tcPr>
            <w:tcW w:w="3287" w:type="pct"/>
            <w:shd w:val="clear" w:color="auto" w:fill="auto"/>
            <w:vAlign w:val="center"/>
          </w:tcPr>
          <w:p w14:paraId="433846CD" w14:textId="77777777" w:rsidR="00B2421E" w:rsidRPr="0009028A" w:rsidRDefault="00B2421E" w:rsidP="009B2650">
            <w:pPr>
              <w:spacing w:after="0" w:line="240" w:lineRule="auto"/>
              <w:rPr>
                <w:rFonts w:ascii="Arial" w:eastAsia="Times New Roman" w:hAnsi="Arial" w:cs="Arial"/>
                <w:sz w:val="18"/>
                <w:szCs w:val="18"/>
                <w:lang w:eastAsia="es-CO"/>
              </w:rPr>
            </w:pPr>
            <w:r w:rsidRPr="0009028A">
              <w:rPr>
                <w:rFonts w:ascii="Arial" w:eastAsia="Arial" w:hAnsi="Arial" w:cs="Arial"/>
                <w:spacing w:val="1"/>
                <w:sz w:val="18"/>
                <w:szCs w:val="18"/>
              </w:rPr>
              <w:t>Derechos fiduciarios</w:t>
            </w:r>
          </w:p>
        </w:tc>
        <w:tc>
          <w:tcPr>
            <w:tcW w:w="857" w:type="pct"/>
            <w:shd w:val="clear" w:color="auto" w:fill="auto"/>
            <w:vAlign w:val="center"/>
          </w:tcPr>
          <w:p w14:paraId="61010EB2" w14:textId="77777777" w:rsidR="00B2421E" w:rsidRPr="0009028A" w:rsidRDefault="00710F32" w:rsidP="009B2650">
            <w:pPr>
              <w:spacing w:after="0" w:line="240" w:lineRule="auto"/>
              <w:jc w:val="right"/>
              <w:rPr>
                <w:rFonts w:ascii="Arial" w:eastAsia="Arial" w:hAnsi="Arial" w:cs="Arial"/>
                <w:spacing w:val="1"/>
                <w:sz w:val="18"/>
                <w:szCs w:val="18"/>
                <w:u w:val="single"/>
              </w:rPr>
            </w:pPr>
            <w:r w:rsidRPr="0009028A">
              <w:rPr>
                <w:rFonts w:ascii="Arial" w:eastAsia="Arial" w:hAnsi="Arial" w:cs="Arial"/>
                <w:spacing w:val="1"/>
                <w:sz w:val="18"/>
                <w:szCs w:val="18"/>
                <w:u w:val="single"/>
              </w:rPr>
              <w:t xml:space="preserve">                  </w:t>
            </w:r>
            <w:r w:rsidR="00B2421E" w:rsidRPr="0009028A">
              <w:rPr>
                <w:rFonts w:ascii="Arial" w:eastAsia="Arial" w:hAnsi="Arial" w:cs="Arial"/>
                <w:spacing w:val="1"/>
                <w:sz w:val="18"/>
                <w:szCs w:val="18"/>
                <w:u w:val="single"/>
              </w:rPr>
              <w:t>-</w:t>
            </w:r>
          </w:p>
        </w:tc>
        <w:tc>
          <w:tcPr>
            <w:tcW w:w="856" w:type="pct"/>
            <w:shd w:val="clear" w:color="auto" w:fill="auto"/>
            <w:vAlign w:val="center"/>
          </w:tcPr>
          <w:p w14:paraId="009DB5E8" w14:textId="77777777" w:rsidR="00B2421E" w:rsidRPr="0009028A" w:rsidRDefault="00710F32" w:rsidP="009B2650">
            <w:pPr>
              <w:spacing w:after="0" w:line="240" w:lineRule="auto"/>
              <w:jc w:val="right"/>
              <w:rPr>
                <w:rFonts w:ascii="Arial" w:eastAsia="Times New Roman" w:hAnsi="Arial" w:cs="Arial"/>
                <w:sz w:val="18"/>
                <w:szCs w:val="18"/>
                <w:u w:val="single"/>
                <w:lang w:eastAsia="es-CO"/>
              </w:rPr>
            </w:pPr>
            <w:r w:rsidRPr="0009028A">
              <w:rPr>
                <w:rFonts w:ascii="Arial" w:eastAsia="Times New Roman" w:hAnsi="Arial" w:cs="Arial"/>
                <w:sz w:val="18"/>
                <w:szCs w:val="18"/>
                <w:u w:val="single"/>
                <w:lang w:eastAsia="es-CO"/>
              </w:rPr>
              <w:t xml:space="preserve">          </w:t>
            </w:r>
            <w:r w:rsidR="00B2421E" w:rsidRPr="0009028A">
              <w:rPr>
                <w:rFonts w:ascii="Arial" w:eastAsia="Times New Roman" w:hAnsi="Arial" w:cs="Arial"/>
                <w:sz w:val="18"/>
                <w:szCs w:val="18"/>
                <w:u w:val="single"/>
                <w:lang w:eastAsia="es-CO"/>
              </w:rPr>
              <w:t>11.760</w:t>
            </w:r>
          </w:p>
        </w:tc>
      </w:tr>
      <w:tr w:rsidR="00B2421E" w:rsidRPr="0009028A" w14:paraId="166276FD" w14:textId="77777777" w:rsidTr="009B2650">
        <w:trPr>
          <w:trHeight w:val="227"/>
        </w:trPr>
        <w:tc>
          <w:tcPr>
            <w:tcW w:w="3287" w:type="pct"/>
            <w:shd w:val="clear" w:color="auto" w:fill="auto"/>
            <w:vAlign w:val="center"/>
            <w:hideMark/>
          </w:tcPr>
          <w:p w14:paraId="7E9CE417" w14:textId="77777777" w:rsidR="00B2421E" w:rsidRPr="0009028A" w:rsidRDefault="00B2421E" w:rsidP="009B2650">
            <w:pPr>
              <w:spacing w:after="0" w:line="240" w:lineRule="auto"/>
              <w:rPr>
                <w:rFonts w:ascii="Arial" w:eastAsia="Times New Roman" w:hAnsi="Arial" w:cs="Arial"/>
                <w:b/>
                <w:color w:val="002060"/>
                <w:sz w:val="18"/>
                <w:szCs w:val="18"/>
                <w:lang w:eastAsia="es-CO"/>
              </w:rPr>
            </w:pPr>
            <w:r w:rsidRPr="0009028A">
              <w:rPr>
                <w:rFonts w:ascii="Arial" w:eastAsia="Times New Roman" w:hAnsi="Arial" w:cs="Arial"/>
                <w:b/>
                <w:color w:val="002060"/>
                <w:sz w:val="18"/>
                <w:szCs w:val="18"/>
                <w:lang w:eastAsia="es-CO"/>
              </w:rPr>
              <w:t>Total equivalentes de efectivo</w:t>
            </w:r>
          </w:p>
        </w:tc>
        <w:tc>
          <w:tcPr>
            <w:tcW w:w="857" w:type="pct"/>
            <w:shd w:val="clear" w:color="auto" w:fill="auto"/>
            <w:vAlign w:val="center"/>
          </w:tcPr>
          <w:p w14:paraId="63E75252" w14:textId="77777777" w:rsidR="00B2421E" w:rsidRPr="0009028A" w:rsidRDefault="00710F32" w:rsidP="009B2650">
            <w:pPr>
              <w:spacing w:after="0" w:line="240" w:lineRule="auto"/>
              <w:jc w:val="right"/>
              <w:rPr>
                <w:rFonts w:ascii="Arial" w:eastAsia="Times New Roman" w:hAnsi="Arial" w:cs="Arial"/>
                <w:b/>
                <w:bCs/>
                <w:color w:val="002060"/>
                <w:sz w:val="18"/>
                <w:szCs w:val="18"/>
                <w:u w:val="double"/>
                <w:lang w:eastAsia="es-CO"/>
              </w:rPr>
            </w:pPr>
            <w:r w:rsidRPr="0009028A">
              <w:rPr>
                <w:rFonts w:ascii="Arial" w:eastAsia="Times New Roman" w:hAnsi="Arial" w:cs="Arial"/>
                <w:b/>
                <w:bCs/>
                <w:color w:val="002060"/>
                <w:sz w:val="18"/>
                <w:szCs w:val="18"/>
                <w:lang w:eastAsia="es-CO"/>
              </w:rPr>
              <w:t xml:space="preserve">$    </w:t>
            </w:r>
            <w:r w:rsidRPr="0009028A">
              <w:rPr>
                <w:rFonts w:ascii="Arial" w:eastAsia="Times New Roman" w:hAnsi="Arial" w:cs="Arial"/>
                <w:b/>
                <w:bCs/>
                <w:color w:val="002060"/>
                <w:sz w:val="18"/>
                <w:szCs w:val="18"/>
                <w:u w:val="double"/>
                <w:lang w:eastAsia="es-CO"/>
              </w:rPr>
              <w:t xml:space="preserve">   </w:t>
            </w:r>
            <w:r w:rsidR="006D23A4" w:rsidRPr="0009028A">
              <w:rPr>
                <w:rFonts w:ascii="Arial" w:eastAsia="Times New Roman" w:hAnsi="Arial" w:cs="Arial"/>
                <w:b/>
                <w:bCs/>
                <w:color w:val="002060"/>
                <w:sz w:val="18"/>
                <w:szCs w:val="18"/>
                <w:u w:val="double"/>
                <w:lang w:eastAsia="es-CO"/>
              </w:rPr>
              <w:t>5.201.084</w:t>
            </w:r>
          </w:p>
        </w:tc>
        <w:tc>
          <w:tcPr>
            <w:tcW w:w="856" w:type="pct"/>
            <w:shd w:val="clear" w:color="auto" w:fill="auto"/>
            <w:vAlign w:val="center"/>
            <w:hideMark/>
          </w:tcPr>
          <w:p w14:paraId="3C4DF951" w14:textId="77777777" w:rsidR="00B2421E" w:rsidRPr="0009028A" w:rsidRDefault="00710F32" w:rsidP="009B2650">
            <w:pPr>
              <w:spacing w:after="0" w:line="240" w:lineRule="auto"/>
              <w:jc w:val="right"/>
              <w:rPr>
                <w:rFonts w:ascii="Arial" w:eastAsia="Times New Roman" w:hAnsi="Arial" w:cs="Arial"/>
                <w:b/>
                <w:bCs/>
                <w:color w:val="002060"/>
                <w:sz w:val="18"/>
                <w:szCs w:val="18"/>
                <w:u w:val="double"/>
                <w:lang w:eastAsia="es-CO"/>
              </w:rPr>
            </w:pPr>
            <w:r w:rsidRPr="0009028A">
              <w:rPr>
                <w:rFonts w:ascii="Arial" w:eastAsia="Times New Roman" w:hAnsi="Arial" w:cs="Arial"/>
                <w:b/>
                <w:bCs/>
                <w:color w:val="002060"/>
                <w:sz w:val="18"/>
                <w:szCs w:val="18"/>
                <w:u w:val="double"/>
                <w:lang w:eastAsia="es-CO"/>
              </w:rPr>
              <w:t xml:space="preserve">   </w:t>
            </w:r>
            <w:r w:rsidR="00B2421E" w:rsidRPr="0009028A">
              <w:rPr>
                <w:rFonts w:ascii="Arial" w:eastAsia="Times New Roman" w:hAnsi="Arial" w:cs="Arial"/>
                <w:b/>
                <w:bCs/>
                <w:color w:val="002060"/>
                <w:sz w:val="18"/>
                <w:szCs w:val="18"/>
                <w:u w:val="double"/>
                <w:lang w:eastAsia="es-CO"/>
              </w:rPr>
              <w:t>13.</w:t>
            </w:r>
            <w:r w:rsidR="006D23A4" w:rsidRPr="0009028A">
              <w:rPr>
                <w:rFonts w:ascii="Arial" w:eastAsia="Times New Roman" w:hAnsi="Arial" w:cs="Arial"/>
                <w:b/>
                <w:bCs/>
                <w:color w:val="002060"/>
                <w:sz w:val="18"/>
                <w:szCs w:val="18"/>
                <w:u w:val="double"/>
                <w:lang w:eastAsia="es-CO"/>
              </w:rPr>
              <w:t>443.851</w:t>
            </w:r>
          </w:p>
        </w:tc>
      </w:tr>
    </w:tbl>
    <w:p w14:paraId="5A7B843A" w14:textId="77777777" w:rsidR="005103AA" w:rsidRPr="0009028A" w:rsidRDefault="005103AA" w:rsidP="005103AA">
      <w:pPr>
        <w:autoSpaceDE w:val="0"/>
        <w:autoSpaceDN w:val="0"/>
        <w:adjustRightInd w:val="0"/>
        <w:spacing w:after="0" w:line="240" w:lineRule="auto"/>
        <w:jc w:val="both"/>
        <w:rPr>
          <w:rFonts w:ascii="Arial" w:eastAsia="Arial" w:hAnsi="Arial" w:cs="Arial"/>
          <w:spacing w:val="1"/>
          <w:sz w:val="20"/>
          <w:szCs w:val="20"/>
        </w:rPr>
      </w:pPr>
    </w:p>
    <w:p w14:paraId="4F8C8760" w14:textId="77777777" w:rsidR="005103AA" w:rsidRPr="0009028A" w:rsidRDefault="005103AA" w:rsidP="0077663C">
      <w:pPr>
        <w:autoSpaceDE w:val="0"/>
        <w:autoSpaceDN w:val="0"/>
        <w:adjustRightInd w:val="0"/>
        <w:spacing w:after="0" w:line="240" w:lineRule="auto"/>
        <w:jc w:val="both"/>
        <w:rPr>
          <w:rFonts w:ascii="Arial" w:eastAsia="Arial" w:hAnsi="Arial" w:cs="Arial"/>
          <w:spacing w:val="1"/>
          <w:sz w:val="20"/>
          <w:szCs w:val="20"/>
        </w:rPr>
      </w:pPr>
      <w:r w:rsidRPr="0009028A">
        <w:rPr>
          <w:rFonts w:ascii="Arial" w:eastAsia="Arial" w:hAnsi="Arial" w:cs="Arial"/>
          <w:spacing w:val="1"/>
          <w:sz w:val="20"/>
          <w:szCs w:val="20"/>
        </w:rPr>
        <w:t>Los equivalentes de efectivo corresponden a recursos disponibles para la Compañía gestionados a través de fondos de liquidez.</w:t>
      </w:r>
    </w:p>
    <w:p w14:paraId="5D3253B3" w14:textId="77777777" w:rsidR="005103AA" w:rsidRPr="0009028A" w:rsidRDefault="005103AA" w:rsidP="0077663C">
      <w:pPr>
        <w:autoSpaceDE w:val="0"/>
        <w:autoSpaceDN w:val="0"/>
        <w:adjustRightInd w:val="0"/>
        <w:spacing w:after="0" w:line="240" w:lineRule="auto"/>
        <w:jc w:val="both"/>
        <w:rPr>
          <w:rFonts w:ascii="Arial" w:eastAsia="Arial" w:hAnsi="Arial" w:cs="Arial"/>
          <w:spacing w:val="1"/>
          <w:sz w:val="20"/>
          <w:szCs w:val="20"/>
        </w:rPr>
      </w:pPr>
    </w:p>
    <w:p w14:paraId="6EC1F475" w14:textId="19E8E81D" w:rsidR="005103AA" w:rsidRPr="0009028A" w:rsidRDefault="003C2EAB" w:rsidP="0077663C">
      <w:pPr>
        <w:autoSpaceDE w:val="0"/>
        <w:autoSpaceDN w:val="0"/>
        <w:adjustRightInd w:val="0"/>
        <w:spacing w:after="0" w:line="240" w:lineRule="auto"/>
        <w:jc w:val="both"/>
        <w:rPr>
          <w:rFonts w:ascii="Arial" w:eastAsia="Arial" w:hAnsi="Arial" w:cs="Arial"/>
          <w:spacing w:val="1"/>
          <w:sz w:val="20"/>
          <w:szCs w:val="20"/>
        </w:rPr>
      </w:pPr>
      <w:r w:rsidRPr="0009028A">
        <w:rPr>
          <w:rFonts w:ascii="Arial" w:eastAsia="Arial" w:hAnsi="Arial" w:cs="Arial"/>
          <w:spacing w:val="1"/>
          <w:sz w:val="20"/>
          <w:szCs w:val="20"/>
        </w:rPr>
        <w:t>La Compañía a 3</w:t>
      </w:r>
      <w:r w:rsidR="00A93C95" w:rsidRPr="0009028A">
        <w:rPr>
          <w:rFonts w:ascii="Arial" w:eastAsia="Arial" w:hAnsi="Arial" w:cs="Arial"/>
          <w:spacing w:val="1"/>
          <w:sz w:val="20"/>
          <w:szCs w:val="20"/>
        </w:rPr>
        <w:t>1</w:t>
      </w:r>
      <w:r w:rsidRPr="0009028A">
        <w:rPr>
          <w:rFonts w:ascii="Arial" w:eastAsia="Arial" w:hAnsi="Arial" w:cs="Arial"/>
          <w:spacing w:val="1"/>
          <w:sz w:val="20"/>
          <w:szCs w:val="20"/>
        </w:rPr>
        <w:t xml:space="preserve"> de </w:t>
      </w:r>
      <w:r w:rsidR="00A93C95" w:rsidRPr="0009028A">
        <w:rPr>
          <w:rFonts w:ascii="Arial" w:eastAsia="Arial" w:hAnsi="Arial" w:cs="Arial"/>
          <w:spacing w:val="1"/>
          <w:sz w:val="20"/>
          <w:szCs w:val="20"/>
        </w:rPr>
        <w:t xml:space="preserve">marzo </w:t>
      </w:r>
      <w:r w:rsidR="005103AA" w:rsidRPr="0009028A">
        <w:rPr>
          <w:rFonts w:ascii="Arial" w:eastAsia="Arial" w:hAnsi="Arial" w:cs="Arial"/>
          <w:spacing w:val="1"/>
          <w:sz w:val="20"/>
          <w:szCs w:val="20"/>
        </w:rPr>
        <w:t>de 201</w:t>
      </w:r>
      <w:r w:rsidR="00A93C95" w:rsidRPr="0009028A">
        <w:rPr>
          <w:rFonts w:ascii="Arial" w:eastAsia="Arial" w:hAnsi="Arial" w:cs="Arial"/>
          <w:spacing w:val="1"/>
          <w:sz w:val="20"/>
          <w:szCs w:val="20"/>
        </w:rPr>
        <w:t>9</w:t>
      </w:r>
      <w:r w:rsidR="005103AA" w:rsidRPr="0009028A">
        <w:rPr>
          <w:rFonts w:ascii="Arial" w:eastAsia="Arial" w:hAnsi="Arial" w:cs="Arial"/>
          <w:spacing w:val="1"/>
          <w:sz w:val="20"/>
          <w:szCs w:val="20"/>
        </w:rPr>
        <w:t xml:space="preserve"> y </w:t>
      </w:r>
      <w:r w:rsidR="00AB0893">
        <w:rPr>
          <w:rFonts w:ascii="Arial" w:eastAsia="Arial" w:hAnsi="Arial" w:cs="Arial"/>
          <w:spacing w:val="1"/>
          <w:sz w:val="20"/>
          <w:szCs w:val="20"/>
        </w:rPr>
        <w:t xml:space="preserve">31 de </w:t>
      </w:r>
      <w:r w:rsidR="005103AA" w:rsidRPr="0009028A">
        <w:rPr>
          <w:rFonts w:ascii="Arial" w:eastAsia="Arial" w:hAnsi="Arial" w:cs="Arial"/>
          <w:spacing w:val="1"/>
          <w:sz w:val="20"/>
          <w:szCs w:val="20"/>
        </w:rPr>
        <w:t>diciembre de 201</w:t>
      </w:r>
      <w:r w:rsidR="00A93C95" w:rsidRPr="0009028A">
        <w:rPr>
          <w:rFonts w:ascii="Arial" w:eastAsia="Arial" w:hAnsi="Arial" w:cs="Arial"/>
          <w:spacing w:val="1"/>
          <w:sz w:val="20"/>
          <w:szCs w:val="20"/>
        </w:rPr>
        <w:t>8</w:t>
      </w:r>
      <w:r w:rsidR="005103AA" w:rsidRPr="0009028A">
        <w:rPr>
          <w:rFonts w:ascii="Arial" w:eastAsia="Arial" w:hAnsi="Arial" w:cs="Arial"/>
          <w:spacing w:val="1"/>
          <w:sz w:val="20"/>
          <w:szCs w:val="20"/>
        </w:rPr>
        <w:t xml:space="preserve">, no </w:t>
      </w:r>
      <w:r w:rsidR="0077663C" w:rsidRPr="0009028A">
        <w:rPr>
          <w:rFonts w:ascii="Arial" w:eastAsia="Arial" w:hAnsi="Arial" w:cs="Arial"/>
          <w:spacing w:val="1"/>
          <w:sz w:val="20"/>
          <w:szCs w:val="20"/>
        </w:rPr>
        <w:t>tiene efectivo ni equivalente</w:t>
      </w:r>
      <w:r w:rsidR="00FA3977" w:rsidRPr="0009028A">
        <w:rPr>
          <w:rFonts w:ascii="Arial" w:eastAsia="Arial" w:hAnsi="Arial" w:cs="Arial"/>
          <w:spacing w:val="1"/>
          <w:sz w:val="20"/>
          <w:szCs w:val="20"/>
        </w:rPr>
        <w:t>s</w:t>
      </w:r>
      <w:r w:rsidR="0077663C" w:rsidRPr="0009028A">
        <w:rPr>
          <w:rFonts w:ascii="Arial" w:eastAsia="Arial" w:hAnsi="Arial" w:cs="Arial"/>
          <w:spacing w:val="1"/>
          <w:sz w:val="20"/>
          <w:szCs w:val="20"/>
        </w:rPr>
        <w:t xml:space="preserve"> de efectivo </w:t>
      </w:r>
      <w:r w:rsidR="005103AA" w:rsidRPr="0009028A">
        <w:rPr>
          <w:rFonts w:ascii="Arial" w:eastAsia="Arial" w:hAnsi="Arial" w:cs="Arial"/>
          <w:spacing w:val="1"/>
          <w:sz w:val="20"/>
          <w:szCs w:val="20"/>
        </w:rPr>
        <w:t>de uso restringido corriente y no corriente.</w:t>
      </w:r>
    </w:p>
    <w:p w14:paraId="21CC2511" w14:textId="77777777" w:rsidR="005103AA" w:rsidRPr="0009028A" w:rsidRDefault="005103AA" w:rsidP="0077663C">
      <w:pPr>
        <w:autoSpaceDE w:val="0"/>
        <w:autoSpaceDN w:val="0"/>
        <w:adjustRightInd w:val="0"/>
        <w:spacing w:after="0" w:line="240" w:lineRule="auto"/>
        <w:jc w:val="both"/>
        <w:rPr>
          <w:rFonts w:ascii="Arial" w:eastAsia="Arial" w:hAnsi="Arial" w:cs="Arial"/>
          <w:spacing w:val="1"/>
          <w:sz w:val="20"/>
          <w:szCs w:val="20"/>
        </w:rPr>
      </w:pPr>
    </w:p>
    <w:p w14:paraId="2FB6BAB1" w14:textId="77777777" w:rsidR="0077663C" w:rsidRPr="0009028A" w:rsidRDefault="00E63B0D" w:rsidP="0077663C">
      <w:pPr>
        <w:spacing w:after="0"/>
        <w:jc w:val="both"/>
        <w:rPr>
          <w:rFonts w:ascii="Arial" w:eastAsia="Arial" w:hAnsi="Arial" w:cs="Arial"/>
          <w:spacing w:val="1"/>
          <w:sz w:val="20"/>
          <w:szCs w:val="20"/>
        </w:rPr>
      </w:pPr>
      <w:r w:rsidRPr="0009028A">
        <w:rPr>
          <w:rFonts w:ascii="Arial" w:eastAsia="Arial" w:hAnsi="Arial" w:cs="Arial"/>
          <w:spacing w:val="1"/>
          <w:sz w:val="20"/>
          <w:szCs w:val="20"/>
        </w:rPr>
        <w:t xml:space="preserve">La disminución del equivalente del efectivo corresponde principalmente a aportes efectuados a la Concesión La Pintada por equity por valor de $10.163 millones. </w:t>
      </w:r>
    </w:p>
    <w:p w14:paraId="1024F703" w14:textId="77777777" w:rsidR="0077663C" w:rsidRPr="0009028A" w:rsidRDefault="0077663C" w:rsidP="0077663C">
      <w:pPr>
        <w:spacing w:after="0"/>
        <w:jc w:val="both"/>
        <w:rPr>
          <w:rFonts w:ascii="Arial" w:eastAsia="Arial" w:hAnsi="Arial" w:cs="Arial"/>
          <w:spacing w:val="1"/>
          <w:sz w:val="20"/>
          <w:szCs w:val="20"/>
          <w:highlight w:val="yellow"/>
        </w:rPr>
      </w:pPr>
    </w:p>
    <w:p w14:paraId="7524F857" w14:textId="77777777" w:rsidR="00825923" w:rsidRPr="0009028A" w:rsidRDefault="00F61ADB" w:rsidP="00D66D8F">
      <w:pPr>
        <w:spacing w:after="0"/>
        <w:jc w:val="both"/>
        <w:rPr>
          <w:rFonts w:ascii="Arial" w:hAnsi="Arial" w:cs="Arial"/>
          <w:b/>
          <w:bCs/>
          <w:color w:val="000000"/>
          <w:sz w:val="20"/>
          <w:szCs w:val="20"/>
        </w:rPr>
      </w:pPr>
      <w:r w:rsidRPr="0009028A">
        <w:rPr>
          <w:rFonts w:ascii="Arial" w:eastAsia="Arial" w:hAnsi="Arial" w:cs="Arial"/>
          <w:spacing w:val="1"/>
          <w:sz w:val="20"/>
          <w:szCs w:val="20"/>
        </w:rPr>
        <w:t xml:space="preserve">No se presentaron </w:t>
      </w:r>
      <w:r w:rsidR="0077663C" w:rsidRPr="0009028A">
        <w:rPr>
          <w:rFonts w:ascii="Arial" w:eastAsia="Arial" w:hAnsi="Arial" w:cs="Arial"/>
          <w:spacing w:val="1"/>
          <w:sz w:val="20"/>
          <w:szCs w:val="20"/>
        </w:rPr>
        <w:t>transacciones relevantes que no implicaron movimiento de efectivo</w:t>
      </w:r>
      <w:r w:rsidR="00811BA1" w:rsidRPr="0009028A">
        <w:rPr>
          <w:rFonts w:ascii="Arial" w:eastAsia="Arial" w:hAnsi="Arial" w:cs="Arial"/>
          <w:spacing w:val="1"/>
          <w:sz w:val="20"/>
          <w:szCs w:val="20"/>
        </w:rPr>
        <w:t>.</w:t>
      </w:r>
    </w:p>
    <w:p w14:paraId="26582209" w14:textId="77777777" w:rsidR="00825923" w:rsidRPr="0009028A" w:rsidRDefault="00825923" w:rsidP="00D66D8F">
      <w:pPr>
        <w:spacing w:after="0"/>
        <w:jc w:val="both"/>
        <w:rPr>
          <w:rFonts w:ascii="Arial" w:hAnsi="Arial" w:cs="Arial"/>
          <w:b/>
          <w:bCs/>
          <w:color w:val="000000"/>
          <w:sz w:val="20"/>
          <w:szCs w:val="20"/>
        </w:rPr>
      </w:pPr>
    </w:p>
    <w:p w14:paraId="1E1E73A3" w14:textId="77777777" w:rsidR="0077663C" w:rsidRPr="0009028A" w:rsidRDefault="00013960" w:rsidP="00D100F1">
      <w:pPr>
        <w:pStyle w:val="Ttulo1"/>
      </w:pPr>
      <w:bookmarkStart w:id="273" w:name="_Toc8735092"/>
      <w:bookmarkStart w:id="274" w:name="_Hlk512341564"/>
      <w:r w:rsidRPr="0009028A">
        <w:t xml:space="preserve">Nota </w:t>
      </w:r>
      <w:r w:rsidR="0077663C" w:rsidRPr="0009028A">
        <w:t xml:space="preserve">6: </w:t>
      </w:r>
      <w:r w:rsidRPr="0009028A">
        <w:t>Valor razonable de activos y pasivos financieros</w:t>
      </w:r>
      <w:bookmarkEnd w:id="273"/>
    </w:p>
    <w:p w14:paraId="685E6108" w14:textId="77777777" w:rsidR="008D04BF" w:rsidRPr="0009028A" w:rsidRDefault="008D04BF" w:rsidP="008C7EE5">
      <w:pPr>
        <w:pStyle w:val="Ttulo2"/>
        <w:spacing w:afterAutospacing="0"/>
        <w:rPr>
          <w:rFonts w:ascii="Arial" w:hAnsi="Arial" w:cs="Arial"/>
        </w:rPr>
      </w:pPr>
      <w:bookmarkStart w:id="275" w:name="_Toc8735093"/>
      <w:r w:rsidRPr="0009028A">
        <w:rPr>
          <w:rFonts w:ascii="Arial" w:hAnsi="Arial" w:cs="Arial"/>
        </w:rPr>
        <w:t>6.1 Valores razonables</w:t>
      </w:r>
      <w:bookmarkEnd w:id="275"/>
    </w:p>
    <w:p w14:paraId="07BD5836" w14:textId="77777777" w:rsidR="0077663C" w:rsidRPr="0009028A" w:rsidRDefault="0077663C" w:rsidP="005103AA">
      <w:pPr>
        <w:contextualSpacing/>
        <w:jc w:val="both"/>
        <w:rPr>
          <w:rFonts w:ascii="Arial" w:eastAsia="Times New Roman" w:hAnsi="Arial" w:cs="Arial"/>
          <w:color w:val="000000"/>
          <w:sz w:val="20"/>
          <w:szCs w:val="20"/>
          <w:lang w:eastAsia="es-CO"/>
        </w:rPr>
      </w:pPr>
    </w:p>
    <w:p w14:paraId="05EDBD1A" w14:textId="77777777" w:rsidR="005103AA" w:rsidRPr="0009028A" w:rsidRDefault="005103AA" w:rsidP="005103AA">
      <w:pPr>
        <w:contextualSpacing/>
        <w:jc w:val="both"/>
        <w:rPr>
          <w:rFonts w:ascii="Arial" w:eastAsia="Times New Roman" w:hAnsi="Arial" w:cs="Arial"/>
          <w:color w:val="000000"/>
          <w:sz w:val="20"/>
          <w:szCs w:val="20"/>
          <w:lang w:eastAsia="es-CO"/>
        </w:rPr>
      </w:pPr>
      <w:r w:rsidRPr="0009028A">
        <w:rPr>
          <w:rFonts w:ascii="Arial" w:eastAsia="Times New Roman" w:hAnsi="Arial" w:cs="Arial"/>
          <w:color w:val="000000"/>
          <w:sz w:val="20"/>
          <w:szCs w:val="20"/>
          <w:lang w:eastAsia="es-CO"/>
        </w:rPr>
        <w:t>A continuación, se presenta una comparación, por clase, de los valores en libros y el valor razonable de los instrumentos financieros de la Compañía.</w:t>
      </w:r>
    </w:p>
    <w:p w14:paraId="0C7C4BBD" w14:textId="77777777" w:rsidR="008D04BF" w:rsidRPr="0009028A" w:rsidRDefault="008D04BF" w:rsidP="00275294">
      <w:pPr>
        <w:spacing w:after="0"/>
        <w:rPr>
          <w:rFonts w:ascii="Arial" w:eastAsia="Arial" w:hAnsi="Arial" w:cs="Arial"/>
          <w:spacing w:val="1"/>
          <w:sz w:val="20"/>
          <w:szCs w:val="20"/>
        </w:rPr>
      </w:pPr>
    </w:p>
    <w:tbl>
      <w:tblPr>
        <w:tblW w:w="5057" w:type="pct"/>
        <w:tblCellMar>
          <w:left w:w="70" w:type="dxa"/>
          <w:right w:w="70" w:type="dxa"/>
        </w:tblCellMar>
        <w:tblLook w:val="04A0" w:firstRow="1" w:lastRow="0" w:firstColumn="1" w:lastColumn="0" w:noHBand="0" w:noVBand="1"/>
      </w:tblPr>
      <w:tblGrid>
        <w:gridCol w:w="4821"/>
        <w:gridCol w:w="1335"/>
        <w:gridCol w:w="1294"/>
        <w:gridCol w:w="1294"/>
        <w:gridCol w:w="1290"/>
      </w:tblGrid>
      <w:tr w:rsidR="002E3452" w:rsidRPr="0009028A" w14:paraId="081A49B6" w14:textId="77777777" w:rsidTr="00D33764">
        <w:trPr>
          <w:trHeight w:val="60"/>
        </w:trPr>
        <w:tc>
          <w:tcPr>
            <w:tcW w:w="2402" w:type="pct"/>
            <w:shd w:val="clear" w:color="auto" w:fill="auto"/>
            <w:vAlign w:val="center"/>
          </w:tcPr>
          <w:p w14:paraId="17725B78" w14:textId="77777777" w:rsidR="002E3452" w:rsidRPr="0009028A" w:rsidRDefault="002E3452" w:rsidP="00AA6844">
            <w:pPr>
              <w:spacing w:after="0" w:line="240" w:lineRule="auto"/>
              <w:rPr>
                <w:rFonts w:ascii="Arial" w:eastAsia="Times New Roman" w:hAnsi="Arial" w:cs="Arial"/>
                <w:color w:val="000000"/>
                <w:lang w:eastAsia="es-CO"/>
              </w:rPr>
            </w:pPr>
            <w:bookmarkStart w:id="276" w:name="_Hlk7171364"/>
          </w:p>
        </w:tc>
        <w:tc>
          <w:tcPr>
            <w:tcW w:w="1310" w:type="pct"/>
            <w:gridSpan w:val="2"/>
            <w:shd w:val="clear" w:color="auto" w:fill="auto"/>
            <w:vAlign w:val="center"/>
          </w:tcPr>
          <w:p w14:paraId="192BBADA" w14:textId="77777777" w:rsidR="002E3452" w:rsidRPr="0009028A" w:rsidRDefault="00011AAC" w:rsidP="00AA6844">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Marzo</w:t>
            </w:r>
            <w:r w:rsidR="002E3452" w:rsidRPr="0009028A">
              <w:rPr>
                <w:rFonts w:ascii="Arial" w:eastAsia="Times New Roman" w:hAnsi="Arial" w:cs="Arial"/>
                <w:b/>
                <w:bCs/>
                <w:color w:val="103475"/>
                <w:sz w:val="18"/>
                <w:szCs w:val="18"/>
                <w:lang w:eastAsia="es-CO"/>
              </w:rPr>
              <w:t xml:space="preserve"> 201</w:t>
            </w:r>
            <w:r w:rsidRPr="0009028A">
              <w:rPr>
                <w:rFonts w:ascii="Arial" w:eastAsia="Times New Roman" w:hAnsi="Arial" w:cs="Arial"/>
                <w:b/>
                <w:bCs/>
                <w:color w:val="103475"/>
                <w:sz w:val="18"/>
                <w:szCs w:val="18"/>
                <w:lang w:eastAsia="es-CO"/>
              </w:rPr>
              <w:t>9</w:t>
            </w:r>
          </w:p>
        </w:tc>
        <w:tc>
          <w:tcPr>
            <w:tcW w:w="1288" w:type="pct"/>
            <w:gridSpan w:val="2"/>
            <w:shd w:val="clear" w:color="auto" w:fill="auto"/>
            <w:vAlign w:val="center"/>
          </w:tcPr>
          <w:p w14:paraId="3DABEFC6" w14:textId="77777777" w:rsidR="002E3452" w:rsidRPr="0009028A" w:rsidRDefault="002E3452" w:rsidP="00AA6844">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Diciembre 201</w:t>
            </w:r>
            <w:r w:rsidR="00011AAC" w:rsidRPr="0009028A">
              <w:rPr>
                <w:rFonts w:ascii="Arial" w:eastAsia="Times New Roman" w:hAnsi="Arial" w:cs="Arial"/>
                <w:b/>
                <w:bCs/>
                <w:color w:val="103475"/>
                <w:sz w:val="18"/>
                <w:szCs w:val="18"/>
                <w:lang w:eastAsia="es-CO"/>
              </w:rPr>
              <w:t>8</w:t>
            </w:r>
          </w:p>
        </w:tc>
      </w:tr>
      <w:tr w:rsidR="002E3452" w:rsidRPr="0009028A" w14:paraId="5593E470" w14:textId="77777777" w:rsidTr="00D33764">
        <w:trPr>
          <w:trHeight w:val="498"/>
        </w:trPr>
        <w:tc>
          <w:tcPr>
            <w:tcW w:w="2402" w:type="pct"/>
            <w:shd w:val="clear" w:color="auto" w:fill="auto"/>
            <w:vAlign w:val="center"/>
            <w:hideMark/>
          </w:tcPr>
          <w:p w14:paraId="738A893B" w14:textId="77777777" w:rsidR="002E3452" w:rsidRPr="0009028A" w:rsidRDefault="002E3452" w:rsidP="00AA6844">
            <w:pPr>
              <w:spacing w:after="0" w:line="240" w:lineRule="auto"/>
              <w:rPr>
                <w:rFonts w:ascii="Arial" w:eastAsia="Times New Roman" w:hAnsi="Arial" w:cs="Arial"/>
                <w:color w:val="000000"/>
                <w:lang w:eastAsia="es-CO"/>
              </w:rPr>
            </w:pPr>
            <w:r w:rsidRPr="0009028A">
              <w:rPr>
                <w:rFonts w:ascii="Arial" w:eastAsia="Times New Roman" w:hAnsi="Arial" w:cs="Arial"/>
                <w:color w:val="000000"/>
                <w:lang w:eastAsia="es-CO"/>
              </w:rPr>
              <w:t> </w:t>
            </w:r>
          </w:p>
        </w:tc>
        <w:tc>
          <w:tcPr>
            <w:tcW w:w="665" w:type="pct"/>
            <w:shd w:val="clear" w:color="auto" w:fill="auto"/>
            <w:vAlign w:val="center"/>
            <w:hideMark/>
          </w:tcPr>
          <w:p w14:paraId="24BF8C87" w14:textId="77777777" w:rsidR="002E3452" w:rsidRPr="0009028A" w:rsidRDefault="002E3452" w:rsidP="00AA6844">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Valor en libros</w:t>
            </w:r>
          </w:p>
        </w:tc>
        <w:tc>
          <w:tcPr>
            <w:tcW w:w="645" w:type="pct"/>
            <w:shd w:val="clear" w:color="auto" w:fill="auto"/>
            <w:vAlign w:val="center"/>
            <w:hideMark/>
          </w:tcPr>
          <w:p w14:paraId="637EE6B1" w14:textId="77777777" w:rsidR="002E3452" w:rsidRPr="0009028A" w:rsidRDefault="002E3452" w:rsidP="00AA6844">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Valor razonable</w:t>
            </w:r>
          </w:p>
        </w:tc>
        <w:tc>
          <w:tcPr>
            <w:tcW w:w="645" w:type="pct"/>
            <w:shd w:val="clear" w:color="auto" w:fill="auto"/>
            <w:vAlign w:val="center"/>
            <w:hideMark/>
          </w:tcPr>
          <w:p w14:paraId="1664F15D" w14:textId="77777777" w:rsidR="002E3452" w:rsidRPr="0009028A" w:rsidRDefault="002E3452" w:rsidP="00AA6844">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Valor en libros</w:t>
            </w:r>
          </w:p>
        </w:tc>
        <w:tc>
          <w:tcPr>
            <w:tcW w:w="644" w:type="pct"/>
            <w:shd w:val="clear" w:color="auto" w:fill="auto"/>
            <w:vAlign w:val="center"/>
            <w:hideMark/>
          </w:tcPr>
          <w:p w14:paraId="398C4731" w14:textId="77777777" w:rsidR="002E3452" w:rsidRPr="0009028A" w:rsidRDefault="002E3452" w:rsidP="00AA6844">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Valor razonable</w:t>
            </w:r>
          </w:p>
        </w:tc>
      </w:tr>
      <w:tr w:rsidR="007429D1" w:rsidRPr="0009028A" w14:paraId="6A918272" w14:textId="77777777" w:rsidTr="00D33764">
        <w:trPr>
          <w:trHeight w:val="122"/>
        </w:trPr>
        <w:tc>
          <w:tcPr>
            <w:tcW w:w="2402" w:type="pct"/>
            <w:shd w:val="clear" w:color="auto" w:fill="auto"/>
            <w:vAlign w:val="center"/>
          </w:tcPr>
          <w:p w14:paraId="25AF7B06" w14:textId="77777777" w:rsidR="007429D1" w:rsidRPr="0009028A" w:rsidRDefault="007429D1" w:rsidP="00AA6844">
            <w:pPr>
              <w:spacing w:after="0" w:line="240" w:lineRule="auto"/>
              <w:rPr>
                <w:rFonts w:ascii="Arial" w:eastAsia="Times New Roman" w:hAnsi="Arial" w:cs="Arial"/>
                <w:color w:val="000000"/>
                <w:lang w:eastAsia="es-CO"/>
              </w:rPr>
            </w:pPr>
            <w:r w:rsidRPr="0009028A">
              <w:rPr>
                <w:rFonts w:ascii="Arial" w:eastAsia="Times New Roman" w:hAnsi="Arial" w:cs="Arial"/>
                <w:b/>
                <w:bCs/>
                <w:color w:val="103475"/>
                <w:sz w:val="18"/>
                <w:szCs w:val="18"/>
                <w:lang w:eastAsia="es-CO"/>
              </w:rPr>
              <w:t>Activos financieros</w:t>
            </w:r>
          </w:p>
        </w:tc>
        <w:tc>
          <w:tcPr>
            <w:tcW w:w="665" w:type="pct"/>
            <w:shd w:val="clear" w:color="auto" w:fill="auto"/>
            <w:vAlign w:val="center"/>
          </w:tcPr>
          <w:p w14:paraId="580F62F4" w14:textId="77777777" w:rsidR="007429D1" w:rsidRPr="0009028A" w:rsidRDefault="007429D1" w:rsidP="00AA6844">
            <w:pPr>
              <w:spacing w:after="0" w:line="240" w:lineRule="auto"/>
              <w:jc w:val="center"/>
              <w:rPr>
                <w:rFonts w:ascii="Arial" w:eastAsia="Times New Roman" w:hAnsi="Arial" w:cs="Arial"/>
                <w:b/>
                <w:bCs/>
                <w:color w:val="103475"/>
                <w:sz w:val="18"/>
                <w:szCs w:val="18"/>
                <w:lang w:eastAsia="es-CO"/>
              </w:rPr>
            </w:pPr>
          </w:p>
        </w:tc>
        <w:tc>
          <w:tcPr>
            <w:tcW w:w="645" w:type="pct"/>
            <w:shd w:val="clear" w:color="auto" w:fill="auto"/>
            <w:vAlign w:val="center"/>
          </w:tcPr>
          <w:p w14:paraId="6154194F" w14:textId="77777777" w:rsidR="007429D1" w:rsidRPr="0009028A" w:rsidRDefault="007429D1" w:rsidP="00AA6844">
            <w:pPr>
              <w:spacing w:after="0" w:line="240" w:lineRule="auto"/>
              <w:jc w:val="center"/>
              <w:rPr>
                <w:rFonts w:ascii="Arial" w:eastAsia="Times New Roman" w:hAnsi="Arial" w:cs="Arial"/>
                <w:b/>
                <w:bCs/>
                <w:color w:val="103475"/>
                <w:sz w:val="18"/>
                <w:szCs w:val="18"/>
                <w:lang w:eastAsia="es-CO"/>
              </w:rPr>
            </w:pPr>
          </w:p>
        </w:tc>
        <w:tc>
          <w:tcPr>
            <w:tcW w:w="645" w:type="pct"/>
            <w:shd w:val="clear" w:color="auto" w:fill="auto"/>
            <w:vAlign w:val="center"/>
          </w:tcPr>
          <w:p w14:paraId="725BD066" w14:textId="77777777" w:rsidR="007429D1" w:rsidRPr="0009028A" w:rsidRDefault="007429D1" w:rsidP="00AA6844">
            <w:pPr>
              <w:spacing w:after="0" w:line="240" w:lineRule="auto"/>
              <w:jc w:val="center"/>
              <w:rPr>
                <w:rFonts w:ascii="Arial" w:eastAsia="Times New Roman" w:hAnsi="Arial" w:cs="Arial"/>
                <w:b/>
                <w:bCs/>
                <w:color w:val="103475"/>
                <w:sz w:val="18"/>
                <w:szCs w:val="18"/>
                <w:lang w:eastAsia="es-CO"/>
              </w:rPr>
            </w:pPr>
          </w:p>
        </w:tc>
        <w:tc>
          <w:tcPr>
            <w:tcW w:w="644" w:type="pct"/>
            <w:shd w:val="clear" w:color="auto" w:fill="auto"/>
            <w:vAlign w:val="center"/>
          </w:tcPr>
          <w:p w14:paraId="4756DE0D" w14:textId="77777777" w:rsidR="007429D1" w:rsidRPr="0009028A" w:rsidRDefault="007429D1" w:rsidP="00AA6844">
            <w:pPr>
              <w:spacing w:after="0" w:line="240" w:lineRule="auto"/>
              <w:jc w:val="center"/>
              <w:rPr>
                <w:rFonts w:ascii="Arial" w:eastAsia="Times New Roman" w:hAnsi="Arial" w:cs="Arial"/>
                <w:b/>
                <w:bCs/>
                <w:color w:val="103475"/>
                <w:sz w:val="18"/>
                <w:szCs w:val="18"/>
                <w:lang w:eastAsia="es-CO"/>
              </w:rPr>
            </w:pPr>
          </w:p>
        </w:tc>
      </w:tr>
      <w:tr w:rsidR="000A3E80" w:rsidRPr="0009028A" w14:paraId="64B0F304" w14:textId="77777777" w:rsidTr="00D33764">
        <w:trPr>
          <w:trHeight w:val="70"/>
        </w:trPr>
        <w:tc>
          <w:tcPr>
            <w:tcW w:w="2402" w:type="pct"/>
            <w:shd w:val="clear" w:color="auto" w:fill="auto"/>
            <w:vAlign w:val="center"/>
            <w:hideMark/>
          </w:tcPr>
          <w:p w14:paraId="6B463491" w14:textId="77777777" w:rsidR="000A3E80" w:rsidRPr="0009028A" w:rsidRDefault="000A3E80" w:rsidP="000A3E80">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Medidos a valor razonable con cambios en resultados</w:t>
            </w:r>
          </w:p>
        </w:tc>
        <w:tc>
          <w:tcPr>
            <w:tcW w:w="665" w:type="pct"/>
            <w:shd w:val="clear" w:color="auto" w:fill="auto"/>
            <w:vAlign w:val="center"/>
          </w:tcPr>
          <w:p w14:paraId="7F5B80C1" w14:textId="77777777" w:rsidR="000A3E80" w:rsidRPr="0009028A" w:rsidRDefault="000A3E80" w:rsidP="000A3E80">
            <w:pPr>
              <w:spacing w:after="0" w:line="240" w:lineRule="auto"/>
              <w:jc w:val="right"/>
              <w:rPr>
                <w:rFonts w:ascii="Arial" w:eastAsia="Times New Roman" w:hAnsi="Arial" w:cs="Arial"/>
                <w:b/>
                <w:bCs/>
                <w:color w:val="103475"/>
                <w:sz w:val="18"/>
                <w:szCs w:val="18"/>
                <w:lang w:eastAsia="es-CO"/>
              </w:rPr>
            </w:pPr>
          </w:p>
        </w:tc>
        <w:tc>
          <w:tcPr>
            <w:tcW w:w="645" w:type="pct"/>
            <w:shd w:val="clear" w:color="auto" w:fill="auto"/>
            <w:vAlign w:val="center"/>
          </w:tcPr>
          <w:p w14:paraId="74676379" w14:textId="77777777" w:rsidR="000A3E80" w:rsidRPr="0009028A" w:rsidRDefault="000A3E80" w:rsidP="000A3E80">
            <w:pPr>
              <w:spacing w:after="0" w:line="240" w:lineRule="auto"/>
              <w:jc w:val="right"/>
              <w:rPr>
                <w:rFonts w:ascii="Arial" w:eastAsia="Times New Roman" w:hAnsi="Arial" w:cs="Arial"/>
                <w:b/>
                <w:bCs/>
                <w:color w:val="103475"/>
                <w:sz w:val="18"/>
                <w:szCs w:val="18"/>
                <w:lang w:eastAsia="es-CO"/>
              </w:rPr>
            </w:pPr>
          </w:p>
        </w:tc>
        <w:tc>
          <w:tcPr>
            <w:tcW w:w="645" w:type="pct"/>
            <w:shd w:val="clear" w:color="auto" w:fill="auto"/>
            <w:vAlign w:val="center"/>
          </w:tcPr>
          <w:p w14:paraId="3D60006F" w14:textId="77777777" w:rsidR="000A3E80" w:rsidRPr="0009028A" w:rsidRDefault="000A3E80" w:rsidP="000A3E80">
            <w:pPr>
              <w:spacing w:after="0" w:line="240" w:lineRule="auto"/>
              <w:jc w:val="right"/>
              <w:rPr>
                <w:rFonts w:ascii="Arial" w:eastAsia="Times New Roman" w:hAnsi="Arial" w:cs="Arial"/>
                <w:b/>
                <w:bCs/>
                <w:color w:val="103475"/>
                <w:sz w:val="18"/>
                <w:szCs w:val="18"/>
                <w:lang w:eastAsia="es-CO"/>
              </w:rPr>
            </w:pPr>
          </w:p>
        </w:tc>
        <w:tc>
          <w:tcPr>
            <w:tcW w:w="644" w:type="pct"/>
            <w:shd w:val="clear" w:color="auto" w:fill="auto"/>
            <w:vAlign w:val="center"/>
          </w:tcPr>
          <w:p w14:paraId="26FD7652" w14:textId="77777777" w:rsidR="000A3E80" w:rsidRPr="0009028A" w:rsidRDefault="000A3E80" w:rsidP="000A3E80">
            <w:pPr>
              <w:spacing w:after="0" w:line="240" w:lineRule="auto"/>
              <w:jc w:val="right"/>
              <w:rPr>
                <w:rFonts w:ascii="Arial" w:eastAsia="Times New Roman" w:hAnsi="Arial" w:cs="Arial"/>
                <w:b/>
                <w:bCs/>
                <w:color w:val="103475"/>
                <w:sz w:val="18"/>
                <w:szCs w:val="18"/>
                <w:lang w:eastAsia="es-CO"/>
              </w:rPr>
            </w:pPr>
          </w:p>
        </w:tc>
      </w:tr>
      <w:tr w:rsidR="00DD122D" w:rsidRPr="0009028A" w14:paraId="2B278D04" w14:textId="77777777" w:rsidTr="00D33764">
        <w:trPr>
          <w:trHeight w:val="60"/>
        </w:trPr>
        <w:tc>
          <w:tcPr>
            <w:tcW w:w="2402" w:type="pct"/>
            <w:shd w:val="clear" w:color="auto" w:fill="auto"/>
            <w:vAlign w:val="center"/>
          </w:tcPr>
          <w:p w14:paraId="7367C860" w14:textId="77777777" w:rsidR="00DD122D" w:rsidRPr="0009028A" w:rsidRDefault="00DD122D" w:rsidP="00DD122D">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Efectivo y equivalentes de efectivo</w:t>
            </w:r>
          </w:p>
        </w:tc>
        <w:tc>
          <w:tcPr>
            <w:tcW w:w="665" w:type="pct"/>
            <w:shd w:val="clear" w:color="auto" w:fill="auto"/>
            <w:vAlign w:val="center"/>
          </w:tcPr>
          <w:p w14:paraId="6F7F089A" w14:textId="77777777" w:rsidR="00DD122D" w:rsidRPr="0009028A" w:rsidRDefault="00013960" w:rsidP="00DD122D">
            <w:pPr>
              <w:spacing w:after="0" w:line="240" w:lineRule="auto"/>
              <w:jc w:val="right"/>
              <w:rPr>
                <w:rFonts w:ascii="Arial" w:eastAsia="Times New Roman" w:hAnsi="Arial" w:cs="Arial"/>
                <w:color w:val="000000"/>
                <w:sz w:val="18"/>
                <w:szCs w:val="14"/>
                <w:lang w:eastAsia="es-CO"/>
              </w:rPr>
            </w:pPr>
            <w:r w:rsidRPr="0009028A">
              <w:rPr>
                <w:rFonts w:ascii="Arial" w:eastAsia="Times New Roman" w:hAnsi="Arial" w:cs="Arial"/>
                <w:color w:val="000000"/>
                <w:sz w:val="18"/>
                <w:szCs w:val="14"/>
                <w:lang w:eastAsia="es-CO"/>
              </w:rPr>
              <w:t xml:space="preserve">$    </w:t>
            </w:r>
            <w:r w:rsidR="00DD122D" w:rsidRPr="0009028A">
              <w:rPr>
                <w:rFonts w:ascii="Arial" w:eastAsia="Times New Roman" w:hAnsi="Arial" w:cs="Arial"/>
                <w:color w:val="000000"/>
                <w:sz w:val="18"/>
                <w:szCs w:val="14"/>
                <w:lang w:eastAsia="es-CO"/>
              </w:rPr>
              <w:t>9.295.619</w:t>
            </w:r>
          </w:p>
        </w:tc>
        <w:tc>
          <w:tcPr>
            <w:tcW w:w="645" w:type="pct"/>
            <w:shd w:val="clear" w:color="auto" w:fill="auto"/>
            <w:vAlign w:val="center"/>
          </w:tcPr>
          <w:p w14:paraId="7779F45A" w14:textId="77777777" w:rsidR="00DD122D" w:rsidRPr="0009028A" w:rsidRDefault="00DD122D" w:rsidP="00DD122D">
            <w:pPr>
              <w:spacing w:after="0" w:line="240" w:lineRule="auto"/>
              <w:jc w:val="right"/>
              <w:rPr>
                <w:rFonts w:ascii="Arial" w:eastAsia="Times New Roman" w:hAnsi="Arial" w:cs="Arial"/>
                <w:color w:val="000000"/>
                <w:sz w:val="18"/>
                <w:szCs w:val="14"/>
                <w:lang w:eastAsia="es-CO"/>
              </w:rPr>
            </w:pPr>
            <w:r w:rsidRPr="0009028A">
              <w:rPr>
                <w:rFonts w:ascii="Arial" w:eastAsia="Times New Roman" w:hAnsi="Arial" w:cs="Arial"/>
                <w:color w:val="000000"/>
                <w:sz w:val="18"/>
                <w:szCs w:val="14"/>
                <w:lang w:eastAsia="es-CO"/>
              </w:rPr>
              <w:t>9.295.619</w:t>
            </w:r>
          </w:p>
        </w:tc>
        <w:tc>
          <w:tcPr>
            <w:tcW w:w="645" w:type="pct"/>
            <w:shd w:val="clear" w:color="auto" w:fill="auto"/>
            <w:vAlign w:val="center"/>
          </w:tcPr>
          <w:p w14:paraId="1CA01D01" w14:textId="77777777" w:rsidR="00DD122D" w:rsidRPr="0009028A" w:rsidRDefault="00DD122D" w:rsidP="00DD122D">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16.668.426</w:t>
            </w:r>
          </w:p>
        </w:tc>
        <w:tc>
          <w:tcPr>
            <w:tcW w:w="644" w:type="pct"/>
            <w:shd w:val="clear" w:color="auto" w:fill="auto"/>
            <w:vAlign w:val="center"/>
          </w:tcPr>
          <w:p w14:paraId="45857007" w14:textId="77777777" w:rsidR="00DD122D" w:rsidRPr="0009028A" w:rsidRDefault="00DD122D" w:rsidP="00DD122D">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16.668.426</w:t>
            </w:r>
          </w:p>
        </w:tc>
      </w:tr>
      <w:tr w:rsidR="00DD122D" w:rsidRPr="0009028A" w14:paraId="2CA88483" w14:textId="77777777" w:rsidTr="00D33764">
        <w:trPr>
          <w:trHeight w:val="60"/>
        </w:trPr>
        <w:tc>
          <w:tcPr>
            <w:tcW w:w="2402" w:type="pct"/>
            <w:shd w:val="clear" w:color="auto" w:fill="auto"/>
            <w:vAlign w:val="center"/>
          </w:tcPr>
          <w:p w14:paraId="2759AF71" w14:textId="77777777" w:rsidR="00DD122D" w:rsidRPr="0009028A" w:rsidRDefault="00A43D62" w:rsidP="00DD122D">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Otros activos financieros</w:t>
            </w:r>
            <w:r w:rsidR="00DD122D" w:rsidRPr="0009028A">
              <w:rPr>
                <w:rFonts w:ascii="Arial" w:eastAsia="Times New Roman" w:hAnsi="Arial" w:cs="Arial"/>
                <w:color w:val="000000"/>
                <w:sz w:val="18"/>
                <w:szCs w:val="18"/>
                <w:lang w:eastAsia="es-CO"/>
              </w:rPr>
              <w:t>* (1)</w:t>
            </w:r>
          </w:p>
        </w:tc>
        <w:tc>
          <w:tcPr>
            <w:tcW w:w="665" w:type="pct"/>
            <w:shd w:val="clear" w:color="auto" w:fill="auto"/>
            <w:vAlign w:val="center"/>
          </w:tcPr>
          <w:p w14:paraId="36AC457D" w14:textId="77777777" w:rsidR="00DD122D" w:rsidRPr="0009028A" w:rsidRDefault="00DD122D" w:rsidP="00DD122D">
            <w:pPr>
              <w:spacing w:after="0" w:line="240" w:lineRule="auto"/>
              <w:jc w:val="right"/>
              <w:rPr>
                <w:rFonts w:ascii="Arial" w:eastAsia="Times New Roman" w:hAnsi="Arial" w:cs="Arial"/>
                <w:color w:val="000000"/>
                <w:sz w:val="18"/>
                <w:szCs w:val="14"/>
                <w:lang w:eastAsia="es-CO"/>
              </w:rPr>
            </w:pPr>
            <w:r w:rsidRPr="0009028A">
              <w:rPr>
                <w:rFonts w:ascii="Arial" w:eastAsia="Times New Roman" w:hAnsi="Arial" w:cs="Arial"/>
                <w:color w:val="000000"/>
                <w:sz w:val="18"/>
                <w:szCs w:val="14"/>
                <w:lang w:eastAsia="es-CO"/>
              </w:rPr>
              <w:t>230.250</w:t>
            </w:r>
          </w:p>
        </w:tc>
        <w:tc>
          <w:tcPr>
            <w:tcW w:w="645" w:type="pct"/>
            <w:shd w:val="clear" w:color="auto" w:fill="auto"/>
            <w:vAlign w:val="center"/>
          </w:tcPr>
          <w:p w14:paraId="09F2922C" w14:textId="77777777" w:rsidR="00DD122D" w:rsidRPr="0009028A" w:rsidRDefault="00DD122D" w:rsidP="00DD122D">
            <w:pPr>
              <w:spacing w:after="0" w:line="240" w:lineRule="auto"/>
              <w:jc w:val="right"/>
              <w:rPr>
                <w:rFonts w:ascii="Arial" w:eastAsia="Times New Roman" w:hAnsi="Arial" w:cs="Arial"/>
                <w:color w:val="000000"/>
                <w:sz w:val="18"/>
                <w:szCs w:val="14"/>
                <w:lang w:eastAsia="es-CO"/>
              </w:rPr>
            </w:pPr>
            <w:r w:rsidRPr="0009028A">
              <w:rPr>
                <w:rFonts w:ascii="Arial" w:eastAsia="Times New Roman" w:hAnsi="Arial" w:cs="Arial"/>
                <w:color w:val="000000"/>
                <w:sz w:val="18"/>
                <w:szCs w:val="14"/>
                <w:lang w:eastAsia="es-CO"/>
              </w:rPr>
              <w:t>230.250</w:t>
            </w:r>
          </w:p>
        </w:tc>
        <w:tc>
          <w:tcPr>
            <w:tcW w:w="645" w:type="pct"/>
            <w:shd w:val="clear" w:color="auto" w:fill="auto"/>
            <w:vAlign w:val="center"/>
          </w:tcPr>
          <w:p w14:paraId="39DE5995" w14:textId="77777777" w:rsidR="00DD122D" w:rsidRPr="0009028A" w:rsidRDefault="00DD122D" w:rsidP="00DD122D">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192.947</w:t>
            </w:r>
          </w:p>
        </w:tc>
        <w:tc>
          <w:tcPr>
            <w:tcW w:w="644" w:type="pct"/>
            <w:shd w:val="clear" w:color="auto" w:fill="auto"/>
            <w:vAlign w:val="center"/>
          </w:tcPr>
          <w:p w14:paraId="221F7A6E" w14:textId="77777777" w:rsidR="00DD122D" w:rsidRPr="0009028A" w:rsidRDefault="00DD122D" w:rsidP="00DD122D">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192.947</w:t>
            </w:r>
          </w:p>
        </w:tc>
      </w:tr>
      <w:tr w:rsidR="00DD122D" w:rsidRPr="0009028A" w14:paraId="26F57285" w14:textId="77777777" w:rsidTr="00D33764">
        <w:trPr>
          <w:trHeight w:val="60"/>
        </w:trPr>
        <w:tc>
          <w:tcPr>
            <w:tcW w:w="2402" w:type="pct"/>
            <w:shd w:val="clear" w:color="auto" w:fill="auto"/>
            <w:vAlign w:val="center"/>
          </w:tcPr>
          <w:p w14:paraId="57F0520E" w14:textId="77777777" w:rsidR="00DD122D" w:rsidRPr="0009028A" w:rsidRDefault="00DD122D" w:rsidP="00DD122D">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Instrumentos financieros derivados – Forward (4)</w:t>
            </w:r>
          </w:p>
        </w:tc>
        <w:tc>
          <w:tcPr>
            <w:tcW w:w="665" w:type="pct"/>
            <w:shd w:val="clear" w:color="auto" w:fill="auto"/>
            <w:vAlign w:val="center"/>
          </w:tcPr>
          <w:p w14:paraId="3988D354" w14:textId="77777777" w:rsidR="00DD122D" w:rsidRPr="0009028A" w:rsidRDefault="00DD122D" w:rsidP="00DD122D">
            <w:pPr>
              <w:spacing w:after="0" w:line="240" w:lineRule="auto"/>
              <w:jc w:val="right"/>
              <w:rPr>
                <w:rFonts w:ascii="Arial" w:eastAsia="Times New Roman" w:hAnsi="Arial" w:cs="Arial"/>
                <w:color w:val="000000"/>
                <w:sz w:val="18"/>
                <w:szCs w:val="14"/>
                <w:lang w:eastAsia="es-CO"/>
              </w:rPr>
            </w:pPr>
            <w:r w:rsidRPr="0009028A">
              <w:rPr>
                <w:rFonts w:ascii="Arial" w:eastAsia="Times New Roman" w:hAnsi="Arial" w:cs="Arial"/>
                <w:color w:val="000000"/>
                <w:sz w:val="18"/>
                <w:szCs w:val="14"/>
                <w:lang w:eastAsia="es-CO"/>
              </w:rPr>
              <w:t>4.631.363</w:t>
            </w:r>
          </w:p>
        </w:tc>
        <w:tc>
          <w:tcPr>
            <w:tcW w:w="645" w:type="pct"/>
            <w:shd w:val="clear" w:color="auto" w:fill="auto"/>
            <w:vAlign w:val="center"/>
          </w:tcPr>
          <w:p w14:paraId="51201B1A" w14:textId="77777777" w:rsidR="00DD122D" w:rsidRPr="0009028A" w:rsidRDefault="00DD122D" w:rsidP="00DD122D">
            <w:pPr>
              <w:spacing w:after="0" w:line="240" w:lineRule="auto"/>
              <w:jc w:val="right"/>
              <w:rPr>
                <w:rFonts w:ascii="Arial" w:eastAsia="Times New Roman" w:hAnsi="Arial" w:cs="Arial"/>
                <w:color w:val="000000"/>
                <w:sz w:val="18"/>
                <w:szCs w:val="14"/>
                <w:lang w:eastAsia="es-CO"/>
              </w:rPr>
            </w:pPr>
            <w:r w:rsidRPr="0009028A">
              <w:rPr>
                <w:rFonts w:ascii="Arial" w:eastAsia="Times New Roman" w:hAnsi="Arial" w:cs="Arial"/>
                <w:color w:val="000000"/>
                <w:sz w:val="18"/>
                <w:szCs w:val="14"/>
                <w:lang w:eastAsia="es-CO"/>
              </w:rPr>
              <w:t>4.631.363</w:t>
            </w:r>
          </w:p>
        </w:tc>
        <w:tc>
          <w:tcPr>
            <w:tcW w:w="645" w:type="pct"/>
            <w:shd w:val="clear" w:color="auto" w:fill="auto"/>
            <w:vAlign w:val="center"/>
          </w:tcPr>
          <w:p w14:paraId="57BC8943" w14:textId="77777777" w:rsidR="00DD122D" w:rsidRPr="0009028A" w:rsidRDefault="00DD122D" w:rsidP="00DD122D">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5.888.825</w:t>
            </w:r>
          </w:p>
        </w:tc>
        <w:tc>
          <w:tcPr>
            <w:tcW w:w="644" w:type="pct"/>
            <w:shd w:val="clear" w:color="auto" w:fill="auto"/>
            <w:vAlign w:val="center"/>
          </w:tcPr>
          <w:p w14:paraId="76EAC0DA" w14:textId="77777777" w:rsidR="00DD122D" w:rsidRPr="0009028A" w:rsidRDefault="00DD122D" w:rsidP="00DD122D">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5.888.825</w:t>
            </w:r>
          </w:p>
        </w:tc>
      </w:tr>
      <w:tr w:rsidR="00DD122D" w:rsidRPr="0009028A" w14:paraId="328B39B2" w14:textId="77777777" w:rsidTr="00D33764">
        <w:trPr>
          <w:trHeight w:val="70"/>
        </w:trPr>
        <w:tc>
          <w:tcPr>
            <w:tcW w:w="2402" w:type="pct"/>
            <w:shd w:val="clear" w:color="auto" w:fill="auto"/>
            <w:vAlign w:val="center"/>
            <w:hideMark/>
          </w:tcPr>
          <w:p w14:paraId="31370D97" w14:textId="77777777" w:rsidR="00DD122D" w:rsidRPr="0009028A" w:rsidRDefault="00DD122D" w:rsidP="00DD122D">
            <w:pPr>
              <w:spacing w:after="0" w:line="240" w:lineRule="auto"/>
              <w:rPr>
                <w:rFonts w:ascii="Arial" w:eastAsia="Times New Roman" w:hAnsi="Arial" w:cs="Arial"/>
                <w:b/>
                <w:bCs/>
                <w:color w:val="000000"/>
                <w:sz w:val="18"/>
                <w:szCs w:val="18"/>
                <w:lang w:eastAsia="es-CO"/>
              </w:rPr>
            </w:pPr>
            <w:r w:rsidRPr="0009028A">
              <w:rPr>
                <w:rFonts w:ascii="Arial" w:eastAsia="Times New Roman" w:hAnsi="Arial" w:cs="Arial"/>
                <w:b/>
                <w:bCs/>
                <w:color w:val="103475"/>
                <w:sz w:val="18"/>
                <w:szCs w:val="18"/>
                <w:lang w:eastAsia="es-CO"/>
              </w:rPr>
              <w:t>Medidos a costo amortizado</w:t>
            </w:r>
          </w:p>
        </w:tc>
        <w:tc>
          <w:tcPr>
            <w:tcW w:w="665" w:type="pct"/>
            <w:shd w:val="clear" w:color="auto" w:fill="auto"/>
            <w:vAlign w:val="center"/>
          </w:tcPr>
          <w:p w14:paraId="28113951" w14:textId="77777777" w:rsidR="00DD122D" w:rsidRPr="0009028A" w:rsidRDefault="00DD122D" w:rsidP="00DD122D">
            <w:pPr>
              <w:spacing w:after="0" w:line="240" w:lineRule="auto"/>
              <w:jc w:val="right"/>
              <w:rPr>
                <w:rFonts w:ascii="Arial" w:eastAsia="Times New Roman" w:hAnsi="Arial" w:cs="Arial"/>
                <w:color w:val="000000"/>
                <w:sz w:val="18"/>
                <w:szCs w:val="14"/>
                <w:lang w:eastAsia="es-CO"/>
              </w:rPr>
            </w:pPr>
          </w:p>
        </w:tc>
        <w:tc>
          <w:tcPr>
            <w:tcW w:w="645" w:type="pct"/>
            <w:shd w:val="clear" w:color="auto" w:fill="auto"/>
            <w:vAlign w:val="center"/>
          </w:tcPr>
          <w:p w14:paraId="37D09BA3" w14:textId="77777777" w:rsidR="00DD122D" w:rsidRPr="0009028A" w:rsidRDefault="00DD122D" w:rsidP="00DD122D">
            <w:pPr>
              <w:spacing w:after="0" w:line="240" w:lineRule="auto"/>
              <w:jc w:val="right"/>
              <w:rPr>
                <w:rFonts w:ascii="Arial" w:eastAsia="Times New Roman" w:hAnsi="Arial" w:cs="Arial"/>
                <w:color w:val="000000"/>
                <w:sz w:val="18"/>
                <w:szCs w:val="14"/>
                <w:lang w:eastAsia="es-CO"/>
              </w:rPr>
            </w:pPr>
          </w:p>
        </w:tc>
        <w:tc>
          <w:tcPr>
            <w:tcW w:w="645" w:type="pct"/>
            <w:shd w:val="clear" w:color="auto" w:fill="auto"/>
            <w:vAlign w:val="center"/>
          </w:tcPr>
          <w:p w14:paraId="58EF936E" w14:textId="77777777" w:rsidR="00DD122D" w:rsidRPr="0009028A" w:rsidRDefault="00DD122D" w:rsidP="00DD122D">
            <w:pPr>
              <w:spacing w:after="0" w:line="240" w:lineRule="auto"/>
              <w:jc w:val="right"/>
              <w:rPr>
                <w:rFonts w:ascii="Arial" w:eastAsia="Times New Roman" w:hAnsi="Arial" w:cs="Arial"/>
                <w:color w:val="000000"/>
                <w:sz w:val="18"/>
                <w:szCs w:val="18"/>
                <w:lang w:eastAsia="es-CO"/>
              </w:rPr>
            </w:pPr>
          </w:p>
        </w:tc>
        <w:tc>
          <w:tcPr>
            <w:tcW w:w="644" w:type="pct"/>
            <w:shd w:val="clear" w:color="auto" w:fill="auto"/>
            <w:vAlign w:val="center"/>
          </w:tcPr>
          <w:p w14:paraId="79F7CD48" w14:textId="77777777" w:rsidR="00DD122D" w:rsidRPr="0009028A" w:rsidRDefault="00DD122D" w:rsidP="00DD122D">
            <w:pPr>
              <w:spacing w:after="0" w:line="240" w:lineRule="auto"/>
              <w:jc w:val="right"/>
              <w:rPr>
                <w:rFonts w:ascii="Arial" w:eastAsia="Times New Roman" w:hAnsi="Arial" w:cs="Arial"/>
                <w:color w:val="000000"/>
                <w:sz w:val="18"/>
                <w:szCs w:val="18"/>
                <w:lang w:eastAsia="es-CO"/>
              </w:rPr>
            </w:pPr>
          </w:p>
        </w:tc>
      </w:tr>
      <w:tr w:rsidR="00DD122D" w:rsidRPr="0009028A" w14:paraId="1C4B0E1F" w14:textId="77777777" w:rsidTr="00D33764">
        <w:trPr>
          <w:trHeight w:val="60"/>
        </w:trPr>
        <w:tc>
          <w:tcPr>
            <w:tcW w:w="2402" w:type="pct"/>
            <w:shd w:val="clear" w:color="auto" w:fill="auto"/>
            <w:vAlign w:val="center"/>
            <w:hideMark/>
          </w:tcPr>
          <w:p w14:paraId="223122EE" w14:textId="0485BB42" w:rsidR="00DD122D" w:rsidRPr="0009028A" w:rsidRDefault="00D33764" w:rsidP="00DD122D">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Deudores</w:t>
            </w:r>
            <w:r w:rsidR="00DD122D" w:rsidRPr="0009028A">
              <w:rPr>
                <w:rFonts w:ascii="Arial" w:eastAsia="Times New Roman" w:hAnsi="Arial" w:cs="Arial"/>
                <w:color w:val="000000"/>
                <w:sz w:val="18"/>
                <w:szCs w:val="18"/>
                <w:lang w:eastAsia="es-CO"/>
              </w:rPr>
              <w:t xml:space="preserve"> comerciales y otras cuentas por cobrar (2) y (3)</w:t>
            </w:r>
          </w:p>
        </w:tc>
        <w:tc>
          <w:tcPr>
            <w:tcW w:w="665" w:type="pct"/>
            <w:shd w:val="clear" w:color="auto" w:fill="auto"/>
            <w:vAlign w:val="center"/>
          </w:tcPr>
          <w:p w14:paraId="5215BFF4" w14:textId="77777777" w:rsidR="00DD122D" w:rsidRPr="0009028A" w:rsidRDefault="00013960" w:rsidP="00DD122D">
            <w:pPr>
              <w:spacing w:after="0" w:line="240" w:lineRule="auto"/>
              <w:jc w:val="right"/>
              <w:rPr>
                <w:rFonts w:ascii="Arial" w:eastAsia="Times New Roman" w:hAnsi="Arial" w:cs="Arial"/>
                <w:color w:val="000000"/>
                <w:sz w:val="18"/>
                <w:szCs w:val="14"/>
                <w:u w:val="single"/>
                <w:lang w:eastAsia="es-CO"/>
              </w:rPr>
            </w:pPr>
            <w:r w:rsidRPr="0009028A">
              <w:rPr>
                <w:rFonts w:ascii="Arial" w:eastAsia="Times New Roman" w:hAnsi="Arial" w:cs="Arial"/>
                <w:color w:val="000000"/>
                <w:sz w:val="18"/>
                <w:szCs w:val="14"/>
                <w:u w:val="single"/>
                <w:lang w:eastAsia="es-CO"/>
              </w:rPr>
              <w:t xml:space="preserve">   </w:t>
            </w:r>
            <w:r w:rsidR="00DD122D" w:rsidRPr="0009028A">
              <w:rPr>
                <w:rFonts w:ascii="Arial" w:eastAsia="Times New Roman" w:hAnsi="Arial" w:cs="Arial"/>
                <w:color w:val="000000"/>
                <w:sz w:val="18"/>
                <w:szCs w:val="14"/>
                <w:u w:val="single"/>
                <w:lang w:eastAsia="es-CO"/>
              </w:rPr>
              <w:t>97.422.909</w:t>
            </w:r>
          </w:p>
        </w:tc>
        <w:tc>
          <w:tcPr>
            <w:tcW w:w="645" w:type="pct"/>
            <w:shd w:val="clear" w:color="auto" w:fill="auto"/>
            <w:vAlign w:val="center"/>
          </w:tcPr>
          <w:p w14:paraId="2771D606" w14:textId="77777777" w:rsidR="00DD122D" w:rsidRPr="0009028A" w:rsidRDefault="00013960" w:rsidP="00DD122D">
            <w:pPr>
              <w:spacing w:after="0" w:line="240" w:lineRule="auto"/>
              <w:jc w:val="right"/>
              <w:rPr>
                <w:rFonts w:ascii="Arial" w:eastAsia="Times New Roman" w:hAnsi="Arial" w:cs="Arial"/>
                <w:color w:val="000000"/>
                <w:sz w:val="18"/>
                <w:szCs w:val="14"/>
                <w:u w:val="single"/>
                <w:lang w:eastAsia="es-CO"/>
              </w:rPr>
            </w:pPr>
            <w:r w:rsidRPr="0009028A">
              <w:rPr>
                <w:rFonts w:ascii="Arial" w:eastAsia="Times New Roman" w:hAnsi="Arial" w:cs="Arial"/>
                <w:color w:val="000000"/>
                <w:sz w:val="18"/>
                <w:szCs w:val="14"/>
                <w:u w:val="single"/>
                <w:lang w:eastAsia="es-CO"/>
              </w:rPr>
              <w:t xml:space="preserve">  </w:t>
            </w:r>
            <w:r w:rsidR="00DD122D" w:rsidRPr="0009028A">
              <w:rPr>
                <w:rFonts w:ascii="Arial" w:eastAsia="Times New Roman" w:hAnsi="Arial" w:cs="Arial"/>
                <w:color w:val="000000"/>
                <w:sz w:val="18"/>
                <w:szCs w:val="14"/>
                <w:u w:val="single"/>
                <w:lang w:eastAsia="es-CO"/>
              </w:rPr>
              <w:t>97.422.909</w:t>
            </w:r>
          </w:p>
        </w:tc>
        <w:tc>
          <w:tcPr>
            <w:tcW w:w="645" w:type="pct"/>
            <w:shd w:val="clear" w:color="auto" w:fill="auto"/>
            <w:vAlign w:val="center"/>
          </w:tcPr>
          <w:p w14:paraId="552C6A9C" w14:textId="77777777" w:rsidR="00DD122D" w:rsidRPr="0009028A" w:rsidRDefault="00013960" w:rsidP="00DD122D">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 xml:space="preserve">  </w:t>
            </w:r>
            <w:r w:rsidR="00DD122D" w:rsidRPr="0009028A">
              <w:rPr>
                <w:rFonts w:ascii="Arial" w:eastAsia="Times New Roman" w:hAnsi="Arial" w:cs="Arial"/>
                <w:color w:val="000000"/>
                <w:sz w:val="18"/>
                <w:szCs w:val="18"/>
                <w:u w:val="single"/>
                <w:lang w:eastAsia="es-CO"/>
              </w:rPr>
              <w:t>77.429.146</w:t>
            </w:r>
          </w:p>
        </w:tc>
        <w:tc>
          <w:tcPr>
            <w:tcW w:w="644" w:type="pct"/>
            <w:shd w:val="clear" w:color="auto" w:fill="auto"/>
            <w:vAlign w:val="center"/>
          </w:tcPr>
          <w:p w14:paraId="2402D8FC" w14:textId="77777777" w:rsidR="00DD122D" w:rsidRPr="0009028A" w:rsidRDefault="00013960" w:rsidP="00DD122D">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 xml:space="preserve">  </w:t>
            </w:r>
            <w:r w:rsidR="00DD122D" w:rsidRPr="0009028A">
              <w:rPr>
                <w:rFonts w:ascii="Arial" w:eastAsia="Times New Roman" w:hAnsi="Arial" w:cs="Arial"/>
                <w:color w:val="000000"/>
                <w:sz w:val="18"/>
                <w:szCs w:val="18"/>
                <w:u w:val="single"/>
                <w:lang w:eastAsia="es-CO"/>
              </w:rPr>
              <w:t>77.429.146</w:t>
            </w:r>
          </w:p>
        </w:tc>
      </w:tr>
      <w:tr w:rsidR="00DD122D" w:rsidRPr="0009028A" w14:paraId="4E1ABFEE" w14:textId="77777777" w:rsidTr="00D33764">
        <w:trPr>
          <w:trHeight w:val="70"/>
        </w:trPr>
        <w:tc>
          <w:tcPr>
            <w:tcW w:w="2402" w:type="pct"/>
            <w:shd w:val="clear" w:color="auto" w:fill="auto"/>
            <w:vAlign w:val="center"/>
            <w:hideMark/>
          </w:tcPr>
          <w:p w14:paraId="0669752F" w14:textId="77777777" w:rsidR="00DD122D" w:rsidRPr="0009028A" w:rsidRDefault="00DD122D" w:rsidP="00DD122D">
            <w:pPr>
              <w:spacing w:after="0" w:line="240" w:lineRule="auto"/>
              <w:jc w:val="both"/>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Total activos financieros</w:t>
            </w:r>
          </w:p>
        </w:tc>
        <w:tc>
          <w:tcPr>
            <w:tcW w:w="665" w:type="pct"/>
            <w:shd w:val="clear" w:color="auto" w:fill="auto"/>
            <w:vAlign w:val="center"/>
          </w:tcPr>
          <w:p w14:paraId="16C14F36" w14:textId="77777777" w:rsidR="00DD122D" w:rsidRPr="0009028A" w:rsidRDefault="00013960" w:rsidP="00DD122D">
            <w:pPr>
              <w:spacing w:after="0" w:line="240" w:lineRule="auto"/>
              <w:jc w:val="right"/>
              <w:rPr>
                <w:rFonts w:ascii="Arial" w:eastAsia="Times New Roman" w:hAnsi="Arial" w:cs="Arial"/>
                <w:b/>
                <w:bCs/>
                <w:color w:val="103475"/>
                <w:sz w:val="18"/>
                <w:szCs w:val="14"/>
                <w:u w:val="double"/>
                <w:lang w:eastAsia="es-CO"/>
              </w:rPr>
            </w:pPr>
            <w:r w:rsidRPr="0009028A">
              <w:rPr>
                <w:rFonts w:ascii="Arial" w:eastAsia="Times New Roman" w:hAnsi="Arial" w:cs="Arial"/>
                <w:b/>
                <w:bCs/>
                <w:color w:val="103475"/>
                <w:sz w:val="18"/>
                <w:szCs w:val="14"/>
                <w:lang w:eastAsia="es-CO"/>
              </w:rPr>
              <w:t>$</w:t>
            </w:r>
            <w:r w:rsidRPr="0009028A">
              <w:rPr>
                <w:rFonts w:ascii="Arial" w:eastAsia="Times New Roman" w:hAnsi="Arial" w:cs="Arial"/>
                <w:b/>
                <w:bCs/>
                <w:color w:val="103475"/>
                <w:sz w:val="18"/>
                <w:szCs w:val="14"/>
                <w:u w:val="double"/>
                <w:lang w:eastAsia="es-CO"/>
              </w:rPr>
              <w:t xml:space="preserve"> </w:t>
            </w:r>
            <w:r w:rsidR="00DD122D" w:rsidRPr="0009028A">
              <w:rPr>
                <w:rFonts w:ascii="Arial" w:eastAsia="Times New Roman" w:hAnsi="Arial" w:cs="Arial"/>
                <w:b/>
                <w:bCs/>
                <w:color w:val="103475"/>
                <w:sz w:val="18"/>
                <w:szCs w:val="14"/>
                <w:u w:val="double"/>
                <w:lang w:eastAsia="es-CO"/>
              </w:rPr>
              <w:t>111.580.141</w:t>
            </w:r>
          </w:p>
        </w:tc>
        <w:tc>
          <w:tcPr>
            <w:tcW w:w="645" w:type="pct"/>
            <w:shd w:val="clear" w:color="auto" w:fill="auto"/>
            <w:vAlign w:val="center"/>
          </w:tcPr>
          <w:p w14:paraId="11089ADE" w14:textId="77777777" w:rsidR="00DD122D" w:rsidRPr="0009028A" w:rsidRDefault="00DD122D" w:rsidP="00DD122D">
            <w:pPr>
              <w:spacing w:after="0" w:line="240" w:lineRule="auto"/>
              <w:jc w:val="right"/>
              <w:rPr>
                <w:rFonts w:ascii="Arial" w:eastAsia="Times New Roman" w:hAnsi="Arial" w:cs="Arial"/>
                <w:b/>
                <w:bCs/>
                <w:color w:val="103475"/>
                <w:sz w:val="18"/>
                <w:szCs w:val="14"/>
                <w:u w:val="double"/>
                <w:lang w:eastAsia="es-CO"/>
              </w:rPr>
            </w:pPr>
            <w:r w:rsidRPr="0009028A">
              <w:rPr>
                <w:rFonts w:ascii="Arial" w:eastAsia="Times New Roman" w:hAnsi="Arial" w:cs="Arial"/>
                <w:b/>
                <w:bCs/>
                <w:color w:val="103475"/>
                <w:sz w:val="18"/>
                <w:szCs w:val="14"/>
                <w:u w:val="double"/>
                <w:lang w:eastAsia="es-CO"/>
              </w:rPr>
              <w:t>111.580.141</w:t>
            </w:r>
          </w:p>
        </w:tc>
        <w:tc>
          <w:tcPr>
            <w:tcW w:w="645" w:type="pct"/>
            <w:shd w:val="clear" w:color="auto" w:fill="auto"/>
            <w:vAlign w:val="center"/>
          </w:tcPr>
          <w:p w14:paraId="1229FEBC" w14:textId="77777777" w:rsidR="00DD122D" w:rsidRPr="0009028A" w:rsidRDefault="00DD122D" w:rsidP="00DD122D">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100.179.344</w:t>
            </w:r>
          </w:p>
        </w:tc>
        <w:tc>
          <w:tcPr>
            <w:tcW w:w="644" w:type="pct"/>
            <w:shd w:val="clear" w:color="auto" w:fill="auto"/>
            <w:vAlign w:val="center"/>
          </w:tcPr>
          <w:p w14:paraId="701E1BBB" w14:textId="77777777" w:rsidR="00DD122D" w:rsidRPr="0009028A" w:rsidRDefault="00DD122D" w:rsidP="00DD122D">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100.179.344</w:t>
            </w:r>
          </w:p>
        </w:tc>
      </w:tr>
      <w:tr w:rsidR="00DD122D" w:rsidRPr="0009028A" w14:paraId="2F7B3D1A" w14:textId="77777777" w:rsidTr="00D33764">
        <w:trPr>
          <w:trHeight w:val="155"/>
        </w:trPr>
        <w:tc>
          <w:tcPr>
            <w:tcW w:w="2402" w:type="pct"/>
            <w:shd w:val="clear" w:color="auto" w:fill="auto"/>
            <w:vAlign w:val="center"/>
            <w:hideMark/>
          </w:tcPr>
          <w:p w14:paraId="7341F5FC" w14:textId="77777777" w:rsidR="00DD122D" w:rsidRPr="0009028A" w:rsidRDefault="00DD122D" w:rsidP="00DD122D">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Pasivos financieros</w:t>
            </w:r>
          </w:p>
        </w:tc>
        <w:tc>
          <w:tcPr>
            <w:tcW w:w="665" w:type="pct"/>
            <w:shd w:val="clear" w:color="auto" w:fill="auto"/>
            <w:vAlign w:val="center"/>
          </w:tcPr>
          <w:p w14:paraId="4486AD4C" w14:textId="77777777" w:rsidR="00DD122D" w:rsidRPr="0009028A" w:rsidRDefault="00DD122D" w:rsidP="00DD122D">
            <w:pPr>
              <w:spacing w:after="0" w:line="240" w:lineRule="auto"/>
              <w:jc w:val="right"/>
              <w:rPr>
                <w:rFonts w:ascii="Arial" w:eastAsia="Times New Roman" w:hAnsi="Arial" w:cs="Arial"/>
                <w:color w:val="000000"/>
                <w:sz w:val="18"/>
                <w:szCs w:val="18"/>
                <w:lang w:eastAsia="es-CO"/>
              </w:rPr>
            </w:pPr>
          </w:p>
        </w:tc>
        <w:tc>
          <w:tcPr>
            <w:tcW w:w="645" w:type="pct"/>
            <w:shd w:val="clear" w:color="auto" w:fill="auto"/>
            <w:vAlign w:val="center"/>
          </w:tcPr>
          <w:p w14:paraId="7DB3140C" w14:textId="77777777" w:rsidR="00DD122D" w:rsidRPr="0009028A" w:rsidRDefault="00DD122D" w:rsidP="00DD122D">
            <w:pPr>
              <w:spacing w:after="0" w:line="240" w:lineRule="auto"/>
              <w:jc w:val="right"/>
              <w:rPr>
                <w:rFonts w:ascii="Arial" w:eastAsia="Times New Roman" w:hAnsi="Arial" w:cs="Arial"/>
                <w:color w:val="000000"/>
                <w:sz w:val="18"/>
                <w:szCs w:val="18"/>
                <w:highlight w:val="yellow"/>
                <w:lang w:eastAsia="es-CO"/>
              </w:rPr>
            </w:pPr>
          </w:p>
        </w:tc>
        <w:tc>
          <w:tcPr>
            <w:tcW w:w="645" w:type="pct"/>
            <w:shd w:val="clear" w:color="auto" w:fill="auto"/>
            <w:vAlign w:val="center"/>
          </w:tcPr>
          <w:p w14:paraId="5A150F96" w14:textId="77777777" w:rsidR="00DD122D" w:rsidRPr="0009028A" w:rsidRDefault="00DD122D" w:rsidP="00DD122D">
            <w:pPr>
              <w:spacing w:after="0" w:line="240" w:lineRule="auto"/>
              <w:jc w:val="right"/>
              <w:rPr>
                <w:rFonts w:ascii="Arial" w:eastAsia="Times New Roman" w:hAnsi="Arial" w:cs="Arial"/>
                <w:color w:val="000000"/>
                <w:sz w:val="18"/>
                <w:szCs w:val="18"/>
                <w:lang w:eastAsia="es-CO"/>
              </w:rPr>
            </w:pPr>
          </w:p>
        </w:tc>
        <w:tc>
          <w:tcPr>
            <w:tcW w:w="644" w:type="pct"/>
            <w:shd w:val="clear" w:color="auto" w:fill="auto"/>
            <w:vAlign w:val="center"/>
          </w:tcPr>
          <w:p w14:paraId="7503D7D0" w14:textId="77777777" w:rsidR="00DD122D" w:rsidRPr="0009028A" w:rsidRDefault="00DD122D" w:rsidP="00DD122D">
            <w:pPr>
              <w:spacing w:after="0" w:line="240" w:lineRule="auto"/>
              <w:jc w:val="right"/>
              <w:rPr>
                <w:rFonts w:ascii="Arial" w:eastAsia="Times New Roman" w:hAnsi="Arial" w:cs="Arial"/>
                <w:color w:val="000000"/>
                <w:sz w:val="18"/>
                <w:szCs w:val="18"/>
                <w:highlight w:val="yellow"/>
                <w:lang w:eastAsia="es-CO"/>
              </w:rPr>
            </w:pPr>
          </w:p>
        </w:tc>
      </w:tr>
      <w:tr w:rsidR="00DD122D" w:rsidRPr="0009028A" w14:paraId="7787E345" w14:textId="77777777" w:rsidTr="00D33764">
        <w:trPr>
          <w:trHeight w:val="80"/>
        </w:trPr>
        <w:tc>
          <w:tcPr>
            <w:tcW w:w="2402" w:type="pct"/>
            <w:shd w:val="clear" w:color="auto" w:fill="auto"/>
            <w:vAlign w:val="center"/>
            <w:hideMark/>
          </w:tcPr>
          <w:p w14:paraId="25E3CFB6" w14:textId="77777777" w:rsidR="00DD122D" w:rsidRPr="0009028A" w:rsidRDefault="00DD122D" w:rsidP="00DD122D">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Medidos a costo amortizado</w:t>
            </w:r>
          </w:p>
        </w:tc>
        <w:tc>
          <w:tcPr>
            <w:tcW w:w="665" w:type="pct"/>
            <w:shd w:val="clear" w:color="auto" w:fill="auto"/>
            <w:vAlign w:val="center"/>
          </w:tcPr>
          <w:p w14:paraId="2FA4349D" w14:textId="77777777" w:rsidR="00DD122D" w:rsidRPr="0009028A" w:rsidRDefault="00DD122D" w:rsidP="00DD122D">
            <w:pPr>
              <w:spacing w:after="0" w:line="240" w:lineRule="auto"/>
              <w:jc w:val="right"/>
              <w:rPr>
                <w:rFonts w:ascii="Arial" w:eastAsia="Times New Roman" w:hAnsi="Arial" w:cs="Arial"/>
                <w:color w:val="FF0000"/>
                <w:sz w:val="18"/>
                <w:szCs w:val="18"/>
                <w:lang w:eastAsia="es-CO"/>
              </w:rPr>
            </w:pPr>
          </w:p>
        </w:tc>
        <w:tc>
          <w:tcPr>
            <w:tcW w:w="645" w:type="pct"/>
            <w:shd w:val="clear" w:color="auto" w:fill="auto"/>
            <w:vAlign w:val="center"/>
          </w:tcPr>
          <w:p w14:paraId="4983270D" w14:textId="77777777" w:rsidR="00DD122D" w:rsidRPr="0009028A" w:rsidRDefault="00DD122D" w:rsidP="00DD122D">
            <w:pPr>
              <w:spacing w:after="0" w:line="240" w:lineRule="auto"/>
              <w:jc w:val="right"/>
              <w:rPr>
                <w:rFonts w:ascii="Arial" w:eastAsia="Times New Roman" w:hAnsi="Arial" w:cs="Arial"/>
                <w:color w:val="FF0000"/>
                <w:sz w:val="18"/>
                <w:szCs w:val="18"/>
                <w:lang w:eastAsia="es-CO"/>
              </w:rPr>
            </w:pPr>
          </w:p>
        </w:tc>
        <w:tc>
          <w:tcPr>
            <w:tcW w:w="645" w:type="pct"/>
            <w:shd w:val="clear" w:color="auto" w:fill="auto"/>
            <w:vAlign w:val="center"/>
          </w:tcPr>
          <w:p w14:paraId="477E0A85" w14:textId="77777777" w:rsidR="00DD122D" w:rsidRPr="0009028A" w:rsidRDefault="00DD122D" w:rsidP="00DD122D">
            <w:pPr>
              <w:spacing w:after="0" w:line="240" w:lineRule="auto"/>
              <w:jc w:val="right"/>
              <w:rPr>
                <w:rFonts w:ascii="Arial" w:eastAsia="Times New Roman" w:hAnsi="Arial" w:cs="Arial"/>
                <w:color w:val="FF0000"/>
                <w:sz w:val="18"/>
                <w:szCs w:val="18"/>
                <w:lang w:eastAsia="es-CO"/>
              </w:rPr>
            </w:pPr>
          </w:p>
        </w:tc>
        <w:tc>
          <w:tcPr>
            <w:tcW w:w="644" w:type="pct"/>
            <w:shd w:val="clear" w:color="auto" w:fill="auto"/>
            <w:vAlign w:val="center"/>
          </w:tcPr>
          <w:p w14:paraId="49666044" w14:textId="77777777" w:rsidR="00DD122D" w:rsidRPr="0009028A" w:rsidRDefault="00DD122D" w:rsidP="00DD122D">
            <w:pPr>
              <w:spacing w:after="0" w:line="240" w:lineRule="auto"/>
              <w:jc w:val="right"/>
              <w:rPr>
                <w:rFonts w:ascii="Arial" w:eastAsia="Times New Roman" w:hAnsi="Arial" w:cs="Arial"/>
                <w:color w:val="FF0000"/>
                <w:sz w:val="18"/>
                <w:szCs w:val="18"/>
                <w:lang w:eastAsia="es-CO"/>
              </w:rPr>
            </w:pPr>
          </w:p>
        </w:tc>
      </w:tr>
      <w:tr w:rsidR="00DD122D" w:rsidRPr="0009028A" w14:paraId="48A7C827" w14:textId="77777777" w:rsidTr="00D33764">
        <w:trPr>
          <w:trHeight w:val="60"/>
        </w:trPr>
        <w:tc>
          <w:tcPr>
            <w:tcW w:w="2402" w:type="pct"/>
            <w:shd w:val="clear" w:color="auto" w:fill="auto"/>
            <w:vAlign w:val="center"/>
            <w:hideMark/>
          </w:tcPr>
          <w:p w14:paraId="3326D4B7" w14:textId="77777777" w:rsidR="00DD122D" w:rsidRPr="0009028A" w:rsidRDefault="00DD122D" w:rsidP="00DD122D">
            <w:pPr>
              <w:spacing w:after="0" w:line="240" w:lineRule="auto"/>
              <w:jc w:val="both"/>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Obligaciones financieras (2)</w:t>
            </w:r>
          </w:p>
        </w:tc>
        <w:tc>
          <w:tcPr>
            <w:tcW w:w="665" w:type="pct"/>
            <w:shd w:val="clear" w:color="auto" w:fill="auto"/>
            <w:vAlign w:val="center"/>
          </w:tcPr>
          <w:p w14:paraId="73BB33B0" w14:textId="77777777" w:rsidR="00DD122D" w:rsidRPr="0009028A" w:rsidRDefault="00DD122D" w:rsidP="00DD122D">
            <w:pPr>
              <w:spacing w:after="0" w:line="240" w:lineRule="auto"/>
              <w:jc w:val="right"/>
              <w:rPr>
                <w:rFonts w:ascii="Arial" w:eastAsia="Times New Roman" w:hAnsi="Arial" w:cs="Arial"/>
                <w:color w:val="000000"/>
                <w:sz w:val="18"/>
                <w:szCs w:val="14"/>
                <w:lang w:eastAsia="es-CO"/>
              </w:rPr>
            </w:pPr>
            <w:r w:rsidRPr="0009028A">
              <w:rPr>
                <w:rFonts w:ascii="Arial" w:eastAsia="Times New Roman" w:hAnsi="Arial" w:cs="Arial"/>
                <w:color w:val="000000"/>
                <w:sz w:val="18"/>
                <w:szCs w:val="14"/>
                <w:lang w:eastAsia="es-CO"/>
              </w:rPr>
              <w:t>236.450.983</w:t>
            </w:r>
          </w:p>
        </w:tc>
        <w:tc>
          <w:tcPr>
            <w:tcW w:w="645" w:type="pct"/>
            <w:shd w:val="clear" w:color="auto" w:fill="auto"/>
            <w:vAlign w:val="center"/>
          </w:tcPr>
          <w:p w14:paraId="6FBAE484" w14:textId="77777777" w:rsidR="00DD122D" w:rsidRPr="0009028A" w:rsidRDefault="00DD122D" w:rsidP="00DD122D">
            <w:pPr>
              <w:spacing w:after="0" w:line="240" w:lineRule="auto"/>
              <w:jc w:val="right"/>
              <w:rPr>
                <w:rFonts w:ascii="Arial" w:eastAsia="Times New Roman" w:hAnsi="Arial" w:cs="Arial"/>
                <w:color w:val="000000"/>
                <w:sz w:val="18"/>
                <w:szCs w:val="14"/>
                <w:lang w:eastAsia="es-CO"/>
              </w:rPr>
            </w:pPr>
            <w:r w:rsidRPr="0009028A">
              <w:rPr>
                <w:rFonts w:ascii="Arial" w:eastAsia="Times New Roman" w:hAnsi="Arial" w:cs="Arial"/>
                <w:color w:val="000000"/>
                <w:sz w:val="18"/>
                <w:szCs w:val="14"/>
                <w:lang w:eastAsia="es-CO"/>
              </w:rPr>
              <w:t>236.450.983</w:t>
            </w:r>
          </w:p>
        </w:tc>
        <w:tc>
          <w:tcPr>
            <w:tcW w:w="645" w:type="pct"/>
            <w:shd w:val="clear" w:color="auto" w:fill="auto"/>
            <w:vAlign w:val="center"/>
          </w:tcPr>
          <w:p w14:paraId="6FDD8646" w14:textId="77777777" w:rsidR="00DD122D" w:rsidRPr="0009028A" w:rsidRDefault="00DD122D" w:rsidP="00DD122D">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250.886.597</w:t>
            </w:r>
          </w:p>
        </w:tc>
        <w:tc>
          <w:tcPr>
            <w:tcW w:w="644" w:type="pct"/>
            <w:shd w:val="clear" w:color="auto" w:fill="auto"/>
            <w:vAlign w:val="center"/>
          </w:tcPr>
          <w:p w14:paraId="2075220B" w14:textId="77777777" w:rsidR="00DD122D" w:rsidRPr="0009028A" w:rsidRDefault="00DD122D" w:rsidP="00DD122D">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250.886.597</w:t>
            </w:r>
          </w:p>
        </w:tc>
      </w:tr>
      <w:tr w:rsidR="00DD122D" w:rsidRPr="0009028A" w14:paraId="6244E990" w14:textId="77777777" w:rsidTr="00D33764">
        <w:trPr>
          <w:trHeight w:val="70"/>
        </w:trPr>
        <w:tc>
          <w:tcPr>
            <w:tcW w:w="2402" w:type="pct"/>
            <w:shd w:val="clear" w:color="auto" w:fill="auto"/>
            <w:vAlign w:val="center"/>
            <w:hideMark/>
          </w:tcPr>
          <w:p w14:paraId="67B656EF" w14:textId="74CBE52E" w:rsidR="00DD122D" w:rsidRPr="0009028A" w:rsidRDefault="00D33764" w:rsidP="00DD122D">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Acreedores comerciales</w:t>
            </w:r>
            <w:r w:rsidR="00DD122D" w:rsidRPr="0009028A">
              <w:rPr>
                <w:rFonts w:ascii="Arial" w:eastAsia="Times New Roman" w:hAnsi="Arial" w:cs="Arial"/>
                <w:color w:val="000000"/>
                <w:sz w:val="18"/>
                <w:szCs w:val="18"/>
                <w:lang w:eastAsia="es-CO"/>
              </w:rPr>
              <w:t xml:space="preserve"> y cuentas por pagar (3)</w:t>
            </w:r>
          </w:p>
        </w:tc>
        <w:tc>
          <w:tcPr>
            <w:tcW w:w="665" w:type="pct"/>
            <w:shd w:val="clear" w:color="auto" w:fill="auto"/>
            <w:vAlign w:val="center"/>
          </w:tcPr>
          <w:p w14:paraId="5931F5B3" w14:textId="77777777" w:rsidR="00DD122D" w:rsidRPr="0009028A" w:rsidRDefault="00DD122D" w:rsidP="00DD122D">
            <w:pPr>
              <w:spacing w:after="0" w:line="240" w:lineRule="auto"/>
              <w:jc w:val="right"/>
              <w:rPr>
                <w:rFonts w:ascii="Arial" w:eastAsia="Times New Roman" w:hAnsi="Arial" w:cs="Arial"/>
                <w:color w:val="000000"/>
                <w:sz w:val="18"/>
                <w:szCs w:val="14"/>
                <w:u w:val="single"/>
                <w:lang w:eastAsia="es-CO"/>
              </w:rPr>
            </w:pPr>
            <w:r w:rsidRPr="0009028A">
              <w:rPr>
                <w:rFonts w:ascii="Arial" w:eastAsia="Times New Roman" w:hAnsi="Arial" w:cs="Arial"/>
                <w:color w:val="000000"/>
                <w:sz w:val="18"/>
                <w:szCs w:val="14"/>
                <w:u w:val="single"/>
                <w:lang w:eastAsia="es-CO"/>
              </w:rPr>
              <w:t>106.796.413</w:t>
            </w:r>
          </w:p>
        </w:tc>
        <w:tc>
          <w:tcPr>
            <w:tcW w:w="645" w:type="pct"/>
            <w:shd w:val="clear" w:color="auto" w:fill="auto"/>
            <w:vAlign w:val="center"/>
          </w:tcPr>
          <w:p w14:paraId="6CABBCED" w14:textId="77777777" w:rsidR="00DD122D" w:rsidRPr="0009028A" w:rsidRDefault="00DD122D" w:rsidP="00DD122D">
            <w:pPr>
              <w:spacing w:after="0" w:line="240" w:lineRule="auto"/>
              <w:jc w:val="right"/>
              <w:rPr>
                <w:rFonts w:ascii="Arial" w:eastAsia="Times New Roman" w:hAnsi="Arial" w:cs="Arial"/>
                <w:color w:val="000000"/>
                <w:sz w:val="18"/>
                <w:szCs w:val="14"/>
                <w:u w:val="single"/>
                <w:lang w:eastAsia="es-CO"/>
              </w:rPr>
            </w:pPr>
            <w:r w:rsidRPr="0009028A">
              <w:rPr>
                <w:rFonts w:ascii="Arial" w:eastAsia="Times New Roman" w:hAnsi="Arial" w:cs="Arial"/>
                <w:color w:val="000000"/>
                <w:sz w:val="18"/>
                <w:szCs w:val="14"/>
                <w:u w:val="single"/>
                <w:lang w:eastAsia="es-CO"/>
              </w:rPr>
              <w:t>106.796.413</w:t>
            </w:r>
          </w:p>
        </w:tc>
        <w:tc>
          <w:tcPr>
            <w:tcW w:w="645" w:type="pct"/>
            <w:shd w:val="clear" w:color="auto" w:fill="auto"/>
            <w:vAlign w:val="center"/>
          </w:tcPr>
          <w:p w14:paraId="137BB554" w14:textId="77777777" w:rsidR="00DD122D" w:rsidRPr="0009028A" w:rsidRDefault="00013960" w:rsidP="00DD122D">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 xml:space="preserve">  </w:t>
            </w:r>
            <w:r w:rsidR="00DD122D" w:rsidRPr="0009028A">
              <w:rPr>
                <w:rFonts w:ascii="Arial" w:eastAsia="Times New Roman" w:hAnsi="Arial" w:cs="Arial"/>
                <w:color w:val="000000"/>
                <w:sz w:val="18"/>
                <w:szCs w:val="18"/>
                <w:u w:val="single"/>
                <w:lang w:eastAsia="es-CO"/>
              </w:rPr>
              <w:t>53.588.418</w:t>
            </w:r>
          </w:p>
        </w:tc>
        <w:tc>
          <w:tcPr>
            <w:tcW w:w="644" w:type="pct"/>
            <w:shd w:val="clear" w:color="auto" w:fill="auto"/>
            <w:vAlign w:val="center"/>
          </w:tcPr>
          <w:p w14:paraId="0BE81A48" w14:textId="77777777" w:rsidR="00DD122D" w:rsidRPr="0009028A" w:rsidRDefault="00013960" w:rsidP="00DD122D">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 xml:space="preserve">  </w:t>
            </w:r>
            <w:r w:rsidR="00DD122D" w:rsidRPr="0009028A">
              <w:rPr>
                <w:rFonts w:ascii="Arial" w:eastAsia="Times New Roman" w:hAnsi="Arial" w:cs="Arial"/>
                <w:color w:val="000000"/>
                <w:sz w:val="18"/>
                <w:szCs w:val="18"/>
                <w:u w:val="single"/>
                <w:lang w:eastAsia="es-CO"/>
              </w:rPr>
              <w:t>53.588.418</w:t>
            </w:r>
          </w:p>
        </w:tc>
      </w:tr>
      <w:tr w:rsidR="00DD122D" w:rsidRPr="0009028A" w14:paraId="5B21AC98" w14:textId="77777777" w:rsidTr="00D33764">
        <w:trPr>
          <w:trHeight w:val="70"/>
        </w:trPr>
        <w:tc>
          <w:tcPr>
            <w:tcW w:w="2402" w:type="pct"/>
            <w:shd w:val="clear" w:color="auto" w:fill="auto"/>
            <w:vAlign w:val="center"/>
            <w:hideMark/>
          </w:tcPr>
          <w:p w14:paraId="08C11601" w14:textId="77777777" w:rsidR="00DD122D" w:rsidRPr="0009028A" w:rsidRDefault="00DD122D" w:rsidP="00DD122D">
            <w:pPr>
              <w:spacing w:after="0" w:line="240" w:lineRule="auto"/>
              <w:jc w:val="both"/>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Total pasivos financieros costo amortizado</w:t>
            </w:r>
          </w:p>
        </w:tc>
        <w:tc>
          <w:tcPr>
            <w:tcW w:w="665" w:type="pct"/>
            <w:shd w:val="clear" w:color="auto" w:fill="auto"/>
            <w:vAlign w:val="center"/>
          </w:tcPr>
          <w:p w14:paraId="7275CBEC" w14:textId="77777777" w:rsidR="00DD122D" w:rsidRPr="0009028A" w:rsidRDefault="00013960" w:rsidP="00013960">
            <w:pPr>
              <w:spacing w:after="0" w:line="240" w:lineRule="auto"/>
              <w:jc w:val="right"/>
              <w:rPr>
                <w:rFonts w:ascii="Arial" w:eastAsia="Times New Roman" w:hAnsi="Arial" w:cs="Arial"/>
                <w:b/>
                <w:bCs/>
                <w:color w:val="103475"/>
                <w:sz w:val="18"/>
                <w:szCs w:val="14"/>
                <w:u w:val="double"/>
                <w:lang w:eastAsia="es-CO"/>
              </w:rPr>
            </w:pPr>
            <w:r w:rsidRPr="0009028A">
              <w:rPr>
                <w:rFonts w:ascii="Arial" w:eastAsia="Times New Roman" w:hAnsi="Arial" w:cs="Arial"/>
                <w:b/>
                <w:bCs/>
                <w:color w:val="103475"/>
                <w:sz w:val="18"/>
                <w:szCs w:val="14"/>
                <w:lang w:eastAsia="es-CO"/>
              </w:rPr>
              <w:t>$</w:t>
            </w:r>
            <w:r w:rsidRPr="0009028A">
              <w:rPr>
                <w:rFonts w:ascii="Arial" w:eastAsia="Times New Roman" w:hAnsi="Arial" w:cs="Arial"/>
                <w:b/>
                <w:bCs/>
                <w:color w:val="103475"/>
                <w:sz w:val="18"/>
                <w:szCs w:val="14"/>
                <w:u w:val="double"/>
                <w:lang w:eastAsia="es-CO"/>
              </w:rPr>
              <w:t xml:space="preserve"> </w:t>
            </w:r>
            <w:r w:rsidR="00DD122D" w:rsidRPr="0009028A">
              <w:rPr>
                <w:rFonts w:ascii="Arial" w:eastAsia="Times New Roman" w:hAnsi="Arial" w:cs="Arial"/>
                <w:b/>
                <w:bCs/>
                <w:color w:val="103475"/>
                <w:sz w:val="18"/>
                <w:szCs w:val="14"/>
                <w:u w:val="double"/>
                <w:lang w:eastAsia="es-CO"/>
              </w:rPr>
              <w:t>343.247.396</w:t>
            </w:r>
          </w:p>
        </w:tc>
        <w:tc>
          <w:tcPr>
            <w:tcW w:w="645" w:type="pct"/>
            <w:shd w:val="clear" w:color="auto" w:fill="auto"/>
            <w:vAlign w:val="center"/>
          </w:tcPr>
          <w:p w14:paraId="2C1D1957" w14:textId="77777777" w:rsidR="00DD122D" w:rsidRPr="0009028A" w:rsidRDefault="00DD122D" w:rsidP="00DD122D">
            <w:pPr>
              <w:spacing w:after="0" w:line="240" w:lineRule="auto"/>
              <w:jc w:val="right"/>
              <w:rPr>
                <w:rFonts w:ascii="Arial" w:eastAsia="Times New Roman" w:hAnsi="Arial" w:cs="Arial"/>
                <w:b/>
                <w:bCs/>
                <w:color w:val="103475"/>
                <w:sz w:val="18"/>
                <w:szCs w:val="14"/>
                <w:u w:val="double"/>
                <w:lang w:eastAsia="es-CO"/>
              </w:rPr>
            </w:pPr>
            <w:r w:rsidRPr="0009028A">
              <w:rPr>
                <w:rFonts w:ascii="Arial" w:eastAsia="Times New Roman" w:hAnsi="Arial" w:cs="Arial"/>
                <w:b/>
                <w:bCs/>
                <w:color w:val="103475"/>
                <w:sz w:val="18"/>
                <w:szCs w:val="14"/>
                <w:u w:val="double"/>
                <w:lang w:eastAsia="es-CO"/>
              </w:rPr>
              <w:t>343.247.396</w:t>
            </w:r>
          </w:p>
        </w:tc>
        <w:tc>
          <w:tcPr>
            <w:tcW w:w="645" w:type="pct"/>
            <w:shd w:val="clear" w:color="auto" w:fill="auto"/>
            <w:vAlign w:val="center"/>
          </w:tcPr>
          <w:p w14:paraId="7361FB24" w14:textId="77777777" w:rsidR="00DD122D" w:rsidRPr="0009028A" w:rsidRDefault="00DD122D" w:rsidP="00DD122D">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304.475.015</w:t>
            </w:r>
          </w:p>
        </w:tc>
        <w:tc>
          <w:tcPr>
            <w:tcW w:w="644" w:type="pct"/>
            <w:shd w:val="clear" w:color="auto" w:fill="auto"/>
            <w:vAlign w:val="center"/>
          </w:tcPr>
          <w:p w14:paraId="10EC7A6F" w14:textId="77777777" w:rsidR="00DD122D" w:rsidRPr="0009028A" w:rsidRDefault="00DD122D" w:rsidP="00DD122D">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304.475.015</w:t>
            </w:r>
          </w:p>
        </w:tc>
      </w:tr>
      <w:bookmarkEnd w:id="276"/>
    </w:tbl>
    <w:p w14:paraId="35E72CDE" w14:textId="77777777" w:rsidR="002E3452" w:rsidRPr="0009028A" w:rsidRDefault="002E3452" w:rsidP="00275294">
      <w:pPr>
        <w:spacing w:after="0"/>
        <w:rPr>
          <w:rFonts w:ascii="Arial" w:eastAsia="Arial" w:hAnsi="Arial" w:cs="Arial"/>
          <w:spacing w:val="1"/>
          <w:sz w:val="20"/>
          <w:szCs w:val="20"/>
        </w:rPr>
      </w:pPr>
    </w:p>
    <w:p w14:paraId="51A79FAD" w14:textId="778F5F38" w:rsidR="00190E3E" w:rsidRPr="0009028A" w:rsidRDefault="00190E3E" w:rsidP="00D66D8F">
      <w:pPr>
        <w:pStyle w:val="Prrafodelista"/>
        <w:spacing w:after="0" w:line="240" w:lineRule="auto"/>
        <w:ind w:left="0"/>
        <w:jc w:val="both"/>
        <w:rPr>
          <w:rFonts w:ascii="Arial" w:hAnsi="Arial" w:cs="Arial"/>
          <w:color w:val="000000"/>
          <w:sz w:val="20"/>
          <w:szCs w:val="20"/>
          <w:lang w:val="es-ES"/>
        </w:rPr>
      </w:pPr>
      <w:r w:rsidRPr="0009028A">
        <w:rPr>
          <w:rFonts w:ascii="Arial" w:hAnsi="Arial" w:cs="Arial"/>
          <w:color w:val="000000"/>
          <w:sz w:val="20"/>
          <w:szCs w:val="20"/>
          <w:lang w:val="es-ES"/>
        </w:rPr>
        <w:t>*</w:t>
      </w:r>
      <w:r w:rsidRPr="0009028A">
        <w:rPr>
          <w:rFonts w:ascii="Arial" w:hAnsi="Arial" w:cs="Arial"/>
        </w:rPr>
        <w:t xml:space="preserve"> </w:t>
      </w:r>
      <w:r w:rsidR="00990301" w:rsidRPr="00D769A6">
        <w:rPr>
          <w:rFonts w:ascii="Arial" w:hAnsi="Arial" w:cs="Arial"/>
          <w:sz w:val="20"/>
          <w:szCs w:val="20"/>
        </w:rPr>
        <w:t xml:space="preserve">El incremento </w:t>
      </w:r>
      <w:r w:rsidR="00EC78E4" w:rsidRPr="00D769A6">
        <w:rPr>
          <w:rFonts w:ascii="Arial" w:hAnsi="Arial" w:cs="Arial"/>
          <w:color w:val="000000"/>
          <w:sz w:val="20"/>
          <w:szCs w:val="20"/>
          <w:lang w:val="es-ES"/>
        </w:rPr>
        <w:t>en l</w:t>
      </w:r>
      <w:r w:rsidR="00D33764" w:rsidRPr="00D769A6">
        <w:rPr>
          <w:rFonts w:ascii="Arial" w:hAnsi="Arial" w:cs="Arial"/>
          <w:color w:val="000000"/>
          <w:sz w:val="20"/>
          <w:szCs w:val="20"/>
          <w:lang w:val="es-ES"/>
        </w:rPr>
        <w:t>o</w:t>
      </w:r>
      <w:r w:rsidR="00EC78E4" w:rsidRPr="00D769A6">
        <w:rPr>
          <w:rFonts w:ascii="Arial" w:hAnsi="Arial" w:cs="Arial"/>
          <w:color w:val="000000"/>
          <w:sz w:val="20"/>
          <w:szCs w:val="20"/>
          <w:lang w:val="es-ES"/>
        </w:rPr>
        <w:t xml:space="preserve">s </w:t>
      </w:r>
      <w:r w:rsidR="00D33764" w:rsidRPr="00D769A6">
        <w:rPr>
          <w:rFonts w:ascii="Arial" w:hAnsi="Arial" w:cs="Arial"/>
          <w:color w:val="000000"/>
          <w:sz w:val="20"/>
          <w:szCs w:val="20"/>
          <w:lang w:val="es-ES"/>
        </w:rPr>
        <w:t>otros activos financieros</w:t>
      </w:r>
      <w:r w:rsidRPr="00D769A6">
        <w:rPr>
          <w:rFonts w:ascii="Arial" w:hAnsi="Arial" w:cs="Arial"/>
          <w:color w:val="000000"/>
          <w:sz w:val="20"/>
          <w:szCs w:val="20"/>
          <w:lang w:val="es-ES"/>
        </w:rPr>
        <w:t xml:space="preserve"> consiste</w:t>
      </w:r>
      <w:r w:rsidR="000C5818" w:rsidRPr="00D769A6">
        <w:rPr>
          <w:rFonts w:ascii="Arial" w:hAnsi="Arial" w:cs="Arial"/>
          <w:color w:val="000000"/>
          <w:sz w:val="20"/>
          <w:szCs w:val="20"/>
          <w:lang w:val="es-ES"/>
        </w:rPr>
        <w:t xml:space="preserve"> principalmente</w:t>
      </w:r>
      <w:r w:rsidR="00990301" w:rsidRPr="00D769A6">
        <w:rPr>
          <w:rFonts w:ascii="Arial" w:hAnsi="Arial" w:cs="Arial"/>
          <w:color w:val="000000"/>
          <w:sz w:val="20"/>
          <w:szCs w:val="20"/>
          <w:lang w:val="es-ES"/>
        </w:rPr>
        <w:t xml:space="preserve"> en </w:t>
      </w:r>
      <w:r w:rsidRPr="00D769A6">
        <w:rPr>
          <w:rFonts w:ascii="Arial" w:hAnsi="Arial" w:cs="Arial"/>
          <w:color w:val="000000"/>
          <w:sz w:val="20"/>
          <w:szCs w:val="20"/>
          <w:lang w:val="es-ES"/>
        </w:rPr>
        <w:t>l</w:t>
      </w:r>
      <w:r w:rsidR="00990301" w:rsidRPr="00D769A6">
        <w:rPr>
          <w:rFonts w:ascii="Arial" w:hAnsi="Arial" w:cs="Arial"/>
          <w:color w:val="000000"/>
          <w:sz w:val="20"/>
          <w:szCs w:val="20"/>
          <w:lang w:val="es-ES"/>
        </w:rPr>
        <w:t xml:space="preserve">a valoración de la inversión de las acciones de Fabricato </w:t>
      </w:r>
      <w:r w:rsidRPr="00D769A6">
        <w:rPr>
          <w:rFonts w:ascii="Arial" w:hAnsi="Arial" w:cs="Arial"/>
          <w:color w:val="000000"/>
          <w:sz w:val="20"/>
          <w:szCs w:val="20"/>
          <w:lang w:val="es-ES"/>
        </w:rPr>
        <w:t>por</w:t>
      </w:r>
      <w:r w:rsidR="000C5818" w:rsidRPr="00D769A6">
        <w:rPr>
          <w:rFonts w:ascii="Arial" w:hAnsi="Arial" w:cs="Arial"/>
          <w:color w:val="000000"/>
          <w:sz w:val="20"/>
          <w:szCs w:val="20"/>
          <w:lang w:val="es-ES"/>
        </w:rPr>
        <w:t xml:space="preserve"> $</w:t>
      </w:r>
      <w:r w:rsidR="00E63B0D" w:rsidRPr="00D769A6">
        <w:rPr>
          <w:rFonts w:ascii="Arial" w:hAnsi="Arial" w:cs="Arial"/>
          <w:color w:val="000000"/>
          <w:sz w:val="20"/>
          <w:szCs w:val="20"/>
          <w:lang w:val="es-ES"/>
        </w:rPr>
        <w:t>37.303 d</w:t>
      </w:r>
      <w:r w:rsidR="00EC78E4" w:rsidRPr="00D769A6">
        <w:rPr>
          <w:rFonts w:ascii="Arial" w:hAnsi="Arial" w:cs="Arial"/>
          <w:color w:val="000000"/>
          <w:sz w:val="20"/>
          <w:szCs w:val="20"/>
          <w:lang w:val="es-ES"/>
        </w:rPr>
        <w:t>urante</w:t>
      </w:r>
      <w:r w:rsidRPr="00D769A6">
        <w:rPr>
          <w:rFonts w:ascii="Arial" w:hAnsi="Arial" w:cs="Arial"/>
          <w:color w:val="000000"/>
          <w:sz w:val="20"/>
          <w:szCs w:val="20"/>
          <w:lang w:val="es-ES"/>
        </w:rPr>
        <w:t xml:space="preserve"> </w:t>
      </w:r>
      <w:r w:rsidR="00EC78E4" w:rsidRPr="00D769A6">
        <w:rPr>
          <w:rFonts w:ascii="Arial" w:hAnsi="Arial" w:cs="Arial"/>
          <w:color w:val="000000"/>
          <w:sz w:val="20"/>
          <w:szCs w:val="20"/>
          <w:lang w:val="es-ES"/>
        </w:rPr>
        <w:t>e</w:t>
      </w:r>
      <w:r w:rsidRPr="00D769A6">
        <w:rPr>
          <w:rFonts w:ascii="Arial" w:hAnsi="Arial" w:cs="Arial"/>
          <w:color w:val="000000"/>
          <w:sz w:val="20"/>
          <w:szCs w:val="20"/>
          <w:lang w:val="es-ES"/>
        </w:rPr>
        <w:t xml:space="preserve">l periodo enero a </w:t>
      </w:r>
      <w:r w:rsidR="00990301" w:rsidRPr="00D769A6">
        <w:rPr>
          <w:rFonts w:ascii="Arial" w:hAnsi="Arial" w:cs="Arial"/>
          <w:color w:val="000000"/>
          <w:sz w:val="20"/>
          <w:szCs w:val="20"/>
          <w:lang w:val="es-ES"/>
        </w:rPr>
        <w:t>marzo de 2019</w:t>
      </w:r>
      <w:r w:rsidRPr="00D769A6">
        <w:rPr>
          <w:rFonts w:ascii="Arial" w:hAnsi="Arial" w:cs="Arial"/>
          <w:color w:val="000000"/>
          <w:sz w:val="20"/>
          <w:szCs w:val="20"/>
          <w:lang w:val="es-ES"/>
        </w:rPr>
        <w:t>.</w:t>
      </w:r>
    </w:p>
    <w:p w14:paraId="26A59F4E" w14:textId="77777777" w:rsidR="00190E3E" w:rsidRPr="0009028A" w:rsidRDefault="00190E3E" w:rsidP="00D66D8F">
      <w:pPr>
        <w:pStyle w:val="Prrafodelista"/>
        <w:spacing w:after="0" w:line="240" w:lineRule="auto"/>
        <w:ind w:left="0"/>
        <w:jc w:val="both"/>
        <w:rPr>
          <w:rFonts w:ascii="Arial" w:hAnsi="Arial" w:cs="Arial"/>
          <w:color w:val="000000"/>
          <w:sz w:val="20"/>
          <w:szCs w:val="20"/>
          <w:highlight w:val="yellow"/>
          <w:lang w:val="es-ES"/>
        </w:rPr>
      </w:pPr>
    </w:p>
    <w:p w14:paraId="3ADD4143" w14:textId="77777777" w:rsidR="00AE3322" w:rsidRPr="0009028A" w:rsidRDefault="002E3452" w:rsidP="00D66D8F">
      <w:pPr>
        <w:pStyle w:val="Prrafodelista"/>
        <w:spacing w:after="0" w:line="240" w:lineRule="auto"/>
        <w:ind w:left="0"/>
        <w:jc w:val="both"/>
        <w:rPr>
          <w:rFonts w:ascii="Arial" w:hAnsi="Arial" w:cs="Arial"/>
          <w:color w:val="000000"/>
          <w:sz w:val="20"/>
          <w:szCs w:val="20"/>
          <w:lang w:val="es-ES"/>
        </w:rPr>
      </w:pPr>
      <w:r w:rsidRPr="0009028A">
        <w:rPr>
          <w:rFonts w:ascii="Arial" w:hAnsi="Arial" w:cs="Arial"/>
          <w:color w:val="000000"/>
          <w:sz w:val="20"/>
          <w:szCs w:val="20"/>
          <w:lang w:val="es-ES"/>
        </w:rPr>
        <w:t xml:space="preserve">En el numeral </w:t>
      </w:r>
      <w:r w:rsidR="0093217D" w:rsidRPr="0009028A">
        <w:rPr>
          <w:rFonts w:ascii="Arial" w:hAnsi="Arial" w:cs="Arial"/>
          <w:color w:val="000000"/>
          <w:sz w:val="20"/>
          <w:szCs w:val="20"/>
          <w:lang w:val="es-ES"/>
        </w:rPr>
        <w:t>6.2</w:t>
      </w:r>
      <w:r w:rsidRPr="0009028A">
        <w:rPr>
          <w:rFonts w:ascii="Arial" w:hAnsi="Arial" w:cs="Arial"/>
          <w:color w:val="000000"/>
          <w:sz w:val="20"/>
          <w:szCs w:val="20"/>
          <w:lang w:val="es-ES"/>
        </w:rPr>
        <w:t>, de acuerdo con la</w:t>
      </w:r>
      <w:r w:rsidR="00FA3977" w:rsidRPr="0009028A">
        <w:rPr>
          <w:rFonts w:ascii="Arial" w:hAnsi="Arial" w:cs="Arial"/>
          <w:color w:val="000000"/>
          <w:sz w:val="20"/>
          <w:szCs w:val="20"/>
          <w:lang w:val="es-ES"/>
        </w:rPr>
        <w:t>s</w:t>
      </w:r>
      <w:r w:rsidRPr="0009028A">
        <w:rPr>
          <w:rFonts w:ascii="Arial" w:hAnsi="Arial" w:cs="Arial"/>
          <w:color w:val="000000"/>
          <w:sz w:val="20"/>
          <w:szCs w:val="20"/>
          <w:lang w:val="es-ES"/>
        </w:rPr>
        <w:t xml:space="preserve"> referenciac</w:t>
      </w:r>
      <w:r w:rsidR="00FA3977" w:rsidRPr="0009028A">
        <w:rPr>
          <w:rFonts w:ascii="Arial" w:hAnsi="Arial" w:cs="Arial"/>
          <w:color w:val="000000"/>
          <w:sz w:val="20"/>
          <w:szCs w:val="20"/>
          <w:lang w:val="es-ES"/>
        </w:rPr>
        <w:t>iones</w:t>
      </w:r>
      <w:r w:rsidRPr="0009028A">
        <w:rPr>
          <w:rFonts w:ascii="Arial" w:hAnsi="Arial" w:cs="Arial"/>
          <w:color w:val="000000"/>
          <w:sz w:val="20"/>
          <w:szCs w:val="20"/>
          <w:lang w:val="es-ES"/>
        </w:rPr>
        <w:t xml:space="preserve"> número (1), (2), (3)</w:t>
      </w:r>
      <w:r w:rsidR="00E10C0E" w:rsidRPr="0009028A">
        <w:rPr>
          <w:rFonts w:ascii="Arial" w:hAnsi="Arial" w:cs="Arial"/>
          <w:color w:val="000000"/>
          <w:sz w:val="20"/>
          <w:szCs w:val="20"/>
          <w:lang w:val="es-ES"/>
        </w:rPr>
        <w:t xml:space="preserve"> y</w:t>
      </w:r>
      <w:r w:rsidR="0049287F" w:rsidRPr="0009028A">
        <w:rPr>
          <w:rFonts w:ascii="Arial" w:hAnsi="Arial" w:cs="Arial"/>
          <w:color w:val="000000"/>
          <w:sz w:val="20"/>
          <w:szCs w:val="20"/>
          <w:lang w:val="es-ES"/>
        </w:rPr>
        <w:t xml:space="preserve"> </w:t>
      </w:r>
      <w:r w:rsidRPr="0009028A">
        <w:rPr>
          <w:rFonts w:ascii="Arial" w:hAnsi="Arial" w:cs="Arial"/>
          <w:color w:val="000000"/>
          <w:sz w:val="20"/>
          <w:szCs w:val="20"/>
          <w:lang w:val="es-ES"/>
        </w:rPr>
        <w:t>(4)</w:t>
      </w:r>
      <w:r w:rsidR="00E10C0E" w:rsidRPr="0009028A">
        <w:rPr>
          <w:rFonts w:ascii="Arial" w:hAnsi="Arial" w:cs="Arial"/>
          <w:color w:val="000000"/>
          <w:sz w:val="20"/>
          <w:szCs w:val="20"/>
          <w:lang w:val="es-ES"/>
        </w:rPr>
        <w:t>,</w:t>
      </w:r>
      <w:r w:rsidRPr="0009028A">
        <w:rPr>
          <w:rFonts w:ascii="Arial" w:hAnsi="Arial" w:cs="Arial"/>
          <w:color w:val="000000"/>
          <w:sz w:val="20"/>
          <w:szCs w:val="20"/>
          <w:lang w:val="es-ES"/>
        </w:rPr>
        <w:t xml:space="preserve"> se describen las variables significativas de valoración para cada uno de los instrumentos descritos anteriormente</w:t>
      </w:r>
      <w:r w:rsidR="00F61ADB" w:rsidRPr="0009028A">
        <w:rPr>
          <w:rFonts w:ascii="Arial" w:hAnsi="Arial" w:cs="Arial"/>
          <w:color w:val="000000"/>
          <w:sz w:val="20"/>
          <w:szCs w:val="20"/>
          <w:lang w:val="es-ES"/>
        </w:rPr>
        <w:t>.</w:t>
      </w:r>
    </w:p>
    <w:p w14:paraId="551D7D95" w14:textId="73C9095F" w:rsidR="006F2774" w:rsidRPr="0009028A" w:rsidRDefault="006F2774" w:rsidP="00D66D8F">
      <w:pPr>
        <w:pStyle w:val="Prrafodelista"/>
        <w:spacing w:after="0" w:line="240" w:lineRule="auto"/>
        <w:ind w:left="0"/>
        <w:jc w:val="both"/>
        <w:rPr>
          <w:rFonts w:ascii="Arial" w:hAnsi="Arial" w:cs="Arial"/>
          <w:color w:val="000000"/>
          <w:sz w:val="20"/>
          <w:szCs w:val="20"/>
          <w:lang w:val="es-ES"/>
        </w:rPr>
      </w:pPr>
    </w:p>
    <w:p w14:paraId="0C7C153E" w14:textId="77777777" w:rsidR="008D04BF" w:rsidRPr="0009028A" w:rsidRDefault="008D04BF" w:rsidP="008C7EE5">
      <w:pPr>
        <w:pStyle w:val="Ttulo2"/>
        <w:spacing w:afterAutospacing="0"/>
        <w:rPr>
          <w:rFonts w:ascii="Arial" w:hAnsi="Arial" w:cs="Arial"/>
        </w:rPr>
      </w:pPr>
      <w:bookmarkStart w:id="277" w:name="_Toc8735094"/>
      <w:r w:rsidRPr="0009028A">
        <w:rPr>
          <w:rFonts w:ascii="Arial" w:hAnsi="Arial" w:cs="Arial"/>
        </w:rPr>
        <w:t>6.2 Descripción de las variables significativas de la valoración</w:t>
      </w:r>
      <w:bookmarkEnd w:id="277"/>
    </w:p>
    <w:p w14:paraId="0F47A7C5" w14:textId="77777777" w:rsidR="008D04BF" w:rsidRPr="0009028A" w:rsidRDefault="008D04BF" w:rsidP="00275294">
      <w:pPr>
        <w:spacing w:after="0"/>
        <w:rPr>
          <w:rFonts w:ascii="Arial" w:eastAsia="Arial" w:hAnsi="Arial" w:cs="Arial"/>
          <w:spacing w:val="1"/>
          <w:sz w:val="20"/>
          <w:szCs w:val="20"/>
        </w:rPr>
      </w:pPr>
    </w:p>
    <w:p w14:paraId="4AFBE58A" w14:textId="77777777" w:rsidR="005103AA" w:rsidRPr="0009028A" w:rsidRDefault="005265B8" w:rsidP="00275294">
      <w:pPr>
        <w:spacing w:after="0"/>
        <w:rPr>
          <w:rFonts w:ascii="Arial" w:hAnsi="Arial" w:cs="Arial"/>
          <w:color w:val="000000"/>
          <w:sz w:val="20"/>
          <w:szCs w:val="20"/>
          <w:lang w:val="es-ES"/>
        </w:rPr>
      </w:pPr>
      <w:r w:rsidRPr="0009028A">
        <w:rPr>
          <w:rFonts w:ascii="Arial" w:hAnsi="Arial" w:cs="Arial"/>
          <w:color w:val="000000"/>
          <w:sz w:val="20"/>
          <w:szCs w:val="20"/>
          <w:lang w:val="es-ES"/>
        </w:rPr>
        <w:t>Las variables significativas utilizadas en la medición del valor razonable de los instrumentos fina</w:t>
      </w:r>
      <w:r w:rsidR="003C2EAB" w:rsidRPr="0009028A">
        <w:rPr>
          <w:rFonts w:ascii="Arial" w:hAnsi="Arial" w:cs="Arial"/>
          <w:color w:val="000000"/>
          <w:sz w:val="20"/>
          <w:szCs w:val="20"/>
          <w:lang w:val="es-ES"/>
        </w:rPr>
        <w:t>ncieros a 3</w:t>
      </w:r>
      <w:r w:rsidR="00A43D62" w:rsidRPr="0009028A">
        <w:rPr>
          <w:rFonts w:ascii="Arial" w:hAnsi="Arial" w:cs="Arial"/>
          <w:color w:val="000000"/>
          <w:sz w:val="20"/>
          <w:szCs w:val="20"/>
          <w:lang w:val="es-ES"/>
        </w:rPr>
        <w:t>1</w:t>
      </w:r>
      <w:r w:rsidR="003C2EAB" w:rsidRPr="0009028A">
        <w:rPr>
          <w:rFonts w:ascii="Arial" w:hAnsi="Arial" w:cs="Arial"/>
          <w:color w:val="000000"/>
          <w:sz w:val="20"/>
          <w:szCs w:val="20"/>
          <w:lang w:val="es-ES"/>
        </w:rPr>
        <w:t xml:space="preserve"> de</w:t>
      </w:r>
      <w:r w:rsidR="00D65AD6" w:rsidRPr="0009028A">
        <w:rPr>
          <w:rFonts w:ascii="Arial" w:hAnsi="Arial" w:cs="Arial"/>
          <w:color w:val="000000"/>
          <w:sz w:val="20"/>
          <w:szCs w:val="20"/>
          <w:lang w:val="es-ES"/>
        </w:rPr>
        <w:t xml:space="preserve"> </w:t>
      </w:r>
      <w:r w:rsidR="00A43D62" w:rsidRPr="0009028A">
        <w:rPr>
          <w:rFonts w:ascii="Arial" w:hAnsi="Arial" w:cs="Arial"/>
          <w:color w:val="000000"/>
          <w:sz w:val="20"/>
          <w:szCs w:val="20"/>
          <w:lang w:val="es-ES"/>
        </w:rPr>
        <w:t>marzo</w:t>
      </w:r>
      <w:r w:rsidRPr="0009028A">
        <w:rPr>
          <w:rFonts w:ascii="Arial" w:hAnsi="Arial" w:cs="Arial"/>
          <w:color w:val="000000"/>
          <w:sz w:val="20"/>
          <w:szCs w:val="20"/>
          <w:lang w:val="es-ES"/>
        </w:rPr>
        <w:t xml:space="preserve"> de 201</w:t>
      </w:r>
      <w:r w:rsidR="00A43D62" w:rsidRPr="0009028A">
        <w:rPr>
          <w:rFonts w:ascii="Arial" w:hAnsi="Arial" w:cs="Arial"/>
          <w:color w:val="000000"/>
          <w:sz w:val="20"/>
          <w:szCs w:val="20"/>
          <w:lang w:val="es-ES"/>
        </w:rPr>
        <w:t>9</w:t>
      </w:r>
      <w:r w:rsidRPr="0009028A">
        <w:rPr>
          <w:rFonts w:ascii="Arial" w:hAnsi="Arial" w:cs="Arial"/>
          <w:color w:val="000000"/>
          <w:sz w:val="20"/>
          <w:szCs w:val="20"/>
          <w:lang w:val="es-ES"/>
        </w:rPr>
        <w:t xml:space="preserve"> se muestran a continuación:</w:t>
      </w:r>
    </w:p>
    <w:p w14:paraId="3CA1C915" w14:textId="77777777" w:rsidR="005265B8" w:rsidRPr="0009028A" w:rsidRDefault="005265B8" w:rsidP="00275294">
      <w:pPr>
        <w:spacing w:after="0"/>
        <w:rPr>
          <w:rFonts w:ascii="Arial" w:eastAsia="Arial" w:hAnsi="Arial" w:cs="Arial"/>
          <w:spacing w:val="1"/>
          <w:sz w:val="20"/>
          <w:szCs w:val="20"/>
        </w:rPr>
      </w:pPr>
    </w:p>
    <w:tbl>
      <w:tblPr>
        <w:tblW w:w="5000" w:type="pct"/>
        <w:tblCellMar>
          <w:left w:w="70" w:type="dxa"/>
          <w:right w:w="70" w:type="dxa"/>
        </w:tblCellMar>
        <w:tblLook w:val="04A0" w:firstRow="1" w:lastRow="0" w:firstColumn="1" w:lastColumn="0" w:noHBand="0" w:noVBand="1"/>
      </w:tblPr>
      <w:tblGrid>
        <w:gridCol w:w="2897"/>
        <w:gridCol w:w="1093"/>
        <w:gridCol w:w="2357"/>
        <w:gridCol w:w="1286"/>
        <w:gridCol w:w="2288"/>
      </w:tblGrid>
      <w:tr w:rsidR="002E3452" w:rsidRPr="0009028A" w14:paraId="61B2C9C5" w14:textId="77777777" w:rsidTr="00013960">
        <w:trPr>
          <w:trHeight w:val="20"/>
        </w:trPr>
        <w:tc>
          <w:tcPr>
            <w:tcW w:w="1460" w:type="pct"/>
            <w:shd w:val="clear" w:color="auto" w:fill="auto"/>
            <w:vAlign w:val="center"/>
            <w:hideMark/>
          </w:tcPr>
          <w:p w14:paraId="25ABFE53" w14:textId="77777777" w:rsidR="002E3452" w:rsidRPr="0009028A" w:rsidRDefault="002E3452" w:rsidP="00AA6844">
            <w:pPr>
              <w:spacing w:after="0" w:line="240" w:lineRule="auto"/>
              <w:jc w:val="both"/>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w:t>
            </w:r>
          </w:p>
        </w:tc>
        <w:tc>
          <w:tcPr>
            <w:tcW w:w="551" w:type="pct"/>
            <w:shd w:val="clear" w:color="auto" w:fill="auto"/>
            <w:vAlign w:val="center"/>
            <w:hideMark/>
          </w:tcPr>
          <w:p w14:paraId="52488BDF" w14:textId="77777777" w:rsidR="002E3452" w:rsidRPr="0009028A" w:rsidRDefault="002E3452" w:rsidP="00AA6844">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Nivel Jerarquía</w:t>
            </w:r>
          </w:p>
        </w:tc>
        <w:tc>
          <w:tcPr>
            <w:tcW w:w="1188" w:type="pct"/>
            <w:shd w:val="clear" w:color="auto" w:fill="auto"/>
            <w:vAlign w:val="center"/>
            <w:hideMark/>
          </w:tcPr>
          <w:p w14:paraId="442ABC0F" w14:textId="77777777" w:rsidR="002E3452" w:rsidRPr="0009028A" w:rsidRDefault="002E3452" w:rsidP="00AA6844">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Técnica de valoración</w:t>
            </w:r>
          </w:p>
        </w:tc>
        <w:tc>
          <w:tcPr>
            <w:tcW w:w="648" w:type="pct"/>
            <w:shd w:val="clear" w:color="auto" w:fill="auto"/>
            <w:vAlign w:val="center"/>
            <w:hideMark/>
          </w:tcPr>
          <w:p w14:paraId="367D6151" w14:textId="77777777" w:rsidR="002E3452" w:rsidRPr="0009028A" w:rsidRDefault="002E3452" w:rsidP="00AA6844">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Descripción técnica de valoración</w:t>
            </w:r>
          </w:p>
        </w:tc>
        <w:tc>
          <w:tcPr>
            <w:tcW w:w="1153" w:type="pct"/>
            <w:shd w:val="clear" w:color="auto" w:fill="auto"/>
            <w:vAlign w:val="center"/>
            <w:hideMark/>
          </w:tcPr>
          <w:p w14:paraId="030B406A" w14:textId="77777777" w:rsidR="002E3452" w:rsidRPr="0009028A" w:rsidRDefault="002E3452" w:rsidP="00AA6844">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Variables significativas</w:t>
            </w:r>
          </w:p>
        </w:tc>
      </w:tr>
      <w:tr w:rsidR="002E3452" w:rsidRPr="0009028A" w14:paraId="14BE9AF7" w14:textId="77777777" w:rsidTr="00013960">
        <w:trPr>
          <w:trHeight w:val="20"/>
        </w:trPr>
        <w:tc>
          <w:tcPr>
            <w:tcW w:w="1460" w:type="pct"/>
            <w:shd w:val="clear" w:color="auto" w:fill="auto"/>
            <w:vAlign w:val="center"/>
            <w:hideMark/>
          </w:tcPr>
          <w:p w14:paraId="22F36B4E" w14:textId="77777777" w:rsidR="002E3452" w:rsidRPr="0009028A" w:rsidRDefault="002E3452" w:rsidP="00AA6844">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Activos financieros</w:t>
            </w:r>
          </w:p>
        </w:tc>
        <w:tc>
          <w:tcPr>
            <w:tcW w:w="551" w:type="pct"/>
            <w:shd w:val="clear" w:color="auto" w:fill="auto"/>
            <w:vAlign w:val="center"/>
            <w:hideMark/>
          </w:tcPr>
          <w:p w14:paraId="6F68468E" w14:textId="77777777" w:rsidR="002E3452" w:rsidRPr="0009028A" w:rsidRDefault="002E3452" w:rsidP="00AA6844">
            <w:pPr>
              <w:spacing w:after="0" w:line="240" w:lineRule="auto"/>
              <w:rPr>
                <w:rFonts w:ascii="Arial" w:eastAsia="Times New Roman" w:hAnsi="Arial" w:cs="Arial"/>
                <w:b/>
                <w:bCs/>
                <w:color w:val="000000"/>
                <w:sz w:val="18"/>
                <w:szCs w:val="18"/>
                <w:u w:val="single"/>
                <w:lang w:eastAsia="es-CO"/>
              </w:rPr>
            </w:pPr>
          </w:p>
        </w:tc>
        <w:tc>
          <w:tcPr>
            <w:tcW w:w="1188" w:type="pct"/>
            <w:shd w:val="clear" w:color="auto" w:fill="auto"/>
            <w:vAlign w:val="center"/>
            <w:hideMark/>
          </w:tcPr>
          <w:p w14:paraId="0E67B0C5" w14:textId="77777777" w:rsidR="002E3452" w:rsidRPr="0009028A" w:rsidRDefault="002E3452" w:rsidP="00AA6844">
            <w:pPr>
              <w:spacing w:after="0" w:line="240" w:lineRule="auto"/>
              <w:jc w:val="both"/>
              <w:rPr>
                <w:rFonts w:ascii="Arial" w:eastAsia="Times New Roman" w:hAnsi="Arial" w:cs="Arial"/>
                <w:sz w:val="18"/>
                <w:szCs w:val="18"/>
                <w:lang w:eastAsia="es-CO"/>
              </w:rPr>
            </w:pPr>
          </w:p>
        </w:tc>
        <w:tc>
          <w:tcPr>
            <w:tcW w:w="648" w:type="pct"/>
            <w:shd w:val="clear" w:color="auto" w:fill="auto"/>
            <w:vAlign w:val="center"/>
            <w:hideMark/>
          </w:tcPr>
          <w:p w14:paraId="3AF540B8" w14:textId="77777777" w:rsidR="002E3452" w:rsidRPr="0009028A" w:rsidRDefault="002E3452" w:rsidP="00AA6844">
            <w:pPr>
              <w:spacing w:after="0" w:line="240" w:lineRule="auto"/>
              <w:jc w:val="both"/>
              <w:rPr>
                <w:rFonts w:ascii="Arial" w:eastAsia="Times New Roman" w:hAnsi="Arial" w:cs="Arial"/>
                <w:sz w:val="18"/>
                <w:szCs w:val="18"/>
                <w:lang w:eastAsia="es-CO"/>
              </w:rPr>
            </w:pPr>
          </w:p>
        </w:tc>
        <w:tc>
          <w:tcPr>
            <w:tcW w:w="1153" w:type="pct"/>
            <w:shd w:val="clear" w:color="auto" w:fill="auto"/>
            <w:vAlign w:val="center"/>
            <w:hideMark/>
          </w:tcPr>
          <w:p w14:paraId="6DC0B3CC" w14:textId="77777777" w:rsidR="002E3452" w:rsidRPr="0009028A" w:rsidRDefault="002E3452" w:rsidP="00AA6844">
            <w:pPr>
              <w:spacing w:after="0" w:line="240" w:lineRule="auto"/>
              <w:jc w:val="center"/>
              <w:rPr>
                <w:rFonts w:ascii="Arial" w:eastAsia="Times New Roman" w:hAnsi="Arial" w:cs="Arial"/>
                <w:sz w:val="18"/>
                <w:szCs w:val="18"/>
                <w:lang w:eastAsia="es-CO"/>
              </w:rPr>
            </w:pPr>
          </w:p>
        </w:tc>
      </w:tr>
      <w:tr w:rsidR="002E3452" w:rsidRPr="0009028A" w14:paraId="51C5871A" w14:textId="77777777" w:rsidTr="00013960">
        <w:trPr>
          <w:trHeight w:val="20"/>
        </w:trPr>
        <w:tc>
          <w:tcPr>
            <w:tcW w:w="1460" w:type="pct"/>
            <w:shd w:val="clear" w:color="auto" w:fill="auto"/>
            <w:vAlign w:val="center"/>
            <w:hideMark/>
          </w:tcPr>
          <w:p w14:paraId="6F4BA0F6" w14:textId="77777777" w:rsidR="002E3452" w:rsidRPr="0009028A" w:rsidRDefault="002E3452" w:rsidP="00AA6844">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Medidos a valor razonable con cambios en ORI</w:t>
            </w:r>
          </w:p>
        </w:tc>
        <w:tc>
          <w:tcPr>
            <w:tcW w:w="551" w:type="pct"/>
            <w:shd w:val="clear" w:color="auto" w:fill="auto"/>
            <w:vAlign w:val="center"/>
            <w:hideMark/>
          </w:tcPr>
          <w:p w14:paraId="436AF627" w14:textId="77777777" w:rsidR="002E3452" w:rsidRPr="0009028A" w:rsidRDefault="002E3452" w:rsidP="00AA6844">
            <w:pPr>
              <w:spacing w:after="0" w:line="240" w:lineRule="auto"/>
              <w:rPr>
                <w:rFonts w:ascii="Arial" w:eastAsia="Times New Roman" w:hAnsi="Arial" w:cs="Arial"/>
                <w:b/>
                <w:bCs/>
                <w:color w:val="000000"/>
                <w:sz w:val="18"/>
                <w:szCs w:val="18"/>
                <w:lang w:eastAsia="es-CO"/>
              </w:rPr>
            </w:pPr>
          </w:p>
        </w:tc>
        <w:tc>
          <w:tcPr>
            <w:tcW w:w="1188" w:type="pct"/>
            <w:shd w:val="clear" w:color="auto" w:fill="auto"/>
            <w:vAlign w:val="center"/>
            <w:hideMark/>
          </w:tcPr>
          <w:p w14:paraId="79720883" w14:textId="77777777" w:rsidR="002E3452" w:rsidRPr="0009028A" w:rsidRDefault="002E3452" w:rsidP="00AA6844">
            <w:pPr>
              <w:spacing w:after="0" w:line="240" w:lineRule="auto"/>
              <w:jc w:val="center"/>
              <w:rPr>
                <w:rFonts w:ascii="Arial" w:eastAsia="Times New Roman" w:hAnsi="Arial" w:cs="Arial"/>
                <w:sz w:val="18"/>
                <w:szCs w:val="18"/>
                <w:lang w:eastAsia="es-CO"/>
              </w:rPr>
            </w:pPr>
          </w:p>
        </w:tc>
        <w:tc>
          <w:tcPr>
            <w:tcW w:w="648" w:type="pct"/>
            <w:shd w:val="clear" w:color="auto" w:fill="auto"/>
            <w:vAlign w:val="center"/>
            <w:hideMark/>
          </w:tcPr>
          <w:p w14:paraId="26BD7B55" w14:textId="77777777" w:rsidR="002E3452" w:rsidRPr="0009028A" w:rsidRDefault="002E3452" w:rsidP="00AA6844">
            <w:pPr>
              <w:spacing w:after="0" w:line="240" w:lineRule="auto"/>
              <w:jc w:val="both"/>
              <w:rPr>
                <w:rFonts w:ascii="Arial" w:eastAsia="Times New Roman" w:hAnsi="Arial" w:cs="Arial"/>
                <w:sz w:val="18"/>
                <w:szCs w:val="18"/>
                <w:lang w:eastAsia="es-CO"/>
              </w:rPr>
            </w:pPr>
          </w:p>
        </w:tc>
        <w:tc>
          <w:tcPr>
            <w:tcW w:w="1153" w:type="pct"/>
            <w:shd w:val="clear" w:color="auto" w:fill="auto"/>
            <w:vAlign w:val="center"/>
            <w:hideMark/>
          </w:tcPr>
          <w:p w14:paraId="4E313B87" w14:textId="77777777" w:rsidR="002E3452" w:rsidRPr="0009028A" w:rsidRDefault="002E3452" w:rsidP="00AA6844">
            <w:pPr>
              <w:spacing w:after="0" w:line="240" w:lineRule="auto"/>
              <w:jc w:val="center"/>
              <w:rPr>
                <w:rFonts w:ascii="Arial" w:eastAsia="Times New Roman" w:hAnsi="Arial" w:cs="Arial"/>
                <w:sz w:val="18"/>
                <w:szCs w:val="18"/>
                <w:lang w:eastAsia="es-CO"/>
              </w:rPr>
            </w:pPr>
          </w:p>
        </w:tc>
      </w:tr>
      <w:tr w:rsidR="002E3452" w:rsidRPr="0009028A" w14:paraId="6C2ACFF5" w14:textId="77777777" w:rsidTr="00013960">
        <w:trPr>
          <w:trHeight w:val="20"/>
        </w:trPr>
        <w:tc>
          <w:tcPr>
            <w:tcW w:w="1460" w:type="pct"/>
            <w:shd w:val="clear" w:color="auto" w:fill="auto"/>
            <w:vAlign w:val="center"/>
            <w:hideMark/>
          </w:tcPr>
          <w:p w14:paraId="21DCE137" w14:textId="77777777" w:rsidR="002E3452" w:rsidRPr="0009028A" w:rsidRDefault="002E3452" w:rsidP="00AA6844">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Inversiones patrimoniales</w:t>
            </w:r>
          </w:p>
        </w:tc>
        <w:tc>
          <w:tcPr>
            <w:tcW w:w="551" w:type="pct"/>
            <w:shd w:val="clear" w:color="auto" w:fill="auto"/>
            <w:vAlign w:val="center"/>
            <w:hideMark/>
          </w:tcPr>
          <w:p w14:paraId="31B8BC9E" w14:textId="77777777" w:rsidR="002E3452" w:rsidRPr="0009028A" w:rsidRDefault="002E3452" w:rsidP="00AA6844">
            <w:pPr>
              <w:spacing w:after="0" w:line="240" w:lineRule="auto"/>
              <w:jc w:val="center"/>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w:t>
            </w:r>
          </w:p>
        </w:tc>
        <w:tc>
          <w:tcPr>
            <w:tcW w:w="1188" w:type="pct"/>
            <w:shd w:val="clear" w:color="auto" w:fill="auto"/>
            <w:vAlign w:val="center"/>
            <w:hideMark/>
          </w:tcPr>
          <w:p w14:paraId="1728D7BC" w14:textId="77777777" w:rsidR="002E3452" w:rsidRPr="0009028A" w:rsidRDefault="002E3452" w:rsidP="00AA6844">
            <w:pPr>
              <w:spacing w:after="0" w:line="240" w:lineRule="auto"/>
              <w:jc w:val="both"/>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Precios de mercado (BVC)</w:t>
            </w:r>
          </w:p>
        </w:tc>
        <w:tc>
          <w:tcPr>
            <w:tcW w:w="648" w:type="pct"/>
            <w:shd w:val="clear" w:color="auto" w:fill="auto"/>
            <w:vAlign w:val="center"/>
            <w:hideMark/>
          </w:tcPr>
          <w:p w14:paraId="14E91513" w14:textId="77777777" w:rsidR="002E3452" w:rsidRPr="0009028A" w:rsidRDefault="002E3452" w:rsidP="00AA6844">
            <w:pPr>
              <w:spacing w:after="0" w:line="240" w:lineRule="auto"/>
              <w:jc w:val="center"/>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w:t>
            </w:r>
          </w:p>
        </w:tc>
        <w:tc>
          <w:tcPr>
            <w:tcW w:w="1153" w:type="pct"/>
            <w:shd w:val="clear" w:color="auto" w:fill="auto"/>
            <w:vAlign w:val="center"/>
            <w:hideMark/>
          </w:tcPr>
          <w:p w14:paraId="4CDA4235" w14:textId="77777777" w:rsidR="002E3452" w:rsidRPr="0009028A" w:rsidRDefault="002E3452" w:rsidP="00AA6844">
            <w:pPr>
              <w:spacing w:after="0" w:line="240" w:lineRule="auto"/>
              <w:jc w:val="both"/>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Precio de la acción</w:t>
            </w:r>
          </w:p>
        </w:tc>
      </w:tr>
      <w:tr w:rsidR="003C1D57" w:rsidRPr="0009028A" w14:paraId="3EFD755B" w14:textId="77777777" w:rsidTr="00013960">
        <w:trPr>
          <w:trHeight w:val="20"/>
        </w:trPr>
        <w:tc>
          <w:tcPr>
            <w:tcW w:w="1460" w:type="pct"/>
            <w:shd w:val="clear" w:color="auto" w:fill="auto"/>
            <w:vAlign w:val="center"/>
          </w:tcPr>
          <w:p w14:paraId="4178C8A3" w14:textId="77777777" w:rsidR="003C1D57" w:rsidRPr="0009028A" w:rsidRDefault="003C1D57" w:rsidP="00AA6844">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Instrumentos financieros derivados</w:t>
            </w:r>
          </w:p>
        </w:tc>
        <w:tc>
          <w:tcPr>
            <w:tcW w:w="551" w:type="pct"/>
            <w:shd w:val="clear" w:color="auto" w:fill="auto"/>
            <w:vAlign w:val="center"/>
          </w:tcPr>
          <w:p w14:paraId="51B5FEF0" w14:textId="77777777" w:rsidR="003C1D57" w:rsidRPr="0009028A" w:rsidRDefault="003C1D57" w:rsidP="00AA6844">
            <w:pPr>
              <w:spacing w:after="0" w:line="240" w:lineRule="auto"/>
              <w:jc w:val="center"/>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w:t>
            </w:r>
          </w:p>
        </w:tc>
        <w:tc>
          <w:tcPr>
            <w:tcW w:w="1188" w:type="pct"/>
            <w:shd w:val="clear" w:color="auto" w:fill="auto"/>
            <w:vAlign w:val="center"/>
          </w:tcPr>
          <w:p w14:paraId="4E022257" w14:textId="77777777" w:rsidR="003C1D57" w:rsidRPr="0009028A" w:rsidRDefault="00990301" w:rsidP="00AA6844">
            <w:pPr>
              <w:spacing w:after="0" w:line="240" w:lineRule="auto"/>
              <w:jc w:val="both"/>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Valor razonable para forward</w:t>
            </w:r>
          </w:p>
        </w:tc>
        <w:tc>
          <w:tcPr>
            <w:tcW w:w="648" w:type="pct"/>
            <w:shd w:val="clear" w:color="auto" w:fill="auto"/>
            <w:vAlign w:val="center"/>
          </w:tcPr>
          <w:p w14:paraId="42EC45B0" w14:textId="77777777" w:rsidR="003C1D57" w:rsidRPr="0009028A" w:rsidRDefault="003C1D57" w:rsidP="00AA6844">
            <w:pPr>
              <w:spacing w:after="0" w:line="240" w:lineRule="auto"/>
              <w:jc w:val="center"/>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w:t>
            </w:r>
            <w:r w:rsidR="00E10C0E" w:rsidRPr="0009028A">
              <w:rPr>
                <w:rFonts w:ascii="Arial" w:eastAsia="Times New Roman" w:hAnsi="Arial" w:cs="Arial"/>
                <w:color w:val="000000"/>
                <w:sz w:val="18"/>
                <w:szCs w:val="18"/>
                <w:lang w:eastAsia="es-CO"/>
              </w:rPr>
              <w:t>4</w:t>
            </w:r>
            <w:r w:rsidRPr="0009028A">
              <w:rPr>
                <w:rFonts w:ascii="Arial" w:eastAsia="Times New Roman" w:hAnsi="Arial" w:cs="Arial"/>
                <w:color w:val="000000"/>
                <w:sz w:val="18"/>
                <w:szCs w:val="18"/>
                <w:lang w:eastAsia="es-CO"/>
              </w:rPr>
              <w:t>)</w:t>
            </w:r>
          </w:p>
        </w:tc>
        <w:tc>
          <w:tcPr>
            <w:tcW w:w="1153" w:type="pct"/>
            <w:shd w:val="clear" w:color="auto" w:fill="auto"/>
            <w:vAlign w:val="center"/>
          </w:tcPr>
          <w:p w14:paraId="7D3A41DB" w14:textId="77777777" w:rsidR="003C1D57" w:rsidRPr="0009028A" w:rsidRDefault="003C1D57" w:rsidP="00AA6844">
            <w:pPr>
              <w:spacing w:after="0" w:line="240" w:lineRule="auto"/>
              <w:jc w:val="both"/>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Inflación implícita</w:t>
            </w:r>
            <w:r w:rsidR="00E95883" w:rsidRPr="0009028A">
              <w:rPr>
                <w:rFonts w:ascii="Arial" w:eastAsia="Times New Roman" w:hAnsi="Arial" w:cs="Arial"/>
                <w:color w:val="000000"/>
                <w:sz w:val="18"/>
                <w:szCs w:val="18"/>
                <w:lang w:eastAsia="es-CO"/>
              </w:rPr>
              <w:t>, curvas OIS COP y curva IPC</w:t>
            </w:r>
          </w:p>
        </w:tc>
      </w:tr>
      <w:tr w:rsidR="002E3452" w:rsidRPr="0009028A" w14:paraId="436899CA" w14:textId="77777777" w:rsidTr="00013960">
        <w:trPr>
          <w:trHeight w:val="20"/>
        </w:trPr>
        <w:tc>
          <w:tcPr>
            <w:tcW w:w="1460" w:type="pct"/>
            <w:shd w:val="clear" w:color="auto" w:fill="auto"/>
            <w:vAlign w:val="center"/>
            <w:hideMark/>
          </w:tcPr>
          <w:p w14:paraId="1C8BF535" w14:textId="77777777" w:rsidR="002E3452" w:rsidRPr="0009028A" w:rsidRDefault="002E3452" w:rsidP="00AA6844">
            <w:pPr>
              <w:spacing w:after="0" w:line="240" w:lineRule="auto"/>
              <w:jc w:val="both"/>
              <w:rPr>
                <w:rFonts w:ascii="Arial" w:eastAsia="Times New Roman" w:hAnsi="Arial" w:cs="Arial"/>
                <w:color w:val="000000"/>
                <w:sz w:val="18"/>
                <w:szCs w:val="18"/>
                <w:lang w:eastAsia="es-CO"/>
              </w:rPr>
            </w:pPr>
          </w:p>
        </w:tc>
        <w:tc>
          <w:tcPr>
            <w:tcW w:w="551" w:type="pct"/>
            <w:shd w:val="clear" w:color="auto" w:fill="auto"/>
            <w:vAlign w:val="center"/>
            <w:hideMark/>
          </w:tcPr>
          <w:p w14:paraId="404AC13B" w14:textId="77777777" w:rsidR="002E3452" w:rsidRPr="0009028A" w:rsidRDefault="002E3452" w:rsidP="00AA6844">
            <w:pPr>
              <w:spacing w:after="0" w:line="240" w:lineRule="auto"/>
              <w:rPr>
                <w:rFonts w:ascii="Arial" w:eastAsia="Times New Roman" w:hAnsi="Arial" w:cs="Arial"/>
                <w:sz w:val="18"/>
                <w:szCs w:val="18"/>
                <w:lang w:eastAsia="es-CO"/>
              </w:rPr>
            </w:pPr>
          </w:p>
        </w:tc>
        <w:tc>
          <w:tcPr>
            <w:tcW w:w="1188" w:type="pct"/>
            <w:shd w:val="clear" w:color="auto" w:fill="auto"/>
            <w:vAlign w:val="center"/>
            <w:hideMark/>
          </w:tcPr>
          <w:p w14:paraId="0EE3B925" w14:textId="77777777" w:rsidR="002E3452" w:rsidRPr="0009028A" w:rsidRDefault="002E3452" w:rsidP="00AA6844">
            <w:pPr>
              <w:spacing w:after="0" w:line="240" w:lineRule="auto"/>
              <w:jc w:val="center"/>
              <w:rPr>
                <w:rFonts w:ascii="Arial" w:eastAsia="Times New Roman" w:hAnsi="Arial" w:cs="Arial"/>
                <w:sz w:val="18"/>
                <w:szCs w:val="18"/>
                <w:lang w:eastAsia="es-CO"/>
              </w:rPr>
            </w:pPr>
          </w:p>
        </w:tc>
        <w:tc>
          <w:tcPr>
            <w:tcW w:w="648" w:type="pct"/>
            <w:shd w:val="clear" w:color="auto" w:fill="auto"/>
            <w:vAlign w:val="center"/>
            <w:hideMark/>
          </w:tcPr>
          <w:p w14:paraId="51428992" w14:textId="77777777" w:rsidR="002E3452" w:rsidRPr="0009028A" w:rsidRDefault="002E3452" w:rsidP="00AA6844">
            <w:pPr>
              <w:spacing w:after="0" w:line="240" w:lineRule="auto"/>
              <w:jc w:val="both"/>
              <w:rPr>
                <w:rFonts w:ascii="Arial" w:eastAsia="Times New Roman" w:hAnsi="Arial" w:cs="Arial"/>
                <w:sz w:val="18"/>
                <w:szCs w:val="18"/>
                <w:lang w:eastAsia="es-CO"/>
              </w:rPr>
            </w:pPr>
          </w:p>
        </w:tc>
        <w:tc>
          <w:tcPr>
            <w:tcW w:w="1153" w:type="pct"/>
            <w:shd w:val="clear" w:color="auto" w:fill="auto"/>
            <w:vAlign w:val="center"/>
            <w:hideMark/>
          </w:tcPr>
          <w:p w14:paraId="00A48AAC" w14:textId="77777777" w:rsidR="002E3452" w:rsidRPr="0009028A" w:rsidRDefault="002E3452" w:rsidP="00AA6844">
            <w:pPr>
              <w:spacing w:after="0" w:line="240" w:lineRule="auto"/>
              <w:jc w:val="center"/>
              <w:rPr>
                <w:rFonts w:ascii="Arial" w:eastAsia="Times New Roman" w:hAnsi="Arial" w:cs="Arial"/>
                <w:sz w:val="18"/>
                <w:szCs w:val="18"/>
                <w:lang w:eastAsia="es-CO"/>
              </w:rPr>
            </w:pPr>
          </w:p>
        </w:tc>
      </w:tr>
      <w:tr w:rsidR="002E3452" w:rsidRPr="0009028A" w14:paraId="53571665" w14:textId="77777777" w:rsidTr="00013960">
        <w:trPr>
          <w:trHeight w:val="20"/>
        </w:trPr>
        <w:tc>
          <w:tcPr>
            <w:tcW w:w="1460" w:type="pct"/>
            <w:shd w:val="clear" w:color="auto" w:fill="auto"/>
            <w:vAlign w:val="center"/>
            <w:hideMark/>
          </w:tcPr>
          <w:p w14:paraId="1EE0A1CB" w14:textId="77777777" w:rsidR="002E3452" w:rsidRPr="0009028A" w:rsidRDefault="002E3452" w:rsidP="00AA6844">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Medidos a costo amortizado</w:t>
            </w:r>
          </w:p>
        </w:tc>
        <w:tc>
          <w:tcPr>
            <w:tcW w:w="551" w:type="pct"/>
            <w:shd w:val="clear" w:color="auto" w:fill="auto"/>
            <w:vAlign w:val="center"/>
            <w:hideMark/>
          </w:tcPr>
          <w:p w14:paraId="2AABABA9" w14:textId="77777777" w:rsidR="002E3452" w:rsidRPr="0009028A" w:rsidRDefault="002E3452" w:rsidP="00AA6844">
            <w:pPr>
              <w:spacing w:after="0" w:line="240" w:lineRule="auto"/>
              <w:rPr>
                <w:rFonts w:ascii="Arial" w:eastAsia="Times New Roman" w:hAnsi="Arial" w:cs="Arial"/>
                <w:b/>
                <w:bCs/>
                <w:color w:val="000000"/>
                <w:sz w:val="18"/>
                <w:szCs w:val="18"/>
                <w:lang w:eastAsia="es-CO"/>
              </w:rPr>
            </w:pPr>
          </w:p>
        </w:tc>
        <w:tc>
          <w:tcPr>
            <w:tcW w:w="1188" w:type="pct"/>
            <w:shd w:val="clear" w:color="auto" w:fill="auto"/>
            <w:vAlign w:val="center"/>
            <w:hideMark/>
          </w:tcPr>
          <w:p w14:paraId="16E52DBE" w14:textId="77777777" w:rsidR="002E3452" w:rsidRPr="0009028A" w:rsidRDefault="002E3452" w:rsidP="00AA6844">
            <w:pPr>
              <w:spacing w:after="0" w:line="240" w:lineRule="auto"/>
              <w:jc w:val="center"/>
              <w:rPr>
                <w:rFonts w:ascii="Arial" w:eastAsia="Times New Roman" w:hAnsi="Arial" w:cs="Arial"/>
                <w:sz w:val="18"/>
                <w:szCs w:val="18"/>
                <w:lang w:eastAsia="es-CO"/>
              </w:rPr>
            </w:pPr>
          </w:p>
        </w:tc>
        <w:tc>
          <w:tcPr>
            <w:tcW w:w="648" w:type="pct"/>
            <w:shd w:val="clear" w:color="auto" w:fill="auto"/>
            <w:vAlign w:val="center"/>
            <w:hideMark/>
          </w:tcPr>
          <w:p w14:paraId="7118801A" w14:textId="77777777" w:rsidR="002E3452" w:rsidRPr="0009028A" w:rsidRDefault="002E3452" w:rsidP="00AA6844">
            <w:pPr>
              <w:spacing w:after="0" w:line="240" w:lineRule="auto"/>
              <w:jc w:val="both"/>
              <w:rPr>
                <w:rFonts w:ascii="Arial" w:eastAsia="Times New Roman" w:hAnsi="Arial" w:cs="Arial"/>
                <w:sz w:val="18"/>
                <w:szCs w:val="18"/>
                <w:lang w:eastAsia="es-CO"/>
              </w:rPr>
            </w:pPr>
          </w:p>
        </w:tc>
        <w:tc>
          <w:tcPr>
            <w:tcW w:w="1153" w:type="pct"/>
            <w:shd w:val="clear" w:color="auto" w:fill="auto"/>
            <w:vAlign w:val="center"/>
            <w:hideMark/>
          </w:tcPr>
          <w:p w14:paraId="53F75A7C" w14:textId="77777777" w:rsidR="002E3452" w:rsidRPr="0009028A" w:rsidRDefault="002E3452" w:rsidP="00AA6844">
            <w:pPr>
              <w:spacing w:after="0" w:line="240" w:lineRule="auto"/>
              <w:jc w:val="center"/>
              <w:rPr>
                <w:rFonts w:ascii="Arial" w:eastAsia="Times New Roman" w:hAnsi="Arial" w:cs="Arial"/>
                <w:sz w:val="18"/>
                <w:szCs w:val="18"/>
                <w:lang w:eastAsia="es-CO"/>
              </w:rPr>
            </w:pPr>
          </w:p>
        </w:tc>
      </w:tr>
      <w:tr w:rsidR="002E3452" w:rsidRPr="0009028A" w14:paraId="44A678BC" w14:textId="77777777" w:rsidTr="00013960">
        <w:trPr>
          <w:trHeight w:val="20"/>
        </w:trPr>
        <w:tc>
          <w:tcPr>
            <w:tcW w:w="1460" w:type="pct"/>
            <w:shd w:val="clear" w:color="auto" w:fill="auto"/>
            <w:vAlign w:val="center"/>
            <w:hideMark/>
          </w:tcPr>
          <w:p w14:paraId="4F03083E" w14:textId="77777777" w:rsidR="002E3452" w:rsidRPr="0009028A" w:rsidRDefault="002E3452" w:rsidP="00AA6844">
            <w:pPr>
              <w:spacing w:after="0" w:line="240" w:lineRule="auto"/>
              <w:ind w:left="67"/>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Cuentas comerciales y otras cuentas por cobrar</w:t>
            </w:r>
          </w:p>
        </w:tc>
        <w:tc>
          <w:tcPr>
            <w:tcW w:w="551" w:type="pct"/>
            <w:shd w:val="clear" w:color="auto" w:fill="auto"/>
            <w:vAlign w:val="center"/>
            <w:hideMark/>
          </w:tcPr>
          <w:p w14:paraId="42600D69" w14:textId="77777777" w:rsidR="002E3452" w:rsidRPr="0009028A" w:rsidRDefault="002E3452" w:rsidP="00AA6844">
            <w:pPr>
              <w:spacing w:after="0" w:line="240" w:lineRule="auto"/>
              <w:jc w:val="center"/>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w:t>
            </w:r>
          </w:p>
        </w:tc>
        <w:tc>
          <w:tcPr>
            <w:tcW w:w="1188" w:type="pct"/>
            <w:shd w:val="clear" w:color="auto" w:fill="auto"/>
            <w:vAlign w:val="center"/>
            <w:hideMark/>
          </w:tcPr>
          <w:p w14:paraId="79EF5BA5" w14:textId="77777777" w:rsidR="002E3452" w:rsidRPr="0009028A" w:rsidRDefault="002E3452" w:rsidP="00AA6844">
            <w:pPr>
              <w:spacing w:after="0" w:line="240" w:lineRule="auto"/>
              <w:jc w:val="both"/>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Flujos de caja descontados</w:t>
            </w:r>
          </w:p>
        </w:tc>
        <w:tc>
          <w:tcPr>
            <w:tcW w:w="648" w:type="pct"/>
            <w:shd w:val="clear" w:color="auto" w:fill="auto"/>
            <w:vAlign w:val="center"/>
            <w:hideMark/>
          </w:tcPr>
          <w:p w14:paraId="6E9BB55C" w14:textId="77777777" w:rsidR="002E3452" w:rsidRPr="0009028A" w:rsidRDefault="002E3452" w:rsidP="00AA6844">
            <w:pPr>
              <w:spacing w:after="0" w:line="240" w:lineRule="auto"/>
              <w:jc w:val="center"/>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 y (3)</w:t>
            </w:r>
          </w:p>
        </w:tc>
        <w:tc>
          <w:tcPr>
            <w:tcW w:w="1153" w:type="pct"/>
            <w:shd w:val="clear" w:color="auto" w:fill="auto"/>
            <w:vAlign w:val="center"/>
            <w:hideMark/>
          </w:tcPr>
          <w:p w14:paraId="66898454" w14:textId="77777777" w:rsidR="002E3452" w:rsidRPr="0009028A" w:rsidRDefault="002E3452" w:rsidP="00AA6844">
            <w:pPr>
              <w:spacing w:after="0" w:line="240" w:lineRule="auto"/>
              <w:jc w:val="both"/>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Tasa de descuento a mercado</w:t>
            </w:r>
          </w:p>
        </w:tc>
      </w:tr>
      <w:tr w:rsidR="002E3452" w:rsidRPr="0009028A" w14:paraId="7EEFEF24" w14:textId="77777777" w:rsidTr="00013960">
        <w:trPr>
          <w:trHeight w:val="70"/>
        </w:trPr>
        <w:tc>
          <w:tcPr>
            <w:tcW w:w="1460" w:type="pct"/>
            <w:shd w:val="clear" w:color="auto" w:fill="auto"/>
            <w:vAlign w:val="center"/>
            <w:hideMark/>
          </w:tcPr>
          <w:p w14:paraId="4172A58E" w14:textId="77777777" w:rsidR="002E3452" w:rsidRPr="0009028A" w:rsidRDefault="002E3452" w:rsidP="00AA6844">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Pasivos financieros</w:t>
            </w:r>
          </w:p>
        </w:tc>
        <w:tc>
          <w:tcPr>
            <w:tcW w:w="551" w:type="pct"/>
            <w:shd w:val="clear" w:color="auto" w:fill="auto"/>
            <w:vAlign w:val="center"/>
            <w:hideMark/>
          </w:tcPr>
          <w:p w14:paraId="66460995" w14:textId="77777777" w:rsidR="002E3452" w:rsidRPr="0009028A" w:rsidRDefault="002E3452" w:rsidP="00AA6844">
            <w:pPr>
              <w:spacing w:after="0" w:line="240" w:lineRule="auto"/>
              <w:rPr>
                <w:rFonts w:ascii="Arial" w:eastAsia="Times New Roman" w:hAnsi="Arial" w:cs="Arial"/>
                <w:b/>
                <w:bCs/>
                <w:color w:val="000000"/>
                <w:sz w:val="18"/>
                <w:szCs w:val="18"/>
                <w:u w:val="single"/>
                <w:lang w:eastAsia="es-CO"/>
              </w:rPr>
            </w:pPr>
          </w:p>
        </w:tc>
        <w:tc>
          <w:tcPr>
            <w:tcW w:w="1188" w:type="pct"/>
            <w:shd w:val="clear" w:color="auto" w:fill="auto"/>
            <w:vAlign w:val="center"/>
            <w:hideMark/>
          </w:tcPr>
          <w:p w14:paraId="27EA8088" w14:textId="77777777" w:rsidR="002E3452" w:rsidRPr="0009028A" w:rsidRDefault="002E3452" w:rsidP="00AA6844">
            <w:pPr>
              <w:spacing w:after="0" w:line="240" w:lineRule="auto"/>
              <w:jc w:val="both"/>
              <w:rPr>
                <w:rFonts w:ascii="Arial" w:eastAsia="Times New Roman" w:hAnsi="Arial" w:cs="Arial"/>
                <w:sz w:val="18"/>
                <w:szCs w:val="18"/>
                <w:lang w:eastAsia="es-CO"/>
              </w:rPr>
            </w:pPr>
          </w:p>
        </w:tc>
        <w:tc>
          <w:tcPr>
            <w:tcW w:w="648" w:type="pct"/>
            <w:shd w:val="clear" w:color="auto" w:fill="auto"/>
            <w:vAlign w:val="center"/>
            <w:hideMark/>
          </w:tcPr>
          <w:p w14:paraId="6A51AE5B" w14:textId="77777777" w:rsidR="002E3452" w:rsidRPr="0009028A" w:rsidRDefault="002E3452" w:rsidP="00AA6844">
            <w:pPr>
              <w:spacing w:after="0" w:line="240" w:lineRule="auto"/>
              <w:jc w:val="both"/>
              <w:rPr>
                <w:rFonts w:ascii="Arial" w:eastAsia="Times New Roman" w:hAnsi="Arial" w:cs="Arial"/>
                <w:sz w:val="18"/>
                <w:szCs w:val="18"/>
                <w:lang w:eastAsia="es-CO"/>
              </w:rPr>
            </w:pPr>
          </w:p>
        </w:tc>
        <w:tc>
          <w:tcPr>
            <w:tcW w:w="1153" w:type="pct"/>
            <w:shd w:val="clear" w:color="auto" w:fill="auto"/>
            <w:vAlign w:val="center"/>
            <w:hideMark/>
          </w:tcPr>
          <w:p w14:paraId="5A9AC7CD" w14:textId="77777777" w:rsidR="002E3452" w:rsidRPr="0009028A" w:rsidRDefault="002E3452" w:rsidP="00AA6844">
            <w:pPr>
              <w:spacing w:after="0" w:line="240" w:lineRule="auto"/>
              <w:jc w:val="center"/>
              <w:rPr>
                <w:rFonts w:ascii="Arial" w:eastAsia="Times New Roman" w:hAnsi="Arial" w:cs="Arial"/>
                <w:sz w:val="18"/>
                <w:szCs w:val="18"/>
                <w:lang w:eastAsia="es-CO"/>
              </w:rPr>
            </w:pPr>
          </w:p>
        </w:tc>
      </w:tr>
      <w:tr w:rsidR="002E3452" w:rsidRPr="0009028A" w14:paraId="1CEE29B1" w14:textId="77777777" w:rsidTr="00013960">
        <w:trPr>
          <w:trHeight w:val="20"/>
        </w:trPr>
        <w:tc>
          <w:tcPr>
            <w:tcW w:w="1460" w:type="pct"/>
            <w:shd w:val="clear" w:color="auto" w:fill="auto"/>
            <w:vAlign w:val="center"/>
            <w:hideMark/>
          </w:tcPr>
          <w:p w14:paraId="55B638F4" w14:textId="77777777" w:rsidR="002E3452" w:rsidRPr="0009028A" w:rsidRDefault="002E3452" w:rsidP="00AA6844">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Medidos a costo amortizado</w:t>
            </w:r>
          </w:p>
        </w:tc>
        <w:tc>
          <w:tcPr>
            <w:tcW w:w="551" w:type="pct"/>
            <w:shd w:val="clear" w:color="auto" w:fill="auto"/>
            <w:noWrap/>
            <w:vAlign w:val="bottom"/>
            <w:hideMark/>
          </w:tcPr>
          <w:p w14:paraId="4AB3D2AA" w14:textId="77777777" w:rsidR="002E3452" w:rsidRPr="0009028A" w:rsidRDefault="002E3452" w:rsidP="00AA6844">
            <w:pPr>
              <w:spacing w:after="0" w:line="240" w:lineRule="auto"/>
              <w:rPr>
                <w:rFonts w:ascii="Arial" w:eastAsia="Times New Roman" w:hAnsi="Arial" w:cs="Arial"/>
                <w:b/>
                <w:bCs/>
                <w:color w:val="000000"/>
                <w:sz w:val="18"/>
                <w:szCs w:val="18"/>
                <w:lang w:eastAsia="es-CO"/>
              </w:rPr>
            </w:pPr>
          </w:p>
        </w:tc>
        <w:tc>
          <w:tcPr>
            <w:tcW w:w="1188" w:type="pct"/>
            <w:shd w:val="clear" w:color="auto" w:fill="auto"/>
            <w:noWrap/>
            <w:vAlign w:val="bottom"/>
            <w:hideMark/>
          </w:tcPr>
          <w:p w14:paraId="6FA59E6B" w14:textId="77777777" w:rsidR="002E3452" w:rsidRPr="0009028A" w:rsidRDefault="002E3452" w:rsidP="00AA6844">
            <w:pPr>
              <w:spacing w:after="0" w:line="240" w:lineRule="auto"/>
              <w:rPr>
                <w:rFonts w:ascii="Arial" w:eastAsia="Times New Roman" w:hAnsi="Arial" w:cs="Arial"/>
                <w:sz w:val="18"/>
                <w:szCs w:val="18"/>
                <w:lang w:eastAsia="es-CO"/>
              </w:rPr>
            </w:pPr>
          </w:p>
        </w:tc>
        <w:tc>
          <w:tcPr>
            <w:tcW w:w="648" w:type="pct"/>
            <w:shd w:val="clear" w:color="auto" w:fill="auto"/>
            <w:noWrap/>
            <w:vAlign w:val="bottom"/>
            <w:hideMark/>
          </w:tcPr>
          <w:p w14:paraId="3FBB66D5" w14:textId="77777777" w:rsidR="002E3452" w:rsidRPr="0009028A" w:rsidRDefault="002E3452" w:rsidP="00AA6844">
            <w:pPr>
              <w:spacing w:after="0" w:line="240" w:lineRule="auto"/>
              <w:rPr>
                <w:rFonts w:ascii="Arial" w:eastAsia="Times New Roman" w:hAnsi="Arial" w:cs="Arial"/>
                <w:sz w:val="18"/>
                <w:szCs w:val="18"/>
                <w:lang w:eastAsia="es-CO"/>
              </w:rPr>
            </w:pPr>
          </w:p>
        </w:tc>
        <w:tc>
          <w:tcPr>
            <w:tcW w:w="1153" w:type="pct"/>
            <w:shd w:val="clear" w:color="auto" w:fill="auto"/>
            <w:noWrap/>
            <w:vAlign w:val="bottom"/>
            <w:hideMark/>
          </w:tcPr>
          <w:p w14:paraId="1364CBE1" w14:textId="77777777" w:rsidR="002E3452" w:rsidRPr="0009028A" w:rsidRDefault="002E3452" w:rsidP="00AA6844">
            <w:pPr>
              <w:spacing w:after="0" w:line="240" w:lineRule="auto"/>
              <w:jc w:val="center"/>
              <w:rPr>
                <w:rFonts w:ascii="Arial" w:eastAsia="Times New Roman" w:hAnsi="Arial" w:cs="Arial"/>
                <w:sz w:val="18"/>
                <w:szCs w:val="18"/>
                <w:lang w:eastAsia="es-CO"/>
              </w:rPr>
            </w:pPr>
          </w:p>
        </w:tc>
      </w:tr>
      <w:tr w:rsidR="002E3452" w:rsidRPr="0009028A" w14:paraId="5B42A0FB" w14:textId="77777777" w:rsidTr="00013960">
        <w:trPr>
          <w:trHeight w:val="75"/>
        </w:trPr>
        <w:tc>
          <w:tcPr>
            <w:tcW w:w="1460" w:type="pct"/>
            <w:shd w:val="clear" w:color="auto" w:fill="auto"/>
            <w:vAlign w:val="center"/>
            <w:hideMark/>
          </w:tcPr>
          <w:p w14:paraId="77C2328E" w14:textId="77777777" w:rsidR="002E3452" w:rsidRPr="0009028A" w:rsidRDefault="002E3452" w:rsidP="00AA6844">
            <w:pPr>
              <w:spacing w:after="0" w:line="240" w:lineRule="auto"/>
              <w:jc w:val="both"/>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Obligaciones financieras </w:t>
            </w:r>
          </w:p>
        </w:tc>
        <w:tc>
          <w:tcPr>
            <w:tcW w:w="551" w:type="pct"/>
            <w:shd w:val="clear" w:color="auto" w:fill="auto"/>
            <w:vAlign w:val="center"/>
            <w:hideMark/>
          </w:tcPr>
          <w:p w14:paraId="701A67D2" w14:textId="77777777" w:rsidR="002E3452" w:rsidRPr="0009028A" w:rsidRDefault="002E3452" w:rsidP="00AA6844">
            <w:pPr>
              <w:spacing w:after="0" w:line="240" w:lineRule="auto"/>
              <w:jc w:val="center"/>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w:t>
            </w:r>
          </w:p>
        </w:tc>
        <w:tc>
          <w:tcPr>
            <w:tcW w:w="1188" w:type="pct"/>
            <w:shd w:val="clear" w:color="auto" w:fill="auto"/>
            <w:vAlign w:val="center"/>
            <w:hideMark/>
          </w:tcPr>
          <w:p w14:paraId="400DD568" w14:textId="77777777" w:rsidR="002E3452" w:rsidRPr="0009028A" w:rsidRDefault="002E3452" w:rsidP="00AA6844">
            <w:pPr>
              <w:spacing w:after="0" w:line="240" w:lineRule="auto"/>
              <w:jc w:val="both"/>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Flujos de caja descontados</w:t>
            </w:r>
          </w:p>
        </w:tc>
        <w:tc>
          <w:tcPr>
            <w:tcW w:w="648" w:type="pct"/>
            <w:shd w:val="clear" w:color="auto" w:fill="auto"/>
            <w:vAlign w:val="center"/>
            <w:hideMark/>
          </w:tcPr>
          <w:p w14:paraId="6DC0C2D5" w14:textId="77777777" w:rsidR="002E3452" w:rsidRPr="0009028A" w:rsidRDefault="002E3452" w:rsidP="00AA6844">
            <w:pPr>
              <w:spacing w:after="0" w:line="240" w:lineRule="auto"/>
              <w:jc w:val="center"/>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w:t>
            </w:r>
          </w:p>
        </w:tc>
        <w:tc>
          <w:tcPr>
            <w:tcW w:w="1153" w:type="pct"/>
            <w:shd w:val="clear" w:color="auto" w:fill="auto"/>
            <w:vAlign w:val="center"/>
            <w:hideMark/>
          </w:tcPr>
          <w:p w14:paraId="16FF4D3B" w14:textId="77777777" w:rsidR="002E3452" w:rsidRPr="0009028A" w:rsidRDefault="002E3452" w:rsidP="00AA6844">
            <w:pPr>
              <w:spacing w:after="0" w:line="240" w:lineRule="auto"/>
              <w:jc w:val="both"/>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Tasa de descuento a mercado</w:t>
            </w:r>
          </w:p>
        </w:tc>
      </w:tr>
    </w:tbl>
    <w:p w14:paraId="2626A124" w14:textId="77777777" w:rsidR="002E3452" w:rsidRPr="0009028A" w:rsidRDefault="002E3452" w:rsidP="00275294">
      <w:pPr>
        <w:spacing w:after="0"/>
        <w:rPr>
          <w:rFonts w:ascii="Arial" w:eastAsia="Arial" w:hAnsi="Arial" w:cs="Arial"/>
          <w:spacing w:val="1"/>
          <w:sz w:val="20"/>
          <w:szCs w:val="20"/>
        </w:rPr>
      </w:pPr>
    </w:p>
    <w:p w14:paraId="3300A165" w14:textId="77777777" w:rsidR="00821422" w:rsidRPr="0009028A" w:rsidRDefault="00821422" w:rsidP="00275294">
      <w:pPr>
        <w:spacing w:after="0"/>
        <w:rPr>
          <w:rFonts w:ascii="Arial" w:eastAsia="Arial" w:hAnsi="Arial" w:cs="Arial"/>
          <w:spacing w:val="1"/>
          <w:sz w:val="20"/>
          <w:szCs w:val="20"/>
        </w:rPr>
      </w:pPr>
    </w:p>
    <w:p w14:paraId="3A3C65D3" w14:textId="77777777" w:rsidR="002E3452" w:rsidRPr="0009028A" w:rsidRDefault="002E3452" w:rsidP="002E3452">
      <w:pPr>
        <w:spacing w:after="0" w:line="240" w:lineRule="auto"/>
        <w:jc w:val="both"/>
        <w:rPr>
          <w:rFonts w:ascii="Arial" w:hAnsi="Arial" w:cs="Arial"/>
          <w:sz w:val="20"/>
          <w:szCs w:val="20"/>
          <w:lang w:val="es-ES"/>
        </w:rPr>
      </w:pPr>
      <w:r w:rsidRPr="0009028A">
        <w:rPr>
          <w:rFonts w:ascii="Arial" w:hAnsi="Arial" w:cs="Arial"/>
          <w:sz w:val="20"/>
          <w:szCs w:val="20"/>
          <w:lang w:val="es-ES"/>
        </w:rPr>
        <w:t>A continuación, se detallan las técnicas de valoración utilizadas para la medición a valor razonable, para efectos de revelación, de los activos y pasivos financieros de la Compañía:</w:t>
      </w:r>
    </w:p>
    <w:p w14:paraId="3A1B2A17" w14:textId="77777777" w:rsidR="002E3452" w:rsidRPr="0009028A" w:rsidRDefault="002E3452" w:rsidP="00275294">
      <w:pPr>
        <w:spacing w:after="0"/>
        <w:rPr>
          <w:rFonts w:ascii="Arial" w:eastAsia="Arial" w:hAnsi="Arial" w:cs="Arial"/>
          <w:spacing w:val="1"/>
          <w:sz w:val="20"/>
          <w:szCs w:val="20"/>
        </w:rPr>
      </w:pPr>
    </w:p>
    <w:p w14:paraId="3F2A9769" w14:textId="77777777" w:rsidR="005103AA" w:rsidRPr="0009028A" w:rsidRDefault="005103AA" w:rsidP="00835247">
      <w:pPr>
        <w:pStyle w:val="Prrafodelista"/>
        <w:numPr>
          <w:ilvl w:val="0"/>
          <w:numId w:val="2"/>
        </w:numPr>
        <w:ind w:left="426"/>
        <w:jc w:val="both"/>
        <w:rPr>
          <w:rFonts w:ascii="Arial" w:hAnsi="Arial" w:cs="Arial"/>
          <w:sz w:val="20"/>
          <w:szCs w:val="20"/>
          <w:lang w:val="es-AR"/>
        </w:rPr>
      </w:pPr>
      <w:r w:rsidRPr="0009028A">
        <w:rPr>
          <w:rFonts w:ascii="Arial" w:hAnsi="Arial" w:cs="Arial"/>
          <w:sz w:val="20"/>
          <w:szCs w:val="20"/>
          <w:lang w:val="es-AR"/>
        </w:rPr>
        <w:t xml:space="preserve">Precios de cotización de mercado: </w:t>
      </w:r>
      <w:r w:rsidR="00EF0CA9" w:rsidRPr="0009028A">
        <w:rPr>
          <w:rFonts w:ascii="Arial" w:hAnsi="Arial" w:cs="Arial"/>
          <w:sz w:val="20"/>
          <w:szCs w:val="20"/>
          <w:lang w:val="es-AR"/>
        </w:rPr>
        <w:t>L</w:t>
      </w:r>
      <w:r w:rsidRPr="0009028A">
        <w:rPr>
          <w:rFonts w:ascii="Arial" w:hAnsi="Arial" w:cs="Arial"/>
          <w:sz w:val="20"/>
          <w:szCs w:val="20"/>
          <w:lang w:val="es-AR"/>
        </w:rPr>
        <w:t xml:space="preserve">os valores razonables de estas inversiones se determinan por referencia a los precios que cotizan publicados en mercados activos, para el instrumento financiero en cuestión. </w:t>
      </w:r>
    </w:p>
    <w:p w14:paraId="5FFF75ED" w14:textId="77777777" w:rsidR="00E82089" w:rsidRPr="0009028A" w:rsidRDefault="00E82089" w:rsidP="00E82089">
      <w:pPr>
        <w:pStyle w:val="Prrafodelista"/>
        <w:ind w:left="426"/>
        <w:jc w:val="both"/>
        <w:rPr>
          <w:rFonts w:ascii="Arial" w:hAnsi="Arial" w:cs="Arial"/>
          <w:sz w:val="20"/>
          <w:szCs w:val="20"/>
          <w:lang w:val="es-ES"/>
        </w:rPr>
      </w:pPr>
    </w:p>
    <w:p w14:paraId="665BFCAE" w14:textId="77777777" w:rsidR="006F4B2C" w:rsidRPr="0009028A" w:rsidRDefault="006F4B2C" w:rsidP="00835247">
      <w:pPr>
        <w:pStyle w:val="Prrafodelista"/>
        <w:numPr>
          <w:ilvl w:val="0"/>
          <w:numId w:val="2"/>
        </w:numPr>
        <w:ind w:left="426"/>
        <w:jc w:val="both"/>
        <w:rPr>
          <w:rFonts w:ascii="Arial" w:hAnsi="Arial" w:cs="Arial"/>
          <w:sz w:val="20"/>
          <w:szCs w:val="20"/>
          <w:lang w:val="es-ES"/>
        </w:rPr>
      </w:pPr>
      <w:r w:rsidRPr="0009028A">
        <w:rPr>
          <w:rFonts w:ascii="Arial" w:hAnsi="Arial" w:cs="Arial"/>
          <w:color w:val="000000"/>
          <w:sz w:val="20"/>
          <w:szCs w:val="20"/>
          <w:lang w:val="es-ES"/>
        </w:rPr>
        <w:t>Tasa de descuento a mercado: Se descuenta a valor presente los flujos de caja futuros con la tasa de mercado para préstamos en condiciones similares en la fecha de medición acorde con los días de vencimiento</w:t>
      </w:r>
      <w:r w:rsidRPr="0009028A">
        <w:rPr>
          <w:rFonts w:ascii="Arial" w:hAnsi="Arial" w:cs="Arial"/>
          <w:sz w:val="20"/>
          <w:szCs w:val="20"/>
          <w:lang w:val="es-ES"/>
        </w:rPr>
        <w:t>.</w:t>
      </w:r>
    </w:p>
    <w:p w14:paraId="71F99B84" w14:textId="77777777" w:rsidR="005103AA" w:rsidRPr="0009028A" w:rsidRDefault="005103AA" w:rsidP="00E82089">
      <w:pPr>
        <w:pStyle w:val="Prrafodelista"/>
        <w:ind w:left="426"/>
        <w:jc w:val="both"/>
        <w:rPr>
          <w:rFonts w:ascii="Arial" w:hAnsi="Arial" w:cs="Arial"/>
          <w:sz w:val="20"/>
          <w:szCs w:val="20"/>
          <w:lang w:val="es-AR"/>
        </w:rPr>
      </w:pPr>
    </w:p>
    <w:p w14:paraId="394C76F0" w14:textId="77BAB270" w:rsidR="009D0FE2" w:rsidRPr="0009028A" w:rsidRDefault="005103AA" w:rsidP="00835247">
      <w:pPr>
        <w:pStyle w:val="Prrafodelista"/>
        <w:numPr>
          <w:ilvl w:val="0"/>
          <w:numId w:val="2"/>
        </w:numPr>
        <w:ind w:left="426"/>
        <w:jc w:val="both"/>
        <w:rPr>
          <w:rFonts w:ascii="Arial" w:hAnsi="Arial" w:cs="Arial"/>
          <w:sz w:val="20"/>
          <w:szCs w:val="20"/>
          <w:lang w:val="es-AR"/>
        </w:rPr>
      </w:pPr>
      <w:r w:rsidRPr="0009028A">
        <w:rPr>
          <w:rFonts w:ascii="Arial" w:hAnsi="Arial" w:cs="Arial"/>
          <w:sz w:val="20"/>
          <w:szCs w:val="20"/>
          <w:lang w:val="es-AR"/>
        </w:rPr>
        <w:t xml:space="preserve">La Compañía evaluó que los valores razonables de las cuentas por cobrar, dividendos por cobrar y por pagar, proveedores, cuentas por pagar, y otros pasivos corrientes se aproximan a sus valores en libros debido en gran medida a los vencimientos a corto plazo de estos instrumentos. Los flujos de caja futuros de las cuentas por cobrar o por pagar cuyos vencimientos son superiores a 12 meses se descuentan a valor presente con la tasa de mercado para préstamos en condiciones similares a la fecha de medición, acorde con los días de vencimiento, con excepción de las cuentas por cobrar y por pagar a </w:t>
      </w:r>
      <w:r w:rsidR="00703DFE">
        <w:rPr>
          <w:rFonts w:ascii="Arial" w:hAnsi="Arial" w:cs="Arial"/>
          <w:sz w:val="20"/>
          <w:szCs w:val="20"/>
          <w:lang w:val="es-AR"/>
        </w:rPr>
        <w:t>C</w:t>
      </w:r>
      <w:r w:rsidRPr="0009028A">
        <w:rPr>
          <w:rFonts w:ascii="Arial" w:hAnsi="Arial" w:cs="Arial"/>
          <w:sz w:val="20"/>
          <w:szCs w:val="20"/>
          <w:lang w:val="es-AR"/>
        </w:rPr>
        <w:t>ompañías vinculadas cuyo valor razonable es calculado descontando los flujos de caja futuros</w:t>
      </w:r>
    </w:p>
    <w:p w14:paraId="698BDCD6" w14:textId="77777777" w:rsidR="00D50EC4" w:rsidRPr="0009028A" w:rsidRDefault="00D50EC4" w:rsidP="00D50EC4">
      <w:pPr>
        <w:pStyle w:val="Prrafodelista"/>
        <w:ind w:left="426"/>
        <w:jc w:val="both"/>
        <w:rPr>
          <w:rFonts w:ascii="Arial" w:hAnsi="Arial" w:cs="Arial"/>
          <w:sz w:val="20"/>
          <w:szCs w:val="20"/>
          <w:lang w:val="es-AR"/>
        </w:rPr>
      </w:pPr>
    </w:p>
    <w:p w14:paraId="32642ED5" w14:textId="4A8A033F" w:rsidR="00990301" w:rsidRPr="0009028A" w:rsidRDefault="00990301" w:rsidP="00835247">
      <w:pPr>
        <w:pStyle w:val="Prrafodelista"/>
        <w:numPr>
          <w:ilvl w:val="0"/>
          <w:numId w:val="2"/>
        </w:numPr>
        <w:spacing w:after="0"/>
        <w:ind w:left="426"/>
        <w:jc w:val="both"/>
        <w:rPr>
          <w:rFonts w:ascii="Arial" w:eastAsia="Arial" w:hAnsi="Arial" w:cs="Arial"/>
          <w:spacing w:val="1"/>
          <w:sz w:val="20"/>
          <w:szCs w:val="20"/>
        </w:rPr>
      </w:pPr>
      <w:r w:rsidRPr="0009028A">
        <w:rPr>
          <w:rFonts w:ascii="Arial" w:hAnsi="Arial" w:cs="Arial"/>
          <w:sz w:val="20"/>
          <w:szCs w:val="20"/>
          <w:lang w:val="es-AR"/>
        </w:rPr>
        <w:t>En este forward</w:t>
      </w:r>
      <w:r w:rsidR="00E95883" w:rsidRPr="0009028A">
        <w:rPr>
          <w:rFonts w:ascii="Arial" w:hAnsi="Arial" w:cs="Arial"/>
          <w:sz w:val="20"/>
          <w:szCs w:val="20"/>
          <w:lang w:val="es-AR"/>
        </w:rPr>
        <w:t xml:space="preserve">, </w:t>
      </w:r>
      <w:r w:rsidRPr="0009028A">
        <w:rPr>
          <w:rFonts w:ascii="Arial" w:eastAsia="Times New Roman" w:hAnsi="Arial" w:cs="Arial"/>
          <w:sz w:val="20"/>
          <w:szCs w:val="20"/>
        </w:rPr>
        <w:t xml:space="preserve">con el fin de cubrir el patrimonio de los accionistas ante variaciones de la tasa de cambio. Corresponde a un derivado nivel 2 cuya valoración es realizada por flujos de caja descontados. </w:t>
      </w:r>
      <w:bookmarkEnd w:id="274"/>
    </w:p>
    <w:p w14:paraId="1F7A99E9" w14:textId="77777777" w:rsidR="00C46D94" w:rsidRPr="0009028A" w:rsidRDefault="00C46D94" w:rsidP="00990301">
      <w:pPr>
        <w:spacing w:after="0"/>
        <w:jc w:val="both"/>
        <w:rPr>
          <w:rFonts w:ascii="Arial" w:eastAsia="Arial" w:hAnsi="Arial" w:cs="Arial"/>
          <w:spacing w:val="1"/>
          <w:sz w:val="20"/>
          <w:szCs w:val="20"/>
        </w:rPr>
      </w:pPr>
    </w:p>
    <w:p w14:paraId="3B0B5287" w14:textId="01020B14" w:rsidR="008C1630" w:rsidRDefault="008C1630" w:rsidP="008E00CC">
      <w:pPr>
        <w:rPr>
          <w:rFonts w:ascii="Arial" w:hAnsi="Arial" w:cs="Arial"/>
        </w:rPr>
      </w:pPr>
      <w:bookmarkStart w:id="278" w:name="_Toc506991918"/>
    </w:p>
    <w:p w14:paraId="5DF13878" w14:textId="77777777" w:rsidR="00D769A6" w:rsidRDefault="00D769A6" w:rsidP="008E00CC">
      <w:pPr>
        <w:rPr>
          <w:rFonts w:ascii="Arial" w:hAnsi="Arial" w:cs="Arial"/>
        </w:rPr>
      </w:pPr>
    </w:p>
    <w:p w14:paraId="0A1030A9" w14:textId="77777777" w:rsidR="00D769A6" w:rsidRDefault="00D769A6" w:rsidP="008E00CC">
      <w:pPr>
        <w:rPr>
          <w:rFonts w:ascii="Arial" w:hAnsi="Arial" w:cs="Arial"/>
        </w:rPr>
      </w:pPr>
    </w:p>
    <w:p w14:paraId="2A276770" w14:textId="77777777" w:rsidR="00D769A6" w:rsidRDefault="00D769A6" w:rsidP="008E00CC">
      <w:pPr>
        <w:rPr>
          <w:rFonts w:ascii="Arial" w:hAnsi="Arial" w:cs="Arial"/>
        </w:rPr>
      </w:pPr>
    </w:p>
    <w:p w14:paraId="44B7F553" w14:textId="77777777" w:rsidR="00D769A6" w:rsidRPr="0009028A" w:rsidRDefault="00D769A6" w:rsidP="008E00CC">
      <w:pPr>
        <w:rPr>
          <w:rFonts w:ascii="Arial" w:hAnsi="Arial" w:cs="Arial"/>
        </w:rPr>
      </w:pPr>
    </w:p>
    <w:p w14:paraId="48552C5E" w14:textId="366AC2AA" w:rsidR="008E00CC" w:rsidRPr="0009028A" w:rsidRDefault="008E00CC" w:rsidP="00D100F1">
      <w:pPr>
        <w:pStyle w:val="Ttulo1"/>
      </w:pPr>
      <w:bookmarkStart w:id="279" w:name="_Toc8735095"/>
      <w:r w:rsidRPr="0009028A">
        <w:t xml:space="preserve">Nota </w:t>
      </w:r>
      <w:r w:rsidR="00835D2D" w:rsidRPr="0009028A">
        <w:t>7</w:t>
      </w:r>
      <w:r w:rsidRPr="0009028A">
        <w:t xml:space="preserve">: </w:t>
      </w:r>
      <w:r w:rsidR="00D33764">
        <w:t>Deudores</w:t>
      </w:r>
      <w:r w:rsidRPr="0009028A">
        <w:t xml:space="preserve"> comerciales por cobrar y otras cuentas por cobrar, neto</w:t>
      </w:r>
      <w:bookmarkEnd w:id="279"/>
    </w:p>
    <w:p w14:paraId="466FAD2C" w14:textId="26423138" w:rsidR="008E00CC" w:rsidRPr="0009028A" w:rsidRDefault="008E00CC" w:rsidP="008E00CC">
      <w:pPr>
        <w:rPr>
          <w:rFonts w:ascii="Arial" w:hAnsi="Arial" w:cs="Arial"/>
          <w:sz w:val="20"/>
        </w:rPr>
      </w:pPr>
      <w:r w:rsidRPr="0009028A">
        <w:rPr>
          <w:rFonts w:ascii="Arial" w:hAnsi="Arial" w:cs="Arial"/>
          <w:sz w:val="20"/>
        </w:rPr>
        <w:t>El saldo de l</w:t>
      </w:r>
      <w:r w:rsidR="00964E83">
        <w:rPr>
          <w:rFonts w:ascii="Arial" w:hAnsi="Arial" w:cs="Arial"/>
          <w:sz w:val="20"/>
        </w:rPr>
        <w:t>o</w:t>
      </w:r>
      <w:r w:rsidRPr="0009028A">
        <w:rPr>
          <w:rFonts w:ascii="Arial" w:hAnsi="Arial" w:cs="Arial"/>
          <w:sz w:val="20"/>
        </w:rPr>
        <w:t xml:space="preserve">s </w:t>
      </w:r>
      <w:r w:rsidR="00D33764">
        <w:rPr>
          <w:rFonts w:ascii="Arial" w:hAnsi="Arial" w:cs="Arial"/>
          <w:sz w:val="20"/>
        </w:rPr>
        <w:t>deudores</w:t>
      </w:r>
      <w:r w:rsidRPr="0009028A">
        <w:rPr>
          <w:rFonts w:ascii="Arial" w:hAnsi="Arial" w:cs="Arial"/>
          <w:sz w:val="20"/>
        </w:rPr>
        <w:t xml:space="preserve"> corrientes comerciales y otras cuentas por cobrar, neto, comprende:</w:t>
      </w:r>
    </w:p>
    <w:tbl>
      <w:tblPr>
        <w:tblW w:w="9353" w:type="dxa"/>
        <w:tblCellMar>
          <w:left w:w="70" w:type="dxa"/>
          <w:right w:w="70" w:type="dxa"/>
        </w:tblCellMar>
        <w:tblLook w:val="04A0" w:firstRow="1" w:lastRow="0" w:firstColumn="1" w:lastColumn="0" w:noHBand="0" w:noVBand="1"/>
      </w:tblPr>
      <w:tblGrid>
        <w:gridCol w:w="6236"/>
        <w:gridCol w:w="1417"/>
        <w:gridCol w:w="283"/>
        <w:gridCol w:w="1417"/>
      </w:tblGrid>
      <w:tr w:rsidR="008E00CC" w:rsidRPr="008E00CC" w14:paraId="10D6C37F" w14:textId="77777777" w:rsidTr="0095255B">
        <w:trPr>
          <w:trHeight w:val="227"/>
        </w:trPr>
        <w:tc>
          <w:tcPr>
            <w:tcW w:w="6236" w:type="dxa"/>
            <w:shd w:val="clear" w:color="auto" w:fill="auto"/>
            <w:noWrap/>
            <w:vAlign w:val="center"/>
            <w:hideMark/>
          </w:tcPr>
          <w:p w14:paraId="7F75B19B" w14:textId="77777777" w:rsidR="008E00CC" w:rsidRPr="008E00CC" w:rsidRDefault="008E00CC" w:rsidP="008E00CC">
            <w:pPr>
              <w:spacing w:after="0" w:line="240" w:lineRule="auto"/>
              <w:rPr>
                <w:rFonts w:ascii="Arial" w:eastAsia="Times New Roman" w:hAnsi="Arial" w:cs="Arial"/>
                <w:b/>
                <w:bCs/>
                <w:color w:val="002060"/>
                <w:sz w:val="18"/>
                <w:szCs w:val="18"/>
                <w:lang w:eastAsia="es-CO"/>
              </w:rPr>
            </w:pPr>
            <w:r w:rsidRPr="008E00CC">
              <w:rPr>
                <w:rFonts w:ascii="Arial" w:eastAsia="Times New Roman" w:hAnsi="Arial" w:cs="Arial"/>
                <w:b/>
                <w:bCs/>
                <w:color w:val="002060"/>
                <w:sz w:val="18"/>
                <w:szCs w:val="18"/>
                <w:lang w:eastAsia="es-CO"/>
              </w:rPr>
              <w:t> </w:t>
            </w:r>
          </w:p>
        </w:tc>
        <w:tc>
          <w:tcPr>
            <w:tcW w:w="1417" w:type="dxa"/>
            <w:shd w:val="clear" w:color="auto" w:fill="auto"/>
            <w:noWrap/>
            <w:vAlign w:val="center"/>
            <w:hideMark/>
          </w:tcPr>
          <w:p w14:paraId="612B937F" w14:textId="77777777" w:rsidR="008E00CC" w:rsidRPr="008E00CC" w:rsidRDefault="008E00CC" w:rsidP="008E00CC">
            <w:pPr>
              <w:spacing w:after="0" w:line="240" w:lineRule="auto"/>
              <w:jc w:val="center"/>
              <w:rPr>
                <w:rFonts w:ascii="Arial" w:eastAsia="Times New Roman" w:hAnsi="Arial" w:cs="Arial"/>
                <w:b/>
                <w:bCs/>
                <w:color w:val="002060"/>
                <w:sz w:val="18"/>
                <w:szCs w:val="18"/>
                <w:lang w:eastAsia="es-CO"/>
              </w:rPr>
            </w:pPr>
            <w:r w:rsidRPr="008E00CC">
              <w:rPr>
                <w:rFonts w:ascii="Arial" w:eastAsia="Times New Roman" w:hAnsi="Arial" w:cs="Arial"/>
                <w:b/>
                <w:bCs/>
                <w:color w:val="002060"/>
                <w:sz w:val="18"/>
                <w:szCs w:val="18"/>
                <w:lang w:eastAsia="es-CO"/>
              </w:rPr>
              <w:t>Marzo 2019</w:t>
            </w:r>
          </w:p>
        </w:tc>
        <w:tc>
          <w:tcPr>
            <w:tcW w:w="283" w:type="dxa"/>
            <w:shd w:val="clear" w:color="auto" w:fill="auto"/>
            <w:noWrap/>
            <w:vAlign w:val="center"/>
            <w:hideMark/>
          </w:tcPr>
          <w:p w14:paraId="5FC669A5" w14:textId="77777777" w:rsidR="008E00CC" w:rsidRPr="008E00CC" w:rsidRDefault="008E00CC" w:rsidP="008E00CC">
            <w:pPr>
              <w:spacing w:after="0" w:line="240" w:lineRule="auto"/>
              <w:jc w:val="center"/>
              <w:rPr>
                <w:rFonts w:ascii="Arial" w:eastAsia="Times New Roman" w:hAnsi="Arial" w:cs="Arial"/>
                <w:b/>
                <w:bCs/>
                <w:color w:val="002060"/>
                <w:sz w:val="18"/>
                <w:szCs w:val="18"/>
                <w:lang w:eastAsia="es-CO"/>
              </w:rPr>
            </w:pPr>
          </w:p>
        </w:tc>
        <w:tc>
          <w:tcPr>
            <w:tcW w:w="1417" w:type="dxa"/>
            <w:shd w:val="clear" w:color="auto" w:fill="auto"/>
            <w:noWrap/>
            <w:vAlign w:val="center"/>
            <w:hideMark/>
          </w:tcPr>
          <w:p w14:paraId="59CFB81B" w14:textId="77777777" w:rsidR="008E00CC" w:rsidRPr="008E00CC" w:rsidRDefault="008E00CC" w:rsidP="008E00CC">
            <w:pPr>
              <w:spacing w:after="0" w:line="240" w:lineRule="auto"/>
              <w:jc w:val="center"/>
              <w:rPr>
                <w:rFonts w:ascii="Arial" w:eastAsia="Times New Roman" w:hAnsi="Arial" w:cs="Arial"/>
                <w:b/>
                <w:bCs/>
                <w:color w:val="002060"/>
                <w:sz w:val="18"/>
                <w:szCs w:val="18"/>
                <w:lang w:eastAsia="es-CO"/>
              </w:rPr>
            </w:pPr>
            <w:r w:rsidRPr="008E00CC">
              <w:rPr>
                <w:rFonts w:ascii="Arial" w:eastAsia="Times New Roman" w:hAnsi="Arial" w:cs="Arial"/>
                <w:b/>
                <w:bCs/>
                <w:color w:val="002060"/>
                <w:sz w:val="18"/>
                <w:szCs w:val="18"/>
                <w:lang w:eastAsia="es-CO"/>
              </w:rPr>
              <w:t>Diciembre 2018</w:t>
            </w:r>
          </w:p>
        </w:tc>
      </w:tr>
      <w:tr w:rsidR="008E00CC" w:rsidRPr="008E00CC" w14:paraId="43719221" w14:textId="77777777" w:rsidTr="0095255B">
        <w:trPr>
          <w:trHeight w:val="227"/>
        </w:trPr>
        <w:tc>
          <w:tcPr>
            <w:tcW w:w="6236" w:type="dxa"/>
            <w:shd w:val="clear" w:color="auto" w:fill="auto"/>
            <w:noWrap/>
            <w:vAlign w:val="center"/>
            <w:hideMark/>
          </w:tcPr>
          <w:p w14:paraId="1A1690E4" w14:textId="77777777" w:rsidR="008E00CC" w:rsidRPr="008E00CC" w:rsidRDefault="008E00CC" w:rsidP="008E00CC">
            <w:pPr>
              <w:spacing w:after="0" w:line="240" w:lineRule="auto"/>
              <w:rPr>
                <w:rFonts w:ascii="Arial" w:eastAsia="Times New Roman" w:hAnsi="Arial" w:cs="Arial"/>
                <w:color w:val="000000"/>
                <w:sz w:val="18"/>
                <w:szCs w:val="18"/>
                <w:lang w:eastAsia="es-CO"/>
              </w:rPr>
            </w:pPr>
            <w:r w:rsidRPr="008E00CC">
              <w:rPr>
                <w:rFonts w:ascii="Arial" w:eastAsia="Times New Roman" w:hAnsi="Arial" w:cs="Arial"/>
                <w:color w:val="000000"/>
                <w:sz w:val="18"/>
                <w:szCs w:val="18"/>
                <w:lang w:eastAsia="es-CO"/>
              </w:rPr>
              <w:t>Clientes nacionales</w:t>
            </w:r>
          </w:p>
        </w:tc>
        <w:tc>
          <w:tcPr>
            <w:tcW w:w="1417" w:type="dxa"/>
            <w:shd w:val="clear" w:color="auto" w:fill="auto"/>
            <w:noWrap/>
            <w:vAlign w:val="center"/>
            <w:hideMark/>
          </w:tcPr>
          <w:p w14:paraId="6EC145AE" w14:textId="6C300270" w:rsidR="008E00CC" w:rsidRPr="008E00CC" w:rsidRDefault="0095255B" w:rsidP="008E00CC">
            <w:pPr>
              <w:spacing w:after="0" w:line="240" w:lineRule="auto"/>
              <w:jc w:val="right"/>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        </w:t>
            </w:r>
            <w:r w:rsidR="008E00CC" w:rsidRPr="008E00CC">
              <w:rPr>
                <w:rFonts w:ascii="Arial" w:eastAsia="Times New Roman" w:hAnsi="Arial" w:cs="Arial"/>
                <w:color w:val="000000"/>
                <w:sz w:val="18"/>
                <w:szCs w:val="18"/>
                <w:lang w:eastAsia="es-CO"/>
              </w:rPr>
              <w:t>274.744</w:t>
            </w:r>
          </w:p>
        </w:tc>
        <w:tc>
          <w:tcPr>
            <w:tcW w:w="283" w:type="dxa"/>
            <w:shd w:val="clear" w:color="auto" w:fill="auto"/>
            <w:noWrap/>
            <w:vAlign w:val="center"/>
            <w:hideMark/>
          </w:tcPr>
          <w:p w14:paraId="079B0FA9" w14:textId="77777777" w:rsidR="008E00CC" w:rsidRPr="008E00CC" w:rsidRDefault="008E00CC" w:rsidP="008E00CC">
            <w:pPr>
              <w:spacing w:after="0" w:line="240" w:lineRule="auto"/>
              <w:jc w:val="right"/>
              <w:rPr>
                <w:rFonts w:ascii="Arial" w:eastAsia="Times New Roman" w:hAnsi="Arial" w:cs="Arial"/>
                <w:color w:val="000000"/>
                <w:sz w:val="18"/>
                <w:szCs w:val="18"/>
                <w:lang w:eastAsia="es-CO"/>
              </w:rPr>
            </w:pPr>
          </w:p>
        </w:tc>
        <w:tc>
          <w:tcPr>
            <w:tcW w:w="1417" w:type="dxa"/>
            <w:shd w:val="clear" w:color="auto" w:fill="auto"/>
            <w:noWrap/>
            <w:vAlign w:val="center"/>
            <w:hideMark/>
          </w:tcPr>
          <w:p w14:paraId="62B48C27" w14:textId="77777777" w:rsidR="008E00CC" w:rsidRPr="008E00CC" w:rsidRDefault="008E00CC" w:rsidP="008E00CC">
            <w:pPr>
              <w:spacing w:after="0" w:line="240" w:lineRule="auto"/>
              <w:jc w:val="right"/>
              <w:rPr>
                <w:rFonts w:ascii="Arial" w:eastAsia="Times New Roman" w:hAnsi="Arial" w:cs="Arial"/>
                <w:color w:val="000000"/>
                <w:sz w:val="18"/>
                <w:szCs w:val="18"/>
                <w:lang w:eastAsia="es-CO"/>
              </w:rPr>
            </w:pPr>
            <w:r w:rsidRPr="008E00CC">
              <w:rPr>
                <w:rFonts w:ascii="Arial" w:eastAsia="Times New Roman" w:hAnsi="Arial" w:cs="Arial"/>
                <w:color w:val="000000"/>
                <w:sz w:val="18"/>
                <w:szCs w:val="18"/>
                <w:lang w:eastAsia="es-CO"/>
              </w:rPr>
              <w:t>137.963</w:t>
            </w:r>
          </w:p>
        </w:tc>
      </w:tr>
      <w:tr w:rsidR="008E00CC" w:rsidRPr="008E00CC" w14:paraId="471A44B6" w14:textId="77777777" w:rsidTr="0095255B">
        <w:trPr>
          <w:trHeight w:val="227"/>
        </w:trPr>
        <w:tc>
          <w:tcPr>
            <w:tcW w:w="6236" w:type="dxa"/>
            <w:shd w:val="clear" w:color="auto" w:fill="auto"/>
            <w:noWrap/>
            <w:vAlign w:val="center"/>
            <w:hideMark/>
          </w:tcPr>
          <w:p w14:paraId="76FFCD48" w14:textId="23CDAFA4" w:rsidR="008E00CC" w:rsidRPr="008E00CC" w:rsidRDefault="008E00CC" w:rsidP="008E00CC">
            <w:pPr>
              <w:spacing w:after="0" w:line="240" w:lineRule="auto"/>
              <w:rPr>
                <w:rFonts w:ascii="Arial" w:eastAsia="Times New Roman" w:hAnsi="Arial" w:cs="Arial"/>
                <w:color w:val="000000"/>
                <w:sz w:val="18"/>
                <w:szCs w:val="18"/>
                <w:lang w:eastAsia="es-CO"/>
              </w:rPr>
            </w:pPr>
            <w:r w:rsidRPr="008E00CC">
              <w:rPr>
                <w:rFonts w:ascii="Arial" w:eastAsia="Times New Roman" w:hAnsi="Arial" w:cs="Arial"/>
                <w:color w:val="000000"/>
                <w:sz w:val="18"/>
                <w:szCs w:val="18"/>
                <w:lang w:eastAsia="es-CO"/>
              </w:rPr>
              <w:t>Deudores partes relacionadas (ver nota 2</w:t>
            </w:r>
            <w:r w:rsidR="00964E83">
              <w:rPr>
                <w:rFonts w:ascii="Arial" w:eastAsia="Times New Roman" w:hAnsi="Arial" w:cs="Arial"/>
                <w:color w:val="000000"/>
                <w:sz w:val="18"/>
                <w:szCs w:val="18"/>
                <w:lang w:eastAsia="es-CO"/>
              </w:rPr>
              <w:t>5</w:t>
            </w:r>
            <w:r w:rsidRPr="008E00CC">
              <w:rPr>
                <w:rFonts w:ascii="Arial" w:eastAsia="Times New Roman" w:hAnsi="Arial" w:cs="Arial"/>
                <w:color w:val="000000"/>
                <w:sz w:val="18"/>
                <w:szCs w:val="18"/>
                <w:lang w:eastAsia="es-CO"/>
              </w:rPr>
              <w:t>)</w:t>
            </w:r>
            <w:r w:rsidR="007E7E7A" w:rsidRPr="0009028A">
              <w:rPr>
                <w:rFonts w:ascii="Arial" w:eastAsia="Times New Roman" w:hAnsi="Arial" w:cs="Arial"/>
                <w:color w:val="000000"/>
                <w:sz w:val="18"/>
                <w:szCs w:val="18"/>
                <w:lang w:eastAsia="es-CO"/>
              </w:rPr>
              <w:t xml:space="preserve"> (</w:t>
            </w:r>
            <w:r w:rsidR="00DD5738">
              <w:rPr>
                <w:rFonts w:ascii="Arial" w:eastAsia="Times New Roman" w:hAnsi="Arial" w:cs="Arial"/>
                <w:color w:val="000000"/>
                <w:sz w:val="18"/>
                <w:szCs w:val="18"/>
                <w:lang w:eastAsia="es-CO"/>
              </w:rPr>
              <w:t>*</w:t>
            </w:r>
            <w:r w:rsidR="007E7E7A" w:rsidRPr="0009028A">
              <w:rPr>
                <w:rFonts w:ascii="Arial" w:eastAsia="Times New Roman" w:hAnsi="Arial" w:cs="Arial"/>
                <w:color w:val="000000"/>
                <w:sz w:val="18"/>
                <w:szCs w:val="18"/>
                <w:lang w:eastAsia="es-CO"/>
              </w:rPr>
              <w:t>)</w:t>
            </w:r>
          </w:p>
        </w:tc>
        <w:tc>
          <w:tcPr>
            <w:tcW w:w="1417" w:type="dxa"/>
            <w:shd w:val="clear" w:color="auto" w:fill="auto"/>
            <w:noWrap/>
            <w:vAlign w:val="center"/>
            <w:hideMark/>
          </w:tcPr>
          <w:p w14:paraId="4E73466E" w14:textId="77777777" w:rsidR="008E00CC" w:rsidRPr="008E00CC" w:rsidRDefault="008E00CC" w:rsidP="008E00CC">
            <w:pPr>
              <w:spacing w:after="0" w:line="240" w:lineRule="auto"/>
              <w:jc w:val="right"/>
              <w:rPr>
                <w:rFonts w:ascii="Arial" w:eastAsia="Times New Roman" w:hAnsi="Arial" w:cs="Arial"/>
                <w:color w:val="000000"/>
                <w:sz w:val="18"/>
                <w:szCs w:val="18"/>
                <w:lang w:eastAsia="es-CO"/>
              </w:rPr>
            </w:pPr>
            <w:r w:rsidRPr="008E00CC">
              <w:rPr>
                <w:rFonts w:ascii="Arial" w:eastAsia="Times New Roman" w:hAnsi="Arial" w:cs="Arial"/>
                <w:color w:val="000000"/>
                <w:sz w:val="18"/>
                <w:szCs w:val="18"/>
                <w:lang w:eastAsia="es-CO"/>
              </w:rPr>
              <w:t>51.101.154</w:t>
            </w:r>
          </w:p>
        </w:tc>
        <w:tc>
          <w:tcPr>
            <w:tcW w:w="283" w:type="dxa"/>
            <w:shd w:val="clear" w:color="auto" w:fill="auto"/>
            <w:noWrap/>
            <w:vAlign w:val="center"/>
            <w:hideMark/>
          </w:tcPr>
          <w:p w14:paraId="3761CCCB" w14:textId="77777777" w:rsidR="008E00CC" w:rsidRPr="008E00CC" w:rsidRDefault="008E00CC" w:rsidP="008E00CC">
            <w:pPr>
              <w:spacing w:after="0" w:line="240" w:lineRule="auto"/>
              <w:jc w:val="right"/>
              <w:rPr>
                <w:rFonts w:ascii="Arial" w:eastAsia="Times New Roman" w:hAnsi="Arial" w:cs="Arial"/>
                <w:color w:val="000000"/>
                <w:sz w:val="18"/>
                <w:szCs w:val="18"/>
                <w:lang w:eastAsia="es-CO"/>
              </w:rPr>
            </w:pPr>
          </w:p>
        </w:tc>
        <w:tc>
          <w:tcPr>
            <w:tcW w:w="1417" w:type="dxa"/>
            <w:shd w:val="clear" w:color="auto" w:fill="auto"/>
            <w:noWrap/>
            <w:vAlign w:val="center"/>
            <w:hideMark/>
          </w:tcPr>
          <w:p w14:paraId="3DFA51A0" w14:textId="77777777" w:rsidR="008E00CC" w:rsidRPr="008E00CC" w:rsidRDefault="008E00CC" w:rsidP="008E00CC">
            <w:pPr>
              <w:spacing w:after="0" w:line="240" w:lineRule="auto"/>
              <w:jc w:val="right"/>
              <w:rPr>
                <w:rFonts w:ascii="Arial" w:eastAsia="Times New Roman" w:hAnsi="Arial" w:cs="Arial"/>
                <w:color w:val="000000"/>
                <w:sz w:val="18"/>
                <w:szCs w:val="18"/>
                <w:lang w:eastAsia="es-CO"/>
              </w:rPr>
            </w:pPr>
            <w:r w:rsidRPr="008E00CC">
              <w:rPr>
                <w:rFonts w:ascii="Arial" w:eastAsia="Times New Roman" w:hAnsi="Arial" w:cs="Arial"/>
                <w:color w:val="000000"/>
                <w:sz w:val="18"/>
                <w:szCs w:val="18"/>
                <w:lang w:eastAsia="es-CO"/>
              </w:rPr>
              <w:t>32.988.209</w:t>
            </w:r>
          </w:p>
        </w:tc>
      </w:tr>
      <w:tr w:rsidR="008E00CC" w:rsidRPr="008E00CC" w14:paraId="7B3A8EFE" w14:textId="77777777" w:rsidTr="0095255B">
        <w:trPr>
          <w:trHeight w:val="227"/>
        </w:trPr>
        <w:tc>
          <w:tcPr>
            <w:tcW w:w="6236" w:type="dxa"/>
            <w:shd w:val="clear" w:color="auto" w:fill="auto"/>
            <w:noWrap/>
            <w:vAlign w:val="center"/>
            <w:hideMark/>
          </w:tcPr>
          <w:p w14:paraId="55CACEEF" w14:textId="77777777" w:rsidR="008E00CC" w:rsidRPr="008E00CC" w:rsidRDefault="008E00CC" w:rsidP="008E00CC">
            <w:pPr>
              <w:spacing w:after="0" w:line="240" w:lineRule="auto"/>
              <w:rPr>
                <w:rFonts w:ascii="Arial" w:eastAsia="Times New Roman" w:hAnsi="Arial" w:cs="Arial"/>
                <w:color w:val="000000"/>
                <w:sz w:val="18"/>
                <w:szCs w:val="18"/>
                <w:lang w:eastAsia="es-CO"/>
              </w:rPr>
            </w:pPr>
            <w:r w:rsidRPr="008E00CC">
              <w:rPr>
                <w:rFonts w:ascii="Arial" w:eastAsia="Times New Roman" w:hAnsi="Arial" w:cs="Arial"/>
                <w:color w:val="000000"/>
                <w:sz w:val="18"/>
                <w:szCs w:val="18"/>
                <w:lang w:eastAsia="es-CO"/>
              </w:rPr>
              <w:t>Ingresos por cobrar y otros deudores</w:t>
            </w:r>
          </w:p>
        </w:tc>
        <w:tc>
          <w:tcPr>
            <w:tcW w:w="1417" w:type="dxa"/>
            <w:shd w:val="clear" w:color="auto" w:fill="auto"/>
            <w:noWrap/>
            <w:vAlign w:val="center"/>
            <w:hideMark/>
          </w:tcPr>
          <w:p w14:paraId="60719857" w14:textId="77777777" w:rsidR="008E00CC" w:rsidRPr="008E00CC" w:rsidRDefault="008E00CC" w:rsidP="008E00CC">
            <w:pPr>
              <w:spacing w:after="0" w:line="240" w:lineRule="auto"/>
              <w:jc w:val="right"/>
              <w:rPr>
                <w:rFonts w:ascii="Arial" w:eastAsia="Times New Roman" w:hAnsi="Arial" w:cs="Arial"/>
                <w:color w:val="000000"/>
                <w:sz w:val="18"/>
                <w:szCs w:val="18"/>
                <w:lang w:eastAsia="es-CO"/>
              </w:rPr>
            </w:pPr>
            <w:r w:rsidRPr="008E00CC">
              <w:rPr>
                <w:rFonts w:ascii="Arial" w:eastAsia="Times New Roman" w:hAnsi="Arial" w:cs="Arial"/>
                <w:color w:val="000000"/>
                <w:sz w:val="18"/>
                <w:szCs w:val="18"/>
                <w:lang w:eastAsia="es-CO"/>
              </w:rPr>
              <w:t>55.946.431</w:t>
            </w:r>
          </w:p>
        </w:tc>
        <w:tc>
          <w:tcPr>
            <w:tcW w:w="283" w:type="dxa"/>
            <w:shd w:val="clear" w:color="auto" w:fill="auto"/>
            <w:noWrap/>
            <w:vAlign w:val="center"/>
            <w:hideMark/>
          </w:tcPr>
          <w:p w14:paraId="00EE2291" w14:textId="77777777" w:rsidR="008E00CC" w:rsidRPr="008E00CC" w:rsidRDefault="008E00CC" w:rsidP="008E00CC">
            <w:pPr>
              <w:spacing w:after="0" w:line="240" w:lineRule="auto"/>
              <w:jc w:val="right"/>
              <w:rPr>
                <w:rFonts w:ascii="Arial" w:eastAsia="Times New Roman" w:hAnsi="Arial" w:cs="Arial"/>
                <w:color w:val="000000"/>
                <w:sz w:val="18"/>
                <w:szCs w:val="18"/>
                <w:lang w:eastAsia="es-CO"/>
              </w:rPr>
            </w:pPr>
          </w:p>
        </w:tc>
        <w:tc>
          <w:tcPr>
            <w:tcW w:w="1417" w:type="dxa"/>
            <w:shd w:val="clear" w:color="auto" w:fill="auto"/>
            <w:noWrap/>
            <w:vAlign w:val="center"/>
            <w:hideMark/>
          </w:tcPr>
          <w:p w14:paraId="4AB0C9CD" w14:textId="77777777" w:rsidR="008E00CC" w:rsidRPr="008E00CC" w:rsidRDefault="008E00CC" w:rsidP="008E00CC">
            <w:pPr>
              <w:spacing w:after="0" w:line="240" w:lineRule="auto"/>
              <w:jc w:val="right"/>
              <w:rPr>
                <w:rFonts w:ascii="Arial" w:eastAsia="Times New Roman" w:hAnsi="Arial" w:cs="Arial"/>
                <w:color w:val="000000"/>
                <w:sz w:val="18"/>
                <w:szCs w:val="18"/>
                <w:lang w:eastAsia="es-CO"/>
              </w:rPr>
            </w:pPr>
            <w:r w:rsidRPr="008E00CC">
              <w:rPr>
                <w:rFonts w:ascii="Arial" w:eastAsia="Times New Roman" w:hAnsi="Arial" w:cs="Arial"/>
                <w:color w:val="000000"/>
                <w:sz w:val="18"/>
                <w:szCs w:val="18"/>
                <w:lang w:eastAsia="es-CO"/>
              </w:rPr>
              <w:t>56.237.305</w:t>
            </w:r>
          </w:p>
        </w:tc>
      </w:tr>
      <w:tr w:rsidR="008E00CC" w:rsidRPr="008E00CC" w14:paraId="33E83EBA" w14:textId="77777777" w:rsidTr="0095255B">
        <w:trPr>
          <w:trHeight w:val="227"/>
        </w:trPr>
        <w:tc>
          <w:tcPr>
            <w:tcW w:w="6236" w:type="dxa"/>
            <w:shd w:val="clear" w:color="auto" w:fill="auto"/>
            <w:noWrap/>
            <w:vAlign w:val="center"/>
            <w:hideMark/>
          </w:tcPr>
          <w:p w14:paraId="108CA38F" w14:textId="27F5A75B" w:rsidR="008E00CC" w:rsidRPr="008E00CC" w:rsidRDefault="008E00CC" w:rsidP="008E00CC">
            <w:pPr>
              <w:spacing w:after="0" w:line="240" w:lineRule="auto"/>
              <w:rPr>
                <w:rFonts w:ascii="Arial" w:eastAsia="Times New Roman" w:hAnsi="Arial" w:cs="Arial"/>
                <w:color w:val="000000"/>
                <w:sz w:val="18"/>
                <w:szCs w:val="18"/>
                <w:lang w:eastAsia="es-CO"/>
              </w:rPr>
            </w:pPr>
            <w:r w:rsidRPr="008E00CC">
              <w:rPr>
                <w:rFonts w:ascii="Arial" w:eastAsia="Times New Roman" w:hAnsi="Arial" w:cs="Arial"/>
                <w:color w:val="000000"/>
                <w:sz w:val="18"/>
                <w:szCs w:val="18"/>
                <w:lang w:eastAsia="es-CO"/>
              </w:rPr>
              <w:t>Cuentas por cobrar a empleados</w:t>
            </w:r>
          </w:p>
        </w:tc>
        <w:tc>
          <w:tcPr>
            <w:tcW w:w="1417" w:type="dxa"/>
            <w:shd w:val="clear" w:color="auto" w:fill="auto"/>
            <w:noWrap/>
            <w:vAlign w:val="center"/>
            <w:hideMark/>
          </w:tcPr>
          <w:p w14:paraId="7E6B4D08" w14:textId="77777777" w:rsidR="008E00CC" w:rsidRPr="008E00CC" w:rsidRDefault="008E00CC" w:rsidP="008E00CC">
            <w:pPr>
              <w:spacing w:after="0" w:line="240" w:lineRule="auto"/>
              <w:jc w:val="right"/>
              <w:rPr>
                <w:rFonts w:ascii="Arial" w:eastAsia="Times New Roman" w:hAnsi="Arial" w:cs="Arial"/>
                <w:color w:val="000000"/>
                <w:sz w:val="18"/>
                <w:szCs w:val="18"/>
                <w:lang w:eastAsia="es-CO"/>
              </w:rPr>
            </w:pPr>
            <w:r w:rsidRPr="008E00CC">
              <w:rPr>
                <w:rFonts w:ascii="Arial" w:eastAsia="Times New Roman" w:hAnsi="Arial" w:cs="Arial"/>
                <w:color w:val="000000"/>
                <w:sz w:val="18"/>
                <w:szCs w:val="18"/>
                <w:lang w:eastAsia="es-CO"/>
              </w:rPr>
              <w:t>1.189.782</w:t>
            </w:r>
          </w:p>
        </w:tc>
        <w:tc>
          <w:tcPr>
            <w:tcW w:w="283" w:type="dxa"/>
            <w:shd w:val="clear" w:color="auto" w:fill="auto"/>
            <w:noWrap/>
            <w:vAlign w:val="center"/>
            <w:hideMark/>
          </w:tcPr>
          <w:p w14:paraId="757732ED" w14:textId="77777777" w:rsidR="008E00CC" w:rsidRPr="008E00CC" w:rsidRDefault="008E00CC" w:rsidP="008E00CC">
            <w:pPr>
              <w:spacing w:after="0" w:line="240" w:lineRule="auto"/>
              <w:jc w:val="right"/>
              <w:rPr>
                <w:rFonts w:ascii="Arial" w:eastAsia="Times New Roman" w:hAnsi="Arial" w:cs="Arial"/>
                <w:color w:val="000000"/>
                <w:sz w:val="18"/>
                <w:szCs w:val="18"/>
                <w:lang w:eastAsia="es-CO"/>
              </w:rPr>
            </w:pPr>
          </w:p>
        </w:tc>
        <w:tc>
          <w:tcPr>
            <w:tcW w:w="1417" w:type="dxa"/>
            <w:shd w:val="clear" w:color="auto" w:fill="auto"/>
            <w:noWrap/>
            <w:vAlign w:val="center"/>
            <w:hideMark/>
          </w:tcPr>
          <w:p w14:paraId="78E99439" w14:textId="77777777" w:rsidR="008E00CC" w:rsidRPr="008E00CC" w:rsidRDefault="008E00CC" w:rsidP="008E00CC">
            <w:pPr>
              <w:spacing w:after="0" w:line="240" w:lineRule="auto"/>
              <w:jc w:val="right"/>
              <w:rPr>
                <w:rFonts w:ascii="Arial" w:eastAsia="Times New Roman" w:hAnsi="Arial" w:cs="Arial"/>
                <w:color w:val="000000"/>
                <w:sz w:val="18"/>
                <w:szCs w:val="18"/>
                <w:lang w:eastAsia="es-CO"/>
              </w:rPr>
            </w:pPr>
            <w:r w:rsidRPr="008E00CC">
              <w:rPr>
                <w:rFonts w:ascii="Arial" w:eastAsia="Times New Roman" w:hAnsi="Arial" w:cs="Arial"/>
                <w:color w:val="000000"/>
                <w:sz w:val="18"/>
                <w:szCs w:val="18"/>
                <w:lang w:eastAsia="es-CO"/>
              </w:rPr>
              <w:t>1.166.756</w:t>
            </w:r>
          </w:p>
        </w:tc>
      </w:tr>
      <w:tr w:rsidR="008E00CC" w:rsidRPr="008E00CC" w14:paraId="1DA63605" w14:textId="77777777" w:rsidTr="0095255B">
        <w:trPr>
          <w:trHeight w:val="227"/>
        </w:trPr>
        <w:tc>
          <w:tcPr>
            <w:tcW w:w="6236" w:type="dxa"/>
            <w:shd w:val="clear" w:color="auto" w:fill="auto"/>
            <w:noWrap/>
            <w:vAlign w:val="center"/>
            <w:hideMark/>
          </w:tcPr>
          <w:p w14:paraId="6FBB2E53" w14:textId="7478C6DC" w:rsidR="008E00CC" w:rsidRPr="008E00CC" w:rsidRDefault="008E00CC" w:rsidP="008E00CC">
            <w:pPr>
              <w:spacing w:after="0" w:line="240" w:lineRule="auto"/>
              <w:rPr>
                <w:rFonts w:ascii="Arial" w:eastAsia="Times New Roman" w:hAnsi="Arial" w:cs="Arial"/>
                <w:color w:val="000000"/>
                <w:sz w:val="18"/>
                <w:szCs w:val="18"/>
                <w:lang w:eastAsia="es-CO"/>
              </w:rPr>
            </w:pPr>
            <w:r w:rsidRPr="008E00CC">
              <w:rPr>
                <w:rFonts w:ascii="Arial" w:eastAsia="Times New Roman" w:hAnsi="Arial" w:cs="Arial"/>
                <w:color w:val="000000"/>
                <w:sz w:val="18"/>
                <w:szCs w:val="18"/>
                <w:lang w:eastAsia="es-CO"/>
              </w:rPr>
              <w:t>Deterioro</w:t>
            </w:r>
            <w:r w:rsidR="007E7E7A" w:rsidRPr="0009028A">
              <w:rPr>
                <w:rFonts w:ascii="Arial" w:eastAsia="Times New Roman" w:hAnsi="Arial" w:cs="Arial"/>
                <w:color w:val="000000"/>
                <w:sz w:val="18"/>
                <w:szCs w:val="18"/>
                <w:lang w:eastAsia="es-CO"/>
              </w:rPr>
              <w:t xml:space="preserve"> </w:t>
            </w:r>
            <w:r w:rsidRPr="008E00CC">
              <w:rPr>
                <w:rFonts w:ascii="Arial" w:eastAsia="Times New Roman" w:hAnsi="Arial" w:cs="Arial"/>
                <w:color w:val="000000"/>
                <w:sz w:val="18"/>
                <w:szCs w:val="18"/>
                <w:lang w:eastAsia="es-CO"/>
              </w:rPr>
              <w:t>para cuentas de cobro dudoso</w:t>
            </w:r>
          </w:p>
        </w:tc>
        <w:tc>
          <w:tcPr>
            <w:tcW w:w="1417" w:type="dxa"/>
            <w:shd w:val="clear" w:color="auto" w:fill="auto"/>
            <w:noWrap/>
            <w:vAlign w:val="center"/>
            <w:hideMark/>
          </w:tcPr>
          <w:p w14:paraId="7AED0E4D" w14:textId="63FB27FD" w:rsidR="008E00CC" w:rsidRPr="0095255B" w:rsidRDefault="007E7E7A" w:rsidP="008E00CC">
            <w:pPr>
              <w:spacing w:after="0" w:line="240" w:lineRule="auto"/>
              <w:jc w:val="right"/>
              <w:rPr>
                <w:rFonts w:ascii="Arial" w:eastAsia="Times New Roman" w:hAnsi="Arial" w:cs="Arial"/>
                <w:color w:val="000000"/>
                <w:sz w:val="18"/>
                <w:szCs w:val="18"/>
                <w:u w:val="single"/>
                <w:lang w:eastAsia="es-CO"/>
              </w:rPr>
            </w:pPr>
            <w:r w:rsidRPr="0095255B">
              <w:rPr>
                <w:rFonts w:ascii="Arial" w:eastAsia="Times New Roman" w:hAnsi="Arial" w:cs="Arial"/>
                <w:color w:val="000000"/>
                <w:sz w:val="18"/>
                <w:szCs w:val="18"/>
                <w:u w:val="single"/>
                <w:lang w:eastAsia="es-CO"/>
              </w:rPr>
              <w:t>(</w:t>
            </w:r>
            <w:r w:rsidR="008E00CC" w:rsidRPr="0095255B">
              <w:rPr>
                <w:rFonts w:ascii="Arial" w:eastAsia="Times New Roman" w:hAnsi="Arial" w:cs="Arial"/>
                <w:color w:val="000000"/>
                <w:sz w:val="18"/>
                <w:szCs w:val="18"/>
                <w:u w:val="single"/>
                <w:lang w:eastAsia="es-CO"/>
              </w:rPr>
              <w:t>11.089.202</w:t>
            </w:r>
            <w:r w:rsidRPr="0095255B">
              <w:rPr>
                <w:rFonts w:ascii="Arial" w:eastAsia="Times New Roman" w:hAnsi="Arial" w:cs="Arial"/>
                <w:color w:val="000000"/>
                <w:sz w:val="18"/>
                <w:szCs w:val="18"/>
                <w:u w:val="single"/>
                <w:lang w:eastAsia="es-CO"/>
              </w:rPr>
              <w:t>)</w:t>
            </w:r>
          </w:p>
        </w:tc>
        <w:tc>
          <w:tcPr>
            <w:tcW w:w="283" w:type="dxa"/>
            <w:shd w:val="clear" w:color="auto" w:fill="auto"/>
            <w:noWrap/>
            <w:vAlign w:val="center"/>
            <w:hideMark/>
          </w:tcPr>
          <w:p w14:paraId="734A8C64" w14:textId="77777777" w:rsidR="008E00CC" w:rsidRPr="0095255B" w:rsidRDefault="008E00CC" w:rsidP="008E00CC">
            <w:pPr>
              <w:spacing w:after="0" w:line="240" w:lineRule="auto"/>
              <w:jc w:val="right"/>
              <w:rPr>
                <w:rFonts w:ascii="Arial" w:eastAsia="Times New Roman" w:hAnsi="Arial" w:cs="Arial"/>
                <w:color w:val="000000"/>
                <w:sz w:val="18"/>
                <w:szCs w:val="18"/>
                <w:u w:val="single"/>
                <w:lang w:eastAsia="es-CO"/>
              </w:rPr>
            </w:pPr>
          </w:p>
        </w:tc>
        <w:tc>
          <w:tcPr>
            <w:tcW w:w="1417" w:type="dxa"/>
            <w:shd w:val="clear" w:color="auto" w:fill="auto"/>
            <w:noWrap/>
            <w:vAlign w:val="center"/>
            <w:hideMark/>
          </w:tcPr>
          <w:p w14:paraId="0DF8D23D" w14:textId="6029E7FD" w:rsidR="008E00CC" w:rsidRPr="0095255B" w:rsidRDefault="007E7E7A" w:rsidP="008E00CC">
            <w:pPr>
              <w:spacing w:after="0" w:line="240" w:lineRule="auto"/>
              <w:jc w:val="right"/>
              <w:rPr>
                <w:rFonts w:ascii="Arial" w:eastAsia="Times New Roman" w:hAnsi="Arial" w:cs="Arial"/>
                <w:color w:val="000000"/>
                <w:sz w:val="18"/>
                <w:szCs w:val="18"/>
                <w:u w:val="single"/>
                <w:lang w:eastAsia="es-CO"/>
              </w:rPr>
            </w:pPr>
            <w:r w:rsidRPr="0095255B">
              <w:rPr>
                <w:rFonts w:ascii="Arial" w:eastAsia="Times New Roman" w:hAnsi="Arial" w:cs="Arial"/>
                <w:color w:val="000000"/>
                <w:sz w:val="18"/>
                <w:szCs w:val="18"/>
                <w:u w:val="single"/>
                <w:lang w:eastAsia="es-CO"/>
              </w:rPr>
              <w:t>(</w:t>
            </w:r>
            <w:r w:rsidR="008E00CC" w:rsidRPr="0095255B">
              <w:rPr>
                <w:rFonts w:ascii="Arial" w:eastAsia="Times New Roman" w:hAnsi="Arial" w:cs="Arial"/>
                <w:color w:val="000000"/>
                <w:sz w:val="18"/>
                <w:szCs w:val="18"/>
                <w:u w:val="single"/>
                <w:lang w:eastAsia="es-CO"/>
              </w:rPr>
              <w:t>13.101.087</w:t>
            </w:r>
            <w:r w:rsidRPr="0095255B">
              <w:rPr>
                <w:rFonts w:ascii="Arial" w:eastAsia="Times New Roman" w:hAnsi="Arial" w:cs="Arial"/>
                <w:color w:val="000000"/>
                <w:sz w:val="18"/>
                <w:szCs w:val="18"/>
                <w:u w:val="single"/>
                <w:lang w:eastAsia="es-CO"/>
              </w:rPr>
              <w:t>)</w:t>
            </w:r>
          </w:p>
        </w:tc>
      </w:tr>
      <w:tr w:rsidR="008E00CC" w:rsidRPr="008E00CC" w14:paraId="7D4DE375" w14:textId="77777777" w:rsidTr="0095255B">
        <w:trPr>
          <w:trHeight w:val="227"/>
        </w:trPr>
        <w:tc>
          <w:tcPr>
            <w:tcW w:w="6236" w:type="dxa"/>
            <w:shd w:val="clear" w:color="auto" w:fill="auto"/>
            <w:noWrap/>
            <w:vAlign w:val="center"/>
            <w:hideMark/>
          </w:tcPr>
          <w:p w14:paraId="0C7318B7" w14:textId="604B4F7C" w:rsidR="008E00CC" w:rsidRPr="008E00CC" w:rsidRDefault="008E00CC" w:rsidP="00D769A6">
            <w:pPr>
              <w:spacing w:after="0" w:line="240" w:lineRule="auto"/>
              <w:rPr>
                <w:rFonts w:ascii="Arial" w:eastAsia="Times New Roman" w:hAnsi="Arial" w:cs="Arial"/>
                <w:b/>
                <w:bCs/>
                <w:color w:val="002060"/>
                <w:sz w:val="18"/>
                <w:szCs w:val="18"/>
                <w:lang w:eastAsia="es-CO"/>
              </w:rPr>
            </w:pPr>
            <w:r w:rsidRPr="008E00CC">
              <w:rPr>
                <w:rFonts w:ascii="Arial" w:eastAsia="Times New Roman" w:hAnsi="Arial" w:cs="Arial"/>
                <w:b/>
                <w:bCs/>
                <w:color w:val="002060"/>
                <w:sz w:val="18"/>
                <w:szCs w:val="18"/>
                <w:lang w:eastAsia="es-CO"/>
              </w:rPr>
              <w:t xml:space="preserve">Total </w:t>
            </w:r>
          </w:p>
        </w:tc>
        <w:tc>
          <w:tcPr>
            <w:tcW w:w="1417" w:type="dxa"/>
            <w:shd w:val="clear" w:color="auto" w:fill="auto"/>
            <w:noWrap/>
            <w:vAlign w:val="center"/>
            <w:hideMark/>
          </w:tcPr>
          <w:p w14:paraId="3687CF1E" w14:textId="08DA6380" w:rsidR="008E00CC" w:rsidRPr="0095255B" w:rsidRDefault="0095255B" w:rsidP="008E00CC">
            <w:pPr>
              <w:spacing w:after="0" w:line="240" w:lineRule="auto"/>
              <w:jc w:val="right"/>
              <w:rPr>
                <w:rFonts w:ascii="Arial" w:eastAsia="Times New Roman" w:hAnsi="Arial" w:cs="Arial"/>
                <w:b/>
                <w:bCs/>
                <w:color w:val="002060"/>
                <w:sz w:val="18"/>
                <w:szCs w:val="18"/>
                <w:u w:val="double"/>
                <w:lang w:eastAsia="es-CO"/>
              </w:rPr>
            </w:pPr>
            <w:r w:rsidRPr="0095255B">
              <w:rPr>
                <w:rFonts w:ascii="Arial" w:eastAsia="Times New Roman" w:hAnsi="Arial" w:cs="Arial"/>
                <w:b/>
                <w:bCs/>
                <w:color w:val="002060"/>
                <w:sz w:val="18"/>
                <w:szCs w:val="18"/>
                <w:lang w:eastAsia="es-CO"/>
              </w:rPr>
              <w:t>$</w:t>
            </w:r>
            <w:r>
              <w:rPr>
                <w:rFonts w:ascii="Arial" w:eastAsia="Times New Roman" w:hAnsi="Arial" w:cs="Arial"/>
                <w:b/>
                <w:bCs/>
                <w:color w:val="002060"/>
                <w:sz w:val="18"/>
                <w:szCs w:val="18"/>
                <w:u w:val="double"/>
                <w:lang w:eastAsia="es-CO"/>
              </w:rPr>
              <w:t xml:space="preserve">   </w:t>
            </w:r>
            <w:r w:rsidR="008E00CC" w:rsidRPr="0095255B">
              <w:rPr>
                <w:rFonts w:ascii="Arial" w:eastAsia="Times New Roman" w:hAnsi="Arial" w:cs="Arial"/>
                <w:b/>
                <w:bCs/>
                <w:color w:val="002060"/>
                <w:sz w:val="18"/>
                <w:szCs w:val="18"/>
                <w:u w:val="double"/>
                <w:lang w:eastAsia="es-CO"/>
              </w:rPr>
              <w:t>97.422.909</w:t>
            </w:r>
          </w:p>
        </w:tc>
        <w:tc>
          <w:tcPr>
            <w:tcW w:w="283" w:type="dxa"/>
            <w:shd w:val="clear" w:color="auto" w:fill="auto"/>
            <w:noWrap/>
            <w:vAlign w:val="center"/>
            <w:hideMark/>
          </w:tcPr>
          <w:p w14:paraId="132172F0" w14:textId="77777777" w:rsidR="008E00CC" w:rsidRPr="0095255B" w:rsidRDefault="008E00CC" w:rsidP="008E00CC">
            <w:pPr>
              <w:spacing w:after="0" w:line="240" w:lineRule="auto"/>
              <w:jc w:val="right"/>
              <w:rPr>
                <w:rFonts w:ascii="Arial" w:eastAsia="Times New Roman" w:hAnsi="Arial" w:cs="Arial"/>
                <w:b/>
                <w:bCs/>
                <w:color w:val="002060"/>
                <w:sz w:val="18"/>
                <w:szCs w:val="18"/>
                <w:u w:val="double"/>
                <w:lang w:eastAsia="es-CO"/>
              </w:rPr>
            </w:pPr>
          </w:p>
        </w:tc>
        <w:tc>
          <w:tcPr>
            <w:tcW w:w="1417" w:type="dxa"/>
            <w:shd w:val="clear" w:color="auto" w:fill="auto"/>
            <w:noWrap/>
            <w:vAlign w:val="center"/>
            <w:hideMark/>
          </w:tcPr>
          <w:p w14:paraId="05432E25" w14:textId="62AC5B9A" w:rsidR="008E00CC" w:rsidRPr="0095255B" w:rsidRDefault="0095255B" w:rsidP="008E00CC">
            <w:pPr>
              <w:spacing w:after="0" w:line="240" w:lineRule="auto"/>
              <w:jc w:val="right"/>
              <w:rPr>
                <w:rFonts w:ascii="Arial" w:eastAsia="Times New Roman" w:hAnsi="Arial" w:cs="Arial"/>
                <w:b/>
                <w:bCs/>
                <w:color w:val="002060"/>
                <w:sz w:val="18"/>
                <w:szCs w:val="18"/>
                <w:u w:val="double"/>
                <w:lang w:eastAsia="es-CO"/>
              </w:rPr>
            </w:pPr>
            <w:r>
              <w:rPr>
                <w:rFonts w:ascii="Arial" w:eastAsia="Times New Roman" w:hAnsi="Arial" w:cs="Arial"/>
                <w:b/>
                <w:bCs/>
                <w:color w:val="002060"/>
                <w:sz w:val="18"/>
                <w:szCs w:val="18"/>
                <w:u w:val="double"/>
                <w:lang w:eastAsia="es-CO"/>
              </w:rPr>
              <w:t xml:space="preserve">   </w:t>
            </w:r>
            <w:r w:rsidR="008E00CC" w:rsidRPr="0095255B">
              <w:rPr>
                <w:rFonts w:ascii="Arial" w:eastAsia="Times New Roman" w:hAnsi="Arial" w:cs="Arial"/>
                <w:b/>
                <w:bCs/>
                <w:color w:val="002060"/>
                <w:sz w:val="18"/>
                <w:szCs w:val="18"/>
                <w:u w:val="double"/>
                <w:lang w:eastAsia="es-CO"/>
              </w:rPr>
              <w:t>77.429.146</w:t>
            </w:r>
          </w:p>
        </w:tc>
      </w:tr>
    </w:tbl>
    <w:p w14:paraId="24F6FEEB" w14:textId="77777777" w:rsidR="008E00CC" w:rsidRPr="0009028A" w:rsidRDefault="008E00CC" w:rsidP="008E00CC">
      <w:pPr>
        <w:rPr>
          <w:rFonts w:ascii="Arial" w:hAnsi="Arial" w:cs="Arial"/>
          <w:sz w:val="20"/>
        </w:rPr>
      </w:pPr>
    </w:p>
    <w:p w14:paraId="4C89D494" w14:textId="04793484" w:rsidR="008E00CC" w:rsidRPr="0009028A" w:rsidRDefault="007E7E7A" w:rsidP="007E7E7A">
      <w:pPr>
        <w:jc w:val="both"/>
        <w:rPr>
          <w:rFonts w:ascii="Arial" w:hAnsi="Arial" w:cs="Arial"/>
          <w:sz w:val="20"/>
        </w:rPr>
      </w:pPr>
      <w:r w:rsidRPr="0009028A">
        <w:rPr>
          <w:rFonts w:ascii="Arial" w:hAnsi="Arial" w:cs="Arial"/>
          <w:sz w:val="20"/>
        </w:rPr>
        <w:t>(</w:t>
      </w:r>
      <w:r w:rsidR="00DD5738">
        <w:rPr>
          <w:rFonts w:ascii="Arial" w:hAnsi="Arial" w:cs="Arial"/>
          <w:sz w:val="20"/>
        </w:rPr>
        <w:t>*</w:t>
      </w:r>
      <w:r w:rsidRPr="0009028A">
        <w:rPr>
          <w:rFonts w:ascii="Arial" w:hAnsi="Arial" w:cs="Arial"/>
          <w:sz w:val="20"/>
        </w:rPr>
        <w:t>) La variación corresponde principalmente al reconocimiento de los dividendos decretado</w:t>
      </w:r>
      <w:r w:rsidR="00835D2D" w:rsidRPr="0009028A">
        <w:rPr>
          <w:rFonts w:ascii="Arial" w:hAnsi="Arial" w:cs="Arial"/>
          <w:sz w:val="20"/>
        </w:rPr>
        <w:t>s</w:t>
      </w:r>
      <w:r w:rsidRPr="0009028A">
        <w:rPr>
          <w:rFonts w:ascii="Arial" w:hAnsi="Arial" w:cs="Arial"/>
          <w:sz w:val="20"/>
        </w:rPr>
        <w:t xml:space="preserve"> por Odinsa Proyectos e Inversiones por $9.585.655 y Odinsa Servicios por $1.485.91</w:t>
      </w:r>
      <w:r w:rsidR="00DD5738">
        <w:rPr>
          <w:rFonts w:ascii="Arial" w:hAnsi="Arial" w:cs="Arial"/>
          <w:sz w:val="20"/>
        </w:rPr>
        <w:t>9</w:t>
      </w:r>
    </w:p>
    <w:p w14:paraId="574A14EF" w14:textId="07D9740A" w:rsidR="00D100F1" w:rsidRPr="0009028A" w:rsidRDefault="00D100F1" w:rsidP="00D100F1">
      <w:pPr>
        <w:pStyle w:val="Ttulo1"/>
      </w:pPr>
      <w:bookmarkStart w:id="280" w:name="_Toc8735096"/>
      <w:r w:rsidRPr="0009028A">
        <w:t xml:space="preserve">Nota 8: </w:t>
      </w:r>
      <w:r w:rsidRPr="00D100F1">
        <w:t>Activos por derecho de uso propiedades, plantas y equipo</w:t>
      </w:r>
      <w:bookmarkEnd w:id="280"/>
    </w:p>
    <w:p w14:paraId="25F22C58" w14:textId="77777777" w:rsidR="00D100F1" w:rsidRPr="00F81DCB" w:rsidRDefault="00D100F1" w:rsidP="00D100F1">
      <w:pPr>
        <w:jc w:val="both"/>
        <w:rPr>
          <w:rFonts w:ascii="Arial" w:hAnsi="Arial" w:cs="Arial"/>
          <w:sz w:val="20"/>
        </w:rPr>
      </w:pPr>
      <w:r w:rsidRPr="00F81DCB">
        <w:rPr>
          <w:rFonts w:ascii="Arial" w:hAnsi="Arial" w:cs="Arial"/>
          <w:sz w:val="20"/>
        </w:rPr>
        <w:t>El saldo de los activos por derecho de uso de las propiedades, planta y equipo, neto a 31 de marzo de 2019, comprende:</w:t>
      </w:r>
    </w:p>
    <w:tbl>
      <w:tblPr>
        <w:tblW w:w="5000" w:type="pct"/>
        <w:tblLayout w:type="fixed"/>
        <w:tblCellMar>
          <w:left w:w="70" w:type="dxa"/>
          <w:right w:w="70" w:type="dxa"/>
        </w:tblCellMar>
        <w:tblLook w:val="04A0" w:firstRow="1" w:lastRow="0" w:firstColumn="1" w:lastColumn="0" w:noHBand="0" w:noVBand="1"/>
      </w:tblPr>
      <w:tblGrid>
        <w:gridCol w:w="6663"/>
        <w:gridCol w:w="1702"/>
        <w:gridCol w:w="1556"/>
      </w:tblGrid>
      <w:tr w:rsidR="00D100F1" w:rsidRPr="00F81DCB" w14:paraId="56619FFF" w14:textId="77777777" w:rsidTr="00D100F1">
        <w:trPr>
          <w:trHeight w:val="227"/>
        </w:trPr>
        <w:tc>
          <w:tcPr>
            <w:tcW w:w="3358" w:type="pct"/>
            <w:shd w:val="clear" w:color="auto" w:fill="auto"/>
            <w:noWrap/>
            <w:vAlign w:val="bottom"/>
            <w:hideMark/>
          </w:tcPr>
          <w:p w14:paraId="569BF9BE" w14:textId="77777777" w:rsidR="00D100F1" w:rsidRPr="00F81DCB" w:rsidRDefault="00D100F1" w:rsidP="00D100F1">
            <w:pPr>
              <w:spacing w:after="0" w:line="240" w:lineRule="auto"/>
              <w:rPr>
                <w:rFonts w:ascii="Arial" w:eastAsia="Times New Roman" w:hAnsi="Arial" w:cs="Arial"/>
                <w:color w:val="000000"/>
                <w:sz w:val="18"/>
                <w:szCs w:val="18"/>
                <w:lang w:eastAsia="es-CO"/>
              </w:rPr>
            </w:pPr>
            <w:r w:rsidRPr="00F81DCB">
              <w:rPr>
                <w:rFonts w:ascii="Arial" w:eastAsia="Times New Roman" w:hAnsi="Arial" w:cs="Arial"/>
                <w:color w:val="000000"/>
                <w:sz w:val="18"/>
                <w:szCs w:val="18"/>
                <w:lang w:eastAsia="es-CO"/>
              </w:rPr>
              <w:t> </w:t>
            </w:r>
          </w:p>
        </w:tc>
        <w:tc>
          <w:tcPr>
            <w:tcW w:w="858" w:type="pct"/>
            <w:shd w:val="clear" w:color="auto" w:fill="auto"/>
            <w:vAlign w:val="center"/>
            <w:hideMark/>
          </w:tcPr>
          <w:p w14:paraId="38C8DCB1" w14:textId="77777777" w:rsidR="00D100F1" w:rsidRPr="00F81DCB" w:rsidRDefault="00D100F1" w:rsidP="00D100F1">
            <w:pPr>
              <w:spacing w:after="0" w:line="240" w:lineRule="auto"/>
              <w:jc w:val="center"/>
              <w:rPr>
                <w:rFonts w:ascii="Arial" w:eastAsia="Times New Roman" w:hAnsi="Arial" w:cs="Arial"/>
                <w:b/>
                <w:bCs/>
                <w:color w:val="103475"/>
                <w:sz w:val="18"/>
                <w:szCs w:val="18"/>
                <w:lang w:eastAsia="es-CO"/>
              </w:rPr>
            </w:pPr>
            <w:r w:rsidRPr="00F81DCB">
              <w:rPr>
                <w:rFonts w:ascii="Arial" w:eastAsia="Times New Roman" w:hAnsi="Arial" w:cs="Arial"/>
                <w:b/>
                <w:bCs/>
                <w:color w:val="103475"/>
                <w:sz w:val="18"/>
                <w:szCs w:val="18"/>
                <w:lang w:eastAsia="es-CO"/>
              </w:rPr>
              <w:t>Marzo 2019</w:t>
            </w:r>
          </w:p>
        </w:tc>
        <w:tc>
          <w:tcPr>
            <w:tcW w:w="784" w:type="pct"/>
            <w:shd w:val="clear" w:color="auto" w:fill="auto"/>
            <w:vAlign w:val="center"/>
            <w:hideMark/>
          </w:tcPr>
          <w:p w14:paraId="0CC75702" w14:textId="77777777" w:rsidR="00D100F1" w:rsidRPr="00F81DCB" w:rsidRDefault="00D100F1" w:rsidP="00D100F1">
            <w:pPr>
              <w:spacing w:after="0" w:line="240" w:lineRule="auto"/>
              <w:jc w:val="center"/>
              <w:rPr>
                <w:rFonts w:ascii="Arial" w:eastAsia="Times New Roman" w:hAnsi="Arial" w:cs="Arial"/>
                <w:b/>
                <w:bCs/>
                <w:color w:val="103475"/>
                <w:sz w:val="18"/>
                <w:szCs w:val="18"/>
                <w:lang w:eastAsia="es-CO"/>
              </w:rPr>
            </w:pPr>
            <w:r w:rsidRPr="00F81DCB">
              <w:rPr>
                <w:rFonts w:ascii="Arial" w:eastAsia="Times New Roman" w:hAnsi="Arial" w:cs="Arial"/>
                <w:b/>
                <w:bCs/>
                <w:color w:val="103475"/>
                <w:sz w:val="18"/>
                <w:szCs w:val="18"/>
                <w:lang w:eastAsia="es-CO"/>
              </w:rPr>
              <w:t>Diciembre 2018</w:t>
            </w:r>
          </w:p>
        </w:tc>
      </w:tr>
      <w:tr w:rsidR="00D100F1" w:rsidRPr="00F81DCB" w14:paraId="742EA7A2" w14:textId="77777777" w:rsidTr="00D100F1">
        <w:trPr>
          <w:trHeight w:val="227"/>
        </w:trPr>
        <w:tc>
          <w:tcPr>
            <w:tcW w:w="3358" w:type="pct"/>
            <w:shd w:val="clear" w:color="auto" w:fill="auto"/>
            <w:vAlign w:val="center"/>
            <w:hideMark/>
          </w:tcPr>
          <w:p w14:paraId="7A43E348" w14:textId="77777777" w:rsidR="00D100F1" w:rsidRPr="00F81DCB" w:rsidRDefault="00D100F1" w:rsidP="00D100F1">
            <w:pPr>
              <w:spacing w:after="0" w:line="240" w:lineRule="auto"/>
              <w:rPr>
                <w:rFonts w:ascii="Arial" w:eastAsia="Times New Roman" w:hAnsi="Arial" w:cs="Arial"/>
                <w:color w:val="000000"/>
                <w:sz w:val="18"/>
                <w:szCs w:val="18"/>
                <w:lang w:eastAsia="es-CO"/>
              </w:rPr>
            </w:pPr>
            <w:r w:rsidRPr="00F81DCB">
              <w:rPr>
                <w:rFonts w:ascii="Arial" w:hAnsi="Arial" w:cs="Arial"/>
                <w:color w:val="000000"/>
                <w:sz w:val="18"/>
                <w:szCs w:val="18"/>
              </w:rPr>
              <w:t>Construcciones y edificaciones</w:t>
            </w:r>
          </w:p>
        </w:tc>
        <w:tc>
          <w:tcPr>
            <w:tcW w:w="858" w:type="pct"/>
            <w:shd w:val="clear" w:color="auto" w:fill="auto"/>
            <w:noWrap/>
            <w:vAlign w:val="center"/>
          </w:tcPr>
          <w:p w14:paraId="197345B5" w14:textId="77777777" w:rsidR="00D100F1" w:rsidRPr="00F81DCB" w:rsidRDefault="00D100F1" w:rsidP="00D100F1">
            <w:pPr>
              <w:spacing w:after="0" w:line="240" w:lineRule="auto"/>
              <w:jc w:val="right"/>
              <w:rPr>
                <w:rFonts w:ascii="Arial" w:hAnsi="Arial" w:cs="Arial"/>
                <w:color w:val="000000"/>
                <w:sz w:val="18"/>
                <w:szCs w:val="18"/>
              </w:rPr>
            </w:pPr>
            <w:r w:rsidRPr="00F81DCB">
              <w:rPr>
                <w:rFonts w:ascii="Arial" w:hAnsi="Arial" w:cs="Arial"/>
                <w:color w:val="000000"/>
                <w:sz w:val="18"/>
                <w:szCs w:val="18"/>
              </w:rPr>
              <w:t>11.243.018</w:t>
            </w:r>
          </w:p>
        </w:tc>
        <w:tc>
          <w:tcPr>
            <w:tcW w:w="784" w:type="pct"/>
            <w:shd w:val="clear" w:color="auto" w:fill="auto"/>
            <w:noWrap/>
            <w:vAlign w:val="center"/>
          </w:tcPr>
          <w:p w14:paraId="7645F0AA" w14:textId="77777777" w:rsidR="00D100F1" w:rsidRPr="00F81DCB" w:rsidRDefault="00D100F1" w:rsidP="00D100F1">
            <w:pPr>
              <w:spacing w:after="0" w:line="240" w:lineRule="auto"/>
              <w:jc w:val="right"/>
              <w:rPr>
                <w:rFonts w:ascii="Arial" w:eastAsia="Times New Roman" w:hAnsi="Arial" w:cs="Arial"/>
                <w:color w:val="000000"/>
                <w:sz w:val="18"/>
                <w:szCs w:val="18"/>
                <w:lang w:eastAsia="es-CO"/>
              </w:rPr>
            </w:pPr>
            <w:r w:rsidRPr="00F81DCB">
              <w:rPr>
                <w:rFonts w:ascii="Arial" w:eastAsia="Times New Roman" w:hAnsi="Arial" w:cs="Arial"/>
                <w:color w:val="000000"/>
                <w:sz w:val="18"/>
                <w:szCs w:val="18"/>
                <w:lang w:eastAsia="es-CO"/>
              </w:rPr>
              <w:t>-</w:t>
            </w:r>
          </w:p>
        </w:tc>
      </w:tr>
      <w:tr w:rsidR="00D100F1" w:rsidRPr="00F81DCB" w14:paraId="2B5B5FFD" w14:textId="77777777" w:rsidTr="00D100F1">
        <w:trPr>
          <w:trHeight w:val="227"/>
        </w:trPr>
        <w:tc>
          <w:tcPr>
            <w:tcW w:w="3358" w:type="pct"/>
            <w:shd w:val="clear" w:color="auto" w:fill="auto"/>
            <w:vAlign w:val="center"/>
          </w:tcPr>
          <w:p w14:paraId="3CE1F80C" w14:textId="77777777" w:rsidR="00D100F1" w:rsidRPr="00F81DCB" w:rsidRDefault="00D100F1" w:rsidP="00D100F1">
            <w:pPr>
              <w:spacing w:after="0" w:line="240" w:lineRule="auto"/>
              <w:rPr>
                <w:rFonts w:ascii="Arial" w:hAnsi="Arial" w:cs="Arial"/>
                <w:color w:val="000000"/>
                <w:sz w:val="18"/>
                <w:szCs w:val="18"/>
              </w:rPr>
            </w:pPr>
            <w:r w:rsidRPr="00F81DCB">
              <w:rPr>
                <w:rFonts w:ascii="Arial" w:hAnsi="Arial" w:cs="Arial"/>
                <w:color w:val="000000"/>
                <w:sz w:val="18"/>
                <w:szCs w:val="18"/>
              </w:rPr>
              <w:t>Flota y equipo de transporte</w:t>
            </w:r>
          </w:p>
        </w:tc>
        <w:tc>
          <w:tcPr>
            <w:tcW w:w="858" w:type="pct"/>
            <w:shd w:val="clear" w:color="auto" w:fill="auto"/>
            <w:noWrap/>
            <w:vAlign w:val="center"/>
          </w:tcPr>
          <w:p w14:paraId="43F5CA7D" w14:textId="77777777" w:rsidR="00D100F1" w:rsidRPr="00F81DCB" w:rsidRDefault="00D100F1" w:rsidP="00D100F1">
            <w:pPr>
              <w:spacing w:after="0" w:line="240" w:lineRule="auto"/>
              <w:jc w:val="right"/>
              <w:rPr>
                <w:rFonts w:ascii="Arial" w:hAnsi="Arial" w:cs="Arial"/>
                <w:color w:val="000000"/>
                <w:sz w:val="18"/>
                <w:szCs w:val="18"/>
                <w:u w:val="single"/>
              </w:rPr>
            </w:pPr>
            <w:r w:rsidRPr="00F81DCB">
              <w:rPr>
                <w:rFonts w:ascii="Arial" w:hAnsi="Arial" w:cs="Arial"/>
                <w:color w:val="000000"/>
                <w:sz w:val="18"/>
                <w:szCs w:val="18"/>
                <w:u w:val="single"/>
              </w:rPr>
              <w:t>365.046</w:t>
            </w:r>
          </w:p>
        </w:tc>
        <w:tc>
          <w:tcPr>
            <w:tcW w:w="784" w:type="pct"/>
            <w:shd w:val="clear" w:color="auto" w:fill="auto"/>
            <w:noWrap/>
            <w:vAlign w:val="center"/>
          </w:tcPr>
          <w:p w14:paraId="4765E6FD" w14:textId="77777777" w:rsidR="00D100F1" w:rsidRPr="00F81DCB" w:rsidRDefault="00D100F1" w:rsidP="00D100F1">
            <w:pPr>
              <w:spacing w:after="0" w:line="240" w:lineRule="auto"/>
              <w:jc w:val="right"/>
              <w:rPr>
                <w:rFonts w:ascii="Arial" w:eastAsia="Times New Roman" w:hAnsi="Arial" w:cs="Arial"/>
                <w:color w:val="000000"/>
                <w:sz w:val="18"/>
                <w:szCs w:val="18"/>
                <w:u w:val="single"/>
                <w:lang w:eastAsia="es-CO"/>
              </w:rPr>
            </w:pPr>
            <w:r w:rsidRPr="00F81DCB">
              <w:rPr>
                <w:rFonts w:ascii="Arial" w:eastAsia="Times New Roman" w:hAnsi="Arial" w:cs="Arial"/>
                <w:color w:val="000000"/>
                <w:sz w:val="18"/>
                <w:szCs w:val="18"/>
                <w:u w:val="single"/>
                <w:lang w:eastAsia="es-CO"/>
              </w:rPr>
              <w:t xml:space="preserve">            -</w:t>
            </w:r>
          </w:p>
        </w:tc>
      </w:tr>
      <w:tr w:rsidR="00D100F1" w:rsidRPr="00F81DCB" w14:paraId="4729046D" w14:textId="77777777" w:rsidTr="00D100F1">
        <w:trPr>
          <w:trHeight w:val="227"/>
        </w:trPr>
        <w:tc>
          <w:tcPr>
            <w:tcW w:w="3358" w:type="pct"/>
            <w:shd w:val="clear" w:color="auto" w:fill="auto"/>
            <w:noWrap/>
            <w:vAlign w:val="center"/>
            <w:hideMark/>
          </w:tcPr>
          <w:p w14:paraId="6B7E2BD9" w14:textId="77777777" w:rsidR="00D100F1" w:rsidRPr="00F81DCB" w:rsidRDefault="00D100F1" w:rsidP="00D100F1">
            <w:pPr>
              <w:spacing w:after="0" w:line="240" w:lineRule="auto"/>
              <w:rPr>
                <w:rFonts w:ascii="Arial" w:eastAsia="Times New Roman" w:hAnsi="Arial" w:cs="Arial"/>
                <w:b/>
                <w:bCs/>
                <w:color w:val="103475"/>
                <w:sz w:val="18"/>
                <w:szCs w:val="18"/>
                <w:lang w:eastAsia="es-CO"/>
              </w:rPr>
            </w:pPr>
            <w:r w:rsidRPr="00F81DCB">
              <w:rPr>
                <w:rFonts w:ascii="Arial" w:eastAsia="Times New Roman" w:hAnsi="Arial" w:cs="Arial"/>
                <w:b/>
                <w:bCs/>
                <w:color w:val="103475"/>
                <w:sz w:val="18"/>
                <w:szCs w:val="18"/>
                <w:lang w:eastAsia="es-CO"/>
              </w:rPr>
              <w:t>Total derecho de uso propiedades, planta y equipo, neto</w:t>
            </w:r>
          </w:p>
        </w:tc>
        <w:tc>
          <w:tcPr>
            <w:tcW w:w="858" w:type="pct"/>
            <w:shd w:val="clear" w:color="auto" w:fill="auto"/>
            <w:noWrap/>
            <w:vAlign w:val="center"/>
          </w:tcPr>
          <w:p w14:paraId="626513D9" w14:textId="77777777" w:rsidR="00D100F1" w:rsidRPr="00F81DCB" w:rsidRDefault="00D100F1" w:rsidP="00D100F1">
            <w:pPr>
              <w:spacing w:after="0" w:line="240" w:lineRule="auto"/>
              <w:jc w:val="right"/>
              <w:rPr>
                <w:rFonts w:ascii="Arial" w:eastAsia="Times New Roman" w:hAnsi="Arial" w:cs="Arial"/>
                <w:b/>
                <w:bCs/>
                <w:color w:val="103475"/>
                <w:sz w:val="18"/>
                <w:szCs w:val="18"/>
                <w:u w:val="double"/>
                <w:lang w:eastAsia="es-CO"/>
              </w:rPr>
            </w:pPr>
            <w:r w:rsidRPr="00F81DCB">
              <w:rPr>
                <w:rFonts w:ascii="Arial" w:eastAsia="Times New Roman" w:hAnsi="Arial" w:cs="Arial"/>
                <w:b/>
                <w:bCs/>
                <w:color w:val="103475"/>
                <w:sz w:val="18"/>
                <w:szCs w:val="18"/>
                <w:lang w:eastAsia="es-CO"/>
              </w:rPr>
              <w:t xml:space="preserve">$ </w:t>
            </w:r>
            <w:r w:rsidRPr="00F81DCB">
              <w:rPr>
                <w:rFonts w:ascii="Arial" w:eastAsia="Times New Roman" w:hAnsi="Arial" w:cs="Arial"/>
                <w:b/>
                <w:bCs/>
                <w:color w:val="103475"/>
                <w:sz w:val="18"/>
                <w:szCs w:val="18"/>
                <w:u w:val="double"/>
                <w:lang w:eastAsia="es-CO"/>
              </w:rPr>
              <w:t xml:space="preserve">   11.608.064</w:t>
            </w:r>
          </w:p>
        </w:tc>
        <w:tc>
          <w:tcPr>
            <w:tcW w:w="784" w:type="pct"/>
            <w:shd w:val="clear" w:color="auto" w:fill="auto"/>
            <w:noWrap/>
            <w:vAlign w:val="center"/>
            <w:hideMark/>
          </w:tcPr>
          <w:p w14:paraId="5AB75AF3" w14:textId="77777777" w:rsidR="00D100F1" w:rsidRPr="00F81DCB" w:rsidRDefault="00D100F1" w:rsidP="00D100F1">
            <w:pPr>
              <w:spacing w:after="0" w:line="240" w:lineRule="auto"/>
              <w:jc w:val="right"/>
              <w:rPr>
                <w:rFonts w:ascii="Arial" w:eastAsia="Times New Roman" w:hAnsi="Arial" w:cs="Arial"/>
                <w:b/>
                <w:bCs/>
                <w:color w:val="103475"/>
                <w:sz w:val="18"/>
                <w:szCs w:val="18"/>
                <w:u w:val="double"/>
                <w:lang w:eastAsia="es-CO"/>
              </w:rPr>
            </w:pPr>
            <w:r w:rsidRPr="00F81DCB">
              <w:rPr>
                <w:rFonts w:ascii="Arial" w:eastAsia="Times New Roman" w:hAnsi="Arial" w:cs="Arial"/>
                <w:b/>
                <w:bCs/>
                <w:color w:val="103475"/>
                <w:sz w:val="18"/>
                <w:szCs w:val="18"/>
                <w:u w:val="double"/>
                <w:lang w:eastAsia="es-CO"/>
              </w:rPr>
              <w:t xml:space="preserve">            -</w:t>
            </w:r>
          </w:p>
        </w:tc>
      </w:tr>
    </w:tbl>
    <w:p w14:paraId="0B9BB5DF" w14:textId="77777777" w:rsidR="00D100F1" w:rsidRPr="00F81DCB" w:rsidRDefault="00D100F1" w:rsidP="00D100F1">
      <w:pPr>
        <w:rPr>
          <w:rFonts w:ascii="Arial" w:hAnsi="Arial" w:cs="Arial"/>
          <w:sz w:val="20"/>
        </w:rPr>
      </w:pPr>
    </w:p>
    <w:tbl>
      <w:tblPr>
        <w:tblW w:w="4535" w:type="pct"/>
        <w:tblCellMar>
          <w:left w:w="70" w:type="dxa"/>
          <w:right w:w="70" w:type="dxa"/>
        </w:tblCellMar>
        <w:tblLook w:val="04A0" w:firstRow="1" w:lastRow="0" w:firstColumn="1" w:lastColumn="0" w:noHBand="0" w:noVBand="1"/>
      </w:tblPr>
      <w:tblGrid>
        <w:gridCol w:w="3265"/>
        <w:gridCol w:w="1912"/>
        <w:gridCol w:w="1912"/>
        <w:gridCol w:w="1909"/>
      </w:tblGrid>
      <w:tr w:rsidR="00D100F1" w:rsidRPr="00F81DCB" w14:paraId="6F26186F" w14:textId="77777777" w:rsidTr="00D100F1">
        <w:trPr>
          <w:trHeight w:val="227"/>
        </w:trPr>
        <w:tc>
          <w:tcPr>
            <w:tcW w:w="1814" w:type="pct"/>
            <w:shd w:val="clear" w:color="auto" w:fill="auto"/>
            <w:vAlign w:val="center"/>
            <w:hideMark/>
          </w:tcPr>
          <w:p w14:paraId="6F9CF18B" w14:textId="77777777" w:rsidR="00D100F1" w:rsidRPr="00F81DCB" w:rsidRDefault="00D100F1" w:rsidP="00D100F1">
            <w:pPr>
              <w:spacing w:after="0" w:line="240" w:lineRule="auto"/>
              <w:jc w:val="center"/>
              <w:rPr>
                <w:rFonts w:ascii="Arial" w:eastAsia="Times New Roman" w:hAnsi="Arial" w:cs="Arial"/>
                <w:color w:val="000000"/>
                <w:sz w:val="18"/>
                <w:szCs w:val="16"/>
                <w:lang w:eastAsia="es-CO"/>
              </w:rPr>
            </w:pPr>
          </w:p>
        </w:tc>
        <w:tc>
          <w:tcPr>
            <w:tcW w:w="1062" w:type="pct"/>
            <w:shd w:val="clear" w:color="auto" w:fill="auto"/>
            <w:vAlign w:val="center"/>
            <w:hideMark/>
          </w:tcPr>
          <w:p w14:paraId="72EB50E9" w14:textId="77777777" w:rsidR="00D100F1" w:rsidRPr="00F81DCB" w:rsidRDefault="00D100F1" w:rsidP="00D100F1">
            <w:pPr>
              <w:spacing w:after="0" w:line="240" w:lineRule="auto"/>
              <w:jc w:val="center"/>
              <w:rPr>
                <w:rFonts w:ascii="Arial" w:eastAsia="Times New Roman" w:hAnsi="Arial" w:cs="Arial"/>
                <w:b/>
                <w:bCs/>
                <w:color w:val="103475"/>
                <w:sz w:val="18"/>
                <w:szCs w:val="16"/>
                <w:lang w:eastAsia="es-CO"/>
              </w:rPr>
            </w:pPr>
            <w:r w:rsidRPr="00F81DCB">
              <w:rPr>
                <w:rFonts w:ascii="Arial" w:eastAsia="Times New Roman" w:hAnsi="Arial" w:cs="Arial"/>
                <w:b/>
                <w:bCs/>
                <w:color w:val="103475"/>
                <w:sz w:val="18"/>
                <w:szCs w:val="16"/>
                <w:lang w:eastAsia="es-CO"/>
              </w:rPr>
              <w:t>Construcciones y edificaciones</w:t>
            </w:r>
          </w:p>
        </w:tc>
        <w:tc>
          <w:tcPr>
            <w:tcW w:w="1062" w:type="pct"/>
            <w:shd w:val="clear" w:color="auto" w:fill="auto"/>
            <w:vAlign w:val="center"/>
            <w:hideMark/>
          </w:tcPr>
          <w:p w14:paraId="488BFEBE" w14:textId="77777777" w:rsidR="00D100F1" w:rsidRPr="00F81DCB" w:rsidRDefault="00D100F1" w:rsidP="00D100F1">
            <w:pPr>
              <w:spacing w:after="0" w:line="240" w:lineRule="auto"/>
              <w:jc w:val="center"/>
              <w:rPr>
                <w:rFonts w:ascii="Arial" w:eastAsia="Times New Roman" w:hAnsi="Arial" w:cs="Arial"/>
                <w:b/>
                <w:bCs/>
                <w:color w:val="103475"/>
                <w:sz w:val="18"/>
                <w:szCs w:val="16"/>
                <w:lang w:eastAsia="es-CO"/>
              </w:rPr>
            </w:pPr>
            <w:r w:rsidRPr="00F81DCB">
              <w:rPr>
                <w:rFonts w:ascii="Arial" w:eastAsia="Times New Roman" w:hAnsi="Arial" w:cs="Arial"/>
                <w:b/>
                <w:bCs/>
                <w:color w:val="103475"/>
                <w:sz w:val="18"/>
                <w:szCs w:val="16"/>
                <w:lang w:eastAsia="es-CO"/>
              </w:rPr>
              <w:t>Equipo de transporte terrestre</w:t>
            </w:r>
          </w:p>
        </w:tc>
        <w:tc>
          <w:tcPr>
            <w:tcW w:w="1061" w:type="pct"/>
            <w:shd w:val="clear" w:color="auto" w:fill="auto"/>
            <w:vAlign w:val="center"/>
            <w:hideMark/>
          </w:tcPr>
          <w:p w14:paraId="3DB8A1DB" w14:textId="77777777" w:rsidR="00D100F1" w:rsidRPr="00F81DCB" w:rsidRDefault="00D100F1" w:rsidP="00D100F1">
            <w:pPr>
              <w:spacing w:after="0" w:line="240" w:lineRule="auto"/>
              <w:jc w:val="center"/>
              <w:rPr>
                <w:rFonts w:ascii="Arial" w:eastAsia="Times New Roman" w:hAnsi="Arial" w:cs="Arial"/>
                <w:b/>
                <w:bCs/>
                <w:color w:val="103475"/>
                <w:sz w:val="18"/>
                <w:szCs w:val="16"/>
                <w:lang w:eastAsia="es-CO"/>
              </w:rPr>
            </w:pPr>
            <w:r w:rsidRPr="00F81DCB">
              <w:rPr>
                <w:rFonts w:ascii="Arial" w:eastAsia="Times New Roman" w:hAnsi="Arial" w:cs="Arial"/>
                <w:b/>
                <w:bCs/>
                <w:color w:val="103475"/>
                <w:sz w:val="18"/>
                <w:szCs w:val="16"/>
                <w:lang w:eastAsia="es-CO"/>
              </w:rPr>
              <w:t>Total</w:t>
            </w:r>
          </w:p>
        </w:tc>
      </w:tr>
      <w:tr w:rsidR="00D100F1" w:rsidRPr="00F81DCB" w14:paraId="6AE4E890" w14:textId="77777777" w:rsidTr="00D100F1">
        <w:trPr>
          <w:trHeight w:val="227"/>
        </w:trPr>
        <w:tc>
          <w:tcPr>
            <w:tcW w:w="1814" w:type="pct"/>
            <w:shd w:val="clear" w:color="auto" w:fill="auto"/>
            <w:vAlign w:val="center"/>
            <w:hideMark/>
          </w:tcPr>
          <w:p w14:paraId="23845E46" w14:textId="77777777" w:rsidR="00D100F1" w:rsidRPr="00F81DCB" w:rsidRDefault="00D100F1" w:rsidP="00D100F1">
            <w:pPr>
              <w:spacing w:after="0" w:line="240" w:lineRule="auto"/>
              <w:rPr>
                <w:rFonts w:ascii="Arial" w:eastAsia="Times New Roman" w:hAnsi="Arial" w:cs="Arial"/>
                <w:b/>
                <w:bCs/>
                <w:color w:val="103475"/>
                <w:sz w:val="18"/>
                <w:szCs w:val="16"/>
                <w:lang w:eastAsia="es-CO"/>
              </w:rPr>
            </w:pPr>
            <w:r w:rsidRPr="00F81DCB">
              <w:rPr>
                <w:rFonts w:ascii="Arial" w:eastAsia="Times New Roman" w:hAnsi="Arial" w:cs="Arial"/>
                <w:b/>
                <w:bCs/>
                <w:color w:val="103475"/>
                <w:sz w:val="18"/>
                <w:szCs w:val="16"/>
                <w:lang w:eastAsia="es-CO"/>
              </w:rPr>
              <w:t>1° de enero de 2019</w:t>
            </w:r>
          </w:p>
        </w:tc>
        <w:tc>
          <w:tcPr>
            <w:tcW w:w="1062" w:type="pct"/>
            <w:shd w:val="clear" w:color="auto" w:fill="auto"/>
            <w:vAlign w:val="center"/>
            <w:hideMark/>
          </w:tcPr>
          <w:p w14:paraId="28217853" w14:textId="77777777" w:rsidR="00D100F1" w:rsidRPr="00F81DCB" w:rsidRDefault="00D100F1" w:rsidP="00D100F1">
            <w:pPr>
              <w:tabs>
                <w:tab w:val="decimal" w:pos="1035"/>
              </w:tabs>
              <w:spacing w:after="0" w:line="240" w:lineRule="auto"/>
              <w:jc w:val="right"/>
              <w:rPr>
                <w:rFonts w:ascii="Arial" w:eastAsia="Times New Roman" w:hAnsi="Arial" w:cs="Arial"/>
                <w:b/>
                <w:bCs/>
                <w:color w:val="103475"/>
                <w:sz w:val="18"/>
                <w:szCs w:val="16"/>
                <w:lang w:eastAsia="es-CO"/>
              </w:rPr>
            </w:pPr>
            <w:r w:rsidRPr="00F81DCB">
              <w:rPr>
                <w:rFonts w:ascii="Arial" w:eastAsia="Times New Roman" w:hAnsi="Arial" w:cs="Arial"/>
                <w:b/>
                <w:bCs/>
                <w:color w:val="103475"/>
                <w:sz w:val="18"/>
                <w:szCs w:val="16"/>
                <w:lang w:eastAsia="es-CO"/>
              </w:rPr>
              <w:t>8.096.739</w:t>
            </w:r>
          </w:p>
        </w:tc>
        <w:tc>
          <w:tcPr>
            <w:tcW w:w="1062" w:type="pct"/>
            <w:shd w:val="clear" w:color="auto" w:fill="auto"/>
            <w:vAlign w:val="center"/>
          </w:tcPr>
          <w:p w14:paraId="2711DA47" w14:textId="77777777" w:rsidR="00D100F1" w:rsidRPr="00F81DCB" w:rsidRDefault="00D100F1" w:rsidP="00D100F1">
            <w:pPr>
              <w:tabs>
                <w:tab w:val="decimal" w:pos="885"/>
              </w:tabs>
              <w:spacing w:after="0" w:line="240" w:lineRule="auto"/>
              <w:jc w:val="right"/>
              <w:rPr>
                <w:rFonts w:ascii="Arial" w:eastAsia="Times New Roman" w:hAnsi="Arial" w:cs="Arial"/>
                <w:b/>
                <w:bCs/>
                <w:color w:val="103475"/>
                <w:sz w:val="18"/>
                <w:szCs w:val="16"/>
                <w:lang w:eastAsia="es-CO"/>
              </w:rPr>
            </w:pPr>
            <w:r w:rsidRPr="00F81DCB">
              <w:rPr>
                <w:rFonts w:ascii="Arial" w:eastAsia="Times New Roman" w:hAnsi="Arial" w:cs="Arial"/>
                <w:b/>
                <w:bCs/>
                <w:color w:val="103475"/>
                <w:sz w:val="18"/>
                <w:szCs w:val="16"/>
                <w:lang w:eastAsia="es-CO"/>
              </w:rPr>
              <w:t>408.851</w:t>
            </w:r>
          </w:p>
        </w:tc>
        <w:tc>
          <w:tcPr>
            <w:tcW w:w="1061" w:type="pct"/>
            <w:shd w:val="clear" w:color="auto" w:fill="auto"/>
            <w:vAlign w:val="center"/>
          </w:tcPr>
          <w:p w14:paraId="72EF8C43" w14:textId="77777777" w:rsidR="00D100F1" w:rsidRPr="00F81DCB" w:rsidRDefault="00D100F1" w:rsidP="00D100F1">
            <w:pPr>
              <w:spacing w:after="0" w:line="240" w:lineRule="auto"/>
              <w:jc w:val="right"/>
              <w:rPr>
                <w:rFonts w:ascii="Arial" w:eastAsia="Times New Roman" w:hAnsi="Arial" w:cs="Arial"/>
                <w:b/>
                <w:bCs/>
                <w:color w:val="103475"/>
                <w:sz w:val="18"/>
                <w:szCs w:val="16"/>
                <w:lang w:eastAsia="es-CO"/>
              </w:rPr>
            </w:pPr>
            <w:r w:rsidRPr="00F81DCB">
              <w:rPr>
                <w:rFonts w:ascii="Arial" w:eastAsia="Times New Roman" w:hAnsi="Arial" w:cs="Arial"/>
                <w:b/>
                <w:bCs/>
                <w:color w:val="103475"/>
                <w:sz w:val="18"/>
                <w:szCs w:val="16"/>
                <w:lang w:eastAsia="es-CO"/>
              </w:rPr>
              <w:t>8.505.590</w:t>
            </w:r>
          </w:p>
        </w:tc>
      </w:tr>
      <w:tr w:rsidR="00D100F1" w:rsidRPr="00F81DCB" w14:paraId="05C8EFBF" w14:textId="77777777" w:rsidTr="00D100F1">
        <w:trPr>
          <w:trHeight w:val="227"/>
        </w:trPr>
        <w:tc>
          <w:tcPr>
            <w:tcW w:w="1814" w:type="pct"/>
            <w:shd w:val="clear" w:color="auto" w:fill="auto"/>
            <w:vAlign w:val="center"/>
          </w:tcPr>
          <w:p w14:paraId="3455FD0B" w14:textId="77777777" w:rsidR="00D100F1" w:rsidRPr="00F81DCB" w:rsidRDefault="00D100F1" w:rsidP="00D100F1">
            <w:pPr>
              <w:spacing w:after="0" w:line="240" w:lineRule="auto"/>
              <w:rPr>
                <w:rFonts w:ascii="Arial" w:eastAsia="Times New Roman" w:hAnsi="Arial" w:cs="Arial"/>
                <w:color w:val="000000"/>
                <w:sz w:val="18"/>
                <w:szCs w:val="16"/>
                <w:lang w:eastAsia="es-CO"/>
              </w:rPr>
            </w:pPr>
            <w:r w:rsidRPr="00F81DCB">
              <w:rPr>
                <w:rFonts w:ascii="Arial" w:eastAsia="Times New Roman" w:hAnsi="Arial" w:cs="Arial"/>
                <w:color w:val="000000"/>
                <w:sz w:val="18"/>
                <w:szCs w:val="16"/>
                <w:lang w:eastAsia="es-CO"/>
              </w:rPr>
              <w:t>Reclasificaciones</w:t>
            </w:r>
          </w:p>
        </w:tc>
        <w:tc>
          <w:tcPr>
            <w:tcW w:w="1062" w:type="pct"/>
            <w:shd w:val="clear" w:color="auto" w:fill="auto"/>
            <w:vAlign w:val="center"/>
          </w:tcPr>
          <w:p w14:paraId="61D965D6" w14:textId="77777777" w:rsidR="00D100F1" w:rsidRPr="00F81DCB" w:rsidRDefault="00D100F1" w:rsidP="00D100F1">
            <w:pPr>
              <w:tabs>
                <w:tab w:val="decimal" w:pos="1035"/>
              </w:tabs>
              <w:spacing w:after="0" w:line="240" w:lineRule="auto"/>
              <w:jc w:val="right"/>
              <w:rPr>
                <w:rFonts w:ascii="Arial" w:eastAsia="Times New Roman" w:hAnsi="Arial" w:cs="Arial"/>
                <w:color w:val="000000"/>
                <w:sz w:val="18"/>
                <w:szCs w:val="16"/>
                <w:lang w:eastAsia="es-CO"/>
              </w:rPr>
            </w:pPr>
            <w:r w:rsidRPr="00F81DCB">
              <w:rPr>
                <w:rFonts w:ascii="Arial" w:eastAsia="Times New Roman" w:hAnsi="Arial" w:cs="Arial"/>
                <w:color w:val="000000"/>
                <w:sz w:val="18"/>
                <w:szCs w:val="16"/>
                <w:lang w:eastAsia="es-CO"/>
              </w:rPr>
              <w:t>3.654.098</w:t>
            </w:r>
          </w:p>
        </w:tc>
        <w:tc>
          <w:tcPr>
            <w:tcW w:w="1062" w:type="pct"/>
            <w:shd w:val="clear" w:color="auto" w:fill="auto"/>
            <w:vAlign w:val="center"/>
          </w:tcPr>
          <w:p w14:paraId="6C24B096" w14:textId="77777777" w:rsidR="00D100F1" w:rsidRPr="00F81DCB" w:rsidRDefault="00D100F1" w:rsidP="00D100F1">
            <w:pPr>
              <w:tabs>
                <w:tab w:val="decimal" w:pos="885"/>
              </w:tabs>
              <w:spacing w:after="0" w:line="240" w:lineRule="auto"/>
              <w:jc w:val="right"/>
              <w:rPr>
                <w:rFonts w:ascii="Arial" w:eastAsia="Times New Roman" w:hAnsi="Arial" w:cs="Arial"/>
                <w:color w:val="000000"/>
                <w:sz w:val="18"/>
                <w:szCs w:val="16"/>
                <w:lang w:eastAsia="es-CO"/>
              </w:rPr>
            </w:pPr>
            <w:r w:rsidRPr="00F81DCB">
              <w:rPr>
                <w:rFonts w:ascii="Arial" w:eastAsia="Times New Roman" w:hAnsi="Arial" w:cs="Arial"/>
                <w:color w:val="000000"/>
                <w:sz w:val="18"/>
                <w:szCs w:val="16"/>
                <w:lang w:eastAsia="es-CO"/>
              </w:rPr>
              <w:t>-</w:t>
            </w:r>
          </w:p>
        </w:tc>
        <w:tc>
          <w:tcPr>
            <w:tcW w:w="1061" w:type="pct"/>
            <w:shd w:val="clear" w:color="auto" w:fill="auto"/>
            <w:vAlign w:val="center"/>
          </w:tcPr>
          <w:p w14:paraId="56974F45" w14:textId="77777777" w:rsidR="00D100F1" w:rsidRPr="00F81DCB" w:rsidRDefault="00D100F1" w:rsidP="00D100F1">
            <w:pPr>
              <w:spacing w:after="0" w:line="240" w:lineRule="auto"/>
              <w:jc w:val="right"/>
              <w:rPr>
                <w:rFonts w:ascii="Arial" w:eastAsia="Times New Roman" w:hAnsi="Arial" w:cs="Arial"/>
                <w:bCs/>
                <w:color w:val="000000"/>
                <w:sz w:val="18"/>
                <w:szCs w:val="16"/>
                <w:lang w:eastAsia="es-CO"/>
              </w:rPr>
            </w:pPr>
            <w:r w:rsidRPr="00F81DCB">
              <w:rPr>
                <w:rFonts w:ascii="Arial" w:eastAsia="Times New Roman" w:hAnsi="Arial" w:cs="Arial"/>
                <w:bCs/>
                <w:color w:val="000000"/>
                <w:sz w:val="18"/>
                <w:szCs w:val="16"/>
                <w:lang w:eastAsia="es-CO"/>
              </w:rPr>
              <w:t>3.654.098</w:t>
            </w:r>
          </w:p>
        </w:tc>
      </w:tr>
      <w:tr w:rsidR="00D100F1" w:rsidRPr="00F81DCB" w14:paraId="3E829E01" w14:textId="77777777" w:rsidTr="00D100F1">
        <w:trPr>
          <w:trHeight w:val="227"/>
        </w:trPr>
        <w:tc>
          <w:tcPr>
            <w:tcW w:w="1814" w:type="pct"/>
            <w:shd w:val="clear" w:color="auto" w:fill="auto"/>
            <w:vAlign w:val="center"/>
            <w:hideMark/>
          </w:tcPr>
          <w:p w14:paraId="08A23886" w14:textId="77777777" w:rsidR="00D100F1" w:rsidRPr="00F81DCB" w:rsidRDefault="00D100F1" w:rsidP="00D100F1">
            <w:pPr>
              <w:spacing w:after="0" w:line="240" w:lineRule="auto"/>
              <w:rPr>
                <w:rFonts w:ascii="Arial" w:eastAsia="Times New Roman" w:hAnsi="Arial" w:cs="Arial"/>
                <w:b/>
                <w:bCs/>
                <w:color w:val="103475"/>
                <w:sz w:val="18"/>
                <w:szCs w:val="16"/>
                <w:lang w:eastAsia="es-CO"/>
              </w:rPr>
            </w:pPr>
            <w:r w:rsidRPr="00F81DCB">
              <w:rPr>
                <w:rFonts w:ascii="Arial" w:eastAsia="Times New Roman" w:hAnsi="Arial" w:cs="Arial"/>
                <w:b/>
                <w:bCs/>
                <w:color w:val="103475"/>
                <w:sz w:val="18"/>
                <w:szCs w:val="16"/>
                <w:lang w:eastAsia="es-CO"/>
              </w:rPr>
              <w:t>Costo histórico</w:t>
            </w:r>
          </w:p>
        </w:tc>
        <w:tc>
          <w:tcPr>
            <w:tcW w:w="1062" w:type="pct"/>
            <w:shd w:val="clear" w:color="auto" w:fill="auto"/>
            <w:vAlign w:val="center"/>
            <w:hideMark/>
          </w:tcPr>
          <w:p w14:paraId="525F20C1" w14:textId="77777777" w:rsidR="00D100F1" w:rsidRPr="00F81DCB" w:rsidRDefault="00D100F1" w:rsidP="00D100F1">
            <w:pPr>
              <w:tabs>
                <w:tab w:val="decimal" w:pos="1035"/>
              </w:tabs>
              <w:spacing w:after="0" w:line="240" w:lineRule="auto"/>
              <w:jc w:val="right"/>
              <w:rPr>
                <w:rFonts w:ascii="Arial" w:eastAsia="Times New Roman" w:hAnsi="Arial" w:cs="Arial"/>
                <w:b/>
                <w:bCs/>
                <w:color w:val="103475"/>
                <w:sz w:val="18"/>
                <w:szCs w:val="16"/>
                <w:lang w:eastAsia="es-CO"/>
              </w:rPr>
            </w:pPr>
            <w:r w:rsidRPr="00F81DCB">
              <w:rPr>
                <w:rFonts w:ascii="Arial" w:eastAsia="Times New Roman" w:hAnsi="Arial" w:cs="Arial"/>
                <w:b/>
                <w:bCs/>
                <w:color w:val="103475"/>
                <w:sz w:val="18"/>
                <w:szCs w:val="16"/>
                <w:lang w:eastAsia="es-CO"/>
              </w:rPr>
              <w:t>11.750.837</w:t>
            </w:r>
          </w:p>
        </w:tc>
        <w:tc>
          <w:tcPr>
            <w:tcW w:w="1062" w:type="pct"/>
            <w:shd w:val="clear" w:color="auto" w:fill="auto"/>
            <w:vAlign w:val="center"/>
          </w:tcPr>
          <w:p w14:paraId="26786F2C" w14:textId="77777777" w:rsidR="00D100F1" w:rsidRPr="00F81DCB" w:rsidRDefault="00D100F1" w:rsidP="00D100F1">
            <w:pPr>
              <w:tabs>
                <w:tab w:val="decimal" w:pos="885"/>
              </w:tabs>
              <w:spacing w:after="0" w:line="240" w:lineRule="auto"/>
              <w:jc w:val="right"/>
              <w:rPr>
                <w:rFonts w:ascii="Arial" w:eastAsia="Times New Roman" w:hAnsi="Arial" w:cs="Arial"/>
                <w:b/>
                <w:bCs/>
                <w:color w:val="103475"/>
                <w:sz w:val="18"/>
                <w:szCs w:val="16"/>
                <w:lang w:eastAsia="es-CO"/>
              </w:rPr>
            </w:pPr>
            <w:r w:rsidRPr="00F81DCB">
              <w:rPr>
                <w:rFonts w:ascii="Arial" w:eastAsia="Times New Roman" w:hAnsi="Arial" w:cs="Arial"/>
                <w:b/>
                <w:bCs/>
                <w:color w:val="103475"/>
                <w:sz w:val="18"/>
                <w:szCs w:val="16"/>
                <w:lang w:eastAsia="es-CO"/>
              </w:rPr>
              <w:t>408.851</w:t>
            </w:r>
          </w:p>
        </w:tc>
        <w:tc>
          <w:tcPr>
            <w:tcW w:w="1061" w:type="pct"/>
            <w:shd w:val="clear" w:color="auto" w:fill="auto"/>
            <w:vAlign w:val="center"/>
          </w:tcPr>
          <w:p w14:paraId="754DA367" w14:textId="77777777" w:rsidR="00D100F1" w:rsidRPr="00F81DCB" w:rsidRDefault="00D100F1" w:rsidP="00D100F1">
            <w:pPr>
              <w:spacing w:after="0" w:line="240" w:lineRule="auto"/>
              <w:jc w:val="right"/>
              <w:rPr>
                <w:rFonts w:ascii="Arial" w:eastAsia="Times New Roman" w:hAnsi="Arial" w:cs="Arial"/>
                <w:b/>
                <w:bCs/>
                <w:color w:val="103475"/>
                <w:sz w:val="18"/>
                <w:szCs w:val="16"/>
                <w:lang w:eastAsia="es-CO"/>
              </w:rPr>
            </w:pPr>
            <w:r w:rsidRPr="00F81DCB">
              <w:rPr>
                <w:rFonts w:ascii="Arial" w:eastAsia="Times New Roman" w:hAnsi="Arial" w:cs="Arial"/>
                <w:b/>
                <w:bCs/>
                <w:color w:val="103475"/>
                <w:sz w:val="18"/>
                <w:szCs w:val="16"/>
                <w:lang w:eastAsia="es-CO"/>
              </w:rPr>
              <w:t>12.159.688</w:t>
            </w:r>
          </w:p>
        </w:tc>
      </w:tr>
      <w:tr w:rsidR="00D100F1" w:rsidRPr="00F81DCB" w14:paraId="47CEEBF7" w14:textId="77777777" w:rsidTr="00D100F1">
        <w:trPr>
          <w:trHeight w:val="227"/>
        </w:trPr>
        <w:tc>
          <w:tcPr>
            <w:tcW w:w="1814" w:type="pct"/>
            <w:shd w:val="clear" w:color="auto" w:fill="auto"/>
            <w:vAlign w:val="center"/>
            <w:hideMark/>
          </w:tcPr>
          <w:p w14:paraId="33F4624F" w14:textId="77777777" w:rsidR="00D100F1" w:rsidRPr="00F81DCB" w:rsidRDefault="00D100F1" w:rsidP="00D100F1">
            <w:pPr>
              <w:spacing w:after="0" w:line="240" w:lineRule="auto"/>
              <w:rPr>
                <w:rFonts w:ascii="Arial" w:eastAsia="Times New Roman" w:hAnsi="Arial" w:cs="Arial"/>
                <w:color w:val="000000"/>
                <w:sz w:val="18"/>
                <w:szCs w:val="16"/>
                <w:lang w:eastAsia="es-CO"/>
              </w:rPr>
            </w:pPr>
            <w:r w:rsidRPr="00F81DCB">
              <w:rPr>
                <w:rFonts w:ascii="Arial" w:eastAsia="Times New Roman" w:hAnsi="Arial" w:cs="Arial"/>
                <w:color w:val="000000"/>
                <w:sz w:val="18"/>
                <w:szCs w:val="16"/>
                <w:lang w:eastAsia="es-CO"/>
              </w:rPr>
              <w:t xml:space="preserve">Depreciación del período </w:t>
            </w:r>
          </w:p>
        </w:tc>
        <w:tc>
          <w:tcPr>
            <w:tcW w:w="1062" w:type="pct"/>
            <w:shd w:val="clear" w:color="auto" w:fill="auto"/>
            <w:vAlign w:val="center"/>
          </w:tcPr>
          <w:p w14:paraId="416C314A" w14:textId="77777777" w:rsidR="00D100F1" w:rsidRPr="00F81DCB" w:rsidRDefault="00D100F1" w:rsidP="00D100F1">
            <w:pPr>
              <w:tabs>
                <w:tab w:val="decimal" w:pos="720"/>
              </w:tabs>
              <w:spacing w:after="0" w:line="240" w:lineRule="auto"/>
              <w:jc w:val="right"/>
              <w:rPr>
                <w:rFonts w:ascii="Arial" w:eastAsia="Times New Roman" w:hAnsi="Arial" w:cs="Arial"/>
                <w:color w:val="000000"/>
                <w:sz w:val="18"/>
                <w:szCs w:val="16"/>
                <w:lang w:eastAsia="es-CO"/>
              </w:rPr>
            </w:pPr>
            <w:r w:rsidRPr="00F81DCB">
              <w:rPr>
                <w:rFonts w:ascii="Arial" w:eastAsia="Times New Roman" w:hAnsi="Arial" w:cs="Arial"/>
                <w:color w:val="000000"/>
                <w:sz w:val="18"/>
                <w:szCs w:val="16"/>
                <w:lang w:eastAsia="es-CO"/>
              </w:rPr>
              <w:t>507.819</w:t>
            </w:r>
          </w:p>
        </w:tc>
        <w:tc>
          <w:tcPr>
            <w:tcW w:w="1062" w:type="pct"/>
            <w:shd w:val="clear" w:color="auto" w:fill="auto"/>
            <w:vAlign w:val="center"/>
          </w:tcPr>
          <w:p w14:paraId="6EABAD63" w14:textId="0B46FA71" w:rsidR="00D100F1" w:rsidRPr="00F81DCB" w:rsidRDefault="00D100F1" w:rsidP="00D100F1">
            <w:pPr>
              <w:tabs>
                <w:tab w:val="decimal" w:pos="885"/>
              </w:tabs>
              <w:spacing w:after="0" w:line="240" w:lineRule="auto"/>
              <w:jc w:val="right"/>
              <w:rPr>
                <w:rFonts w:ascii="Arial" w:eastAsia="Times New Roman" w:hAnsi="Arial" w:cs="Arial"/>
                <w:color w:val="000000"/>
                <w:sz w:val="18"/>
                <w:szCs w:val="16"/>
                <w:lang w:eastAsia="es-CO"/>
              </w:rPr>
            </w:pPr>
            <w:r w:rsidRPr="00F81DCB">
              <w:rPr>
                <w:rFonts w:ascii="Arial" w:eastAsia="Times New Roman" w:hAnsi="Arial" w:cs="Arial"/>
                <w:color w:val="000000"/>
                <w:sz w:val="18"/>
                <w:szCs w:val="16"/>
                <w:lang w:eastAsia="es-CO"/>
              </w:rPr>
              <w:t>43.80</w:t>
            </w:r>
            <w:r>
              <w:rPr>
                <w:rFonts w:ascii="Arial" w:eastAsia="Times New Roman" w:hAnsi="Arial" w:cs="Arial"/>
                <w:color w:val="000000"/>
                <w:sz w:val="18"/>
                <w:szCs w:val="16"/>
                <w:lang w:eastAsia="es-CO"/>
              </w:rPr>
              <w:t>5</w:t>
            </w:r>
          </w:p>
        </w:tc>
        <w:tc>
          <w:tcPr>
            <w:tcW w:w="1061" w:type="pct"/>
            <w:shd w:val="clear" w:color="auto" w:fill="auto"/>
            <w:vAlign w:val="center"/>
          </w:tcPr>
          <w:p w14:paraId="4B279012" w14:textId="7E6F8831" w:rsidR="00D100F1" w:rsidRPr="00F81DCB" w:rsidRDefault="00D100F1" w:rsidP="00D100F1">
            <w:pPr>
              <w:spacing w:after="0" w:line="240" w:lineRule="auto"/>
              <w:jc w:val="right"/>
              <w:rPr>
                <w:rFonts w:ascii="Arial" w:eastAsia="Times New Roman" w:hAnsi="Arial" w:cs="Arial"/>
                <w:bCs/>
                <w:color w:val="000000"/>
                <w:sz w:val="18"/>
                <w:szCs w:val="16"/>
                <w:lang w:eastAsia="es-CO"/>
              </w:rPr>
            </w:pPr>
            <w:r w:rsidRPr="00F81DCB">
              <w:rPr>
                <w:rFonts w:ascii="Arial" w:eastAsia="Times New Roman" w:hAnsi="Arial" w:cs="Arial"/>
                <w:bCs/>
                <w:color w:val="000000"/>
                <w:sz w:val="18"/>
                <w:szCs w:val="16"/>
                <w:lang w:eastAsia="es-CO"/>
              </w:rPr>
              <w:t>551.62</w:t>
            </w:r>
            <w:r>
              <w:rPr>
                <w:rFonts w:ascii="Arial" w:eastAsia="Times New Roman" w:hAnsi="Arial" w:cs="Arial"/>
                <w:bCs/>
                <w:color w:val="000000"/>
                <w:sz w:val="18"/>
                <w:szCs w:val="16"/>
                <w:lang w:eastAsia="es-CO"/>
              </w:rPr>
              <w:t>4</w:t>
            </w:r>
          </w:p>
        </w:tc>
      </w:tr>
      <w:tr w:rsidR="00D100F1" w:rsidRPr="00F81DCB" w14:paraId="7FB99357" w14:textId="77777777" w:rsidTr="00D100F1">
        <w:trPr>
          <w:trHeight w:val="227"/>
        </w:trPr>
        <w:tc>
          <w:tcPr>
            <w:tcW w:w="1814" w:type="pct"/>
            <w:shd w:val="clear" w:color="auto" w:fill="auto"/>
            <w:vAlign w:val="center"/>
            <w:hideMark/>
          </w:tcPr>
          <w:p w14:paraId="683F2C02" w14:textId="77777777" w:rsidR="00D100F1" w:rsidRPr="00F81DCB" w:rsidRDefault="00D100F1" w:rsidP="00D100F1">
            <w:pPr>
              <w:spacing w:after="0" w:line="240" w:lineRule="auto"/>
              <w:rPr>
                <w:rFonts w:ascii="Arial" w:eastAsia="Times New Roman" w:hAnsi="Arial" w:cs="Arial"/>
                <w:b/>
                <w:bCs/>
                <w:color w:val="103475"/>
                <w:sz w:val="18"/>
                <w:szCs w:val="16"/>
                <w:lang w:eastAsia="es-CO"/>
              </w:rPr>
            </w:pPr>
            <w:r w:rsidRPr="00F81DCB">
              <w:rPr>
                <w:rFonts w:ascii="Arial" w:eastAsia="Times New Roman" w:hAnsi="Arial" w:cs="Arial"/>
                <w:b/>
                <w:bCs/>
                <w:color w:val="103475"/>
                <w:sz w:val="18"/>
                <w:szCs w:val="16"/>
                <w:lang w:eastAsia="es-CO"/>
              </w:rPr>
              <w:t>Total  derecho de uso propiedades, planta y equipo al 31 de marzo de 2019</w:t>
            </w:r>
          </w:p>
        </w:tc>
        <w:tc>
          <w:tcPr>
            <w:tcW w:w="1062" w:type="pct"/>
            <w:shd w:val="clear" w:color="auto" w:fill="auto"/>
            <w:vAlign w:val="center"/>
            <w:hideMark/>
          </w:tcPr>
          <w:p w14:paraId="5A883B4A" w14:textId="77777777" w:rsidR="00D100F1" w:rsidRPr="00F81DCB" w:rsidRDefault="00D100F1" w:rsidP="00D100F1">
            <w:pPr>
              <w:tabs>
                <w:tab w:val="decimal" w:pos="1035"/>
              </w:tabs>
              <w:spacing w:after="0" w:line="240" w:lineRule="auto"/>
              <w:jc w:val="right"/>
              <w:rPr>
                <w:rFonts w:ascii="Arial" w:eastAsia="Times New Roman" w:hAnsi="Arial" w:cs="Arial"/>
                <w:b/>
                <w:bCs/>
                <w:color w:val="103475"/>
                <w:sz w:val="18"/>
                <w:szCs w:val="16"/>
                <w:lang w:eastAsia="es-CO"/>
              </w:rPr>
            </w:pPr>
            <w:r w:rsidRPr="00F81DCB">
              <w:rPr>
                <w:rFonts w:ascii="Arial" w:eastAsia="Times New Roman" w:hAnsi="Arial" w:cs="Arial"/>
                <w:b/>
                <w:bCs/>
                <w:color w:val="103475"/>
                <w:sz w:val="18"/>
                <w:szCs w:val="16"/>
                <w:lang w:eastAsia="es-CO"/>
              </w:rPr>
              <w:t>11.243.018</w:t>
            </w:r>
          </w:p>
        </w:tc>
        <w:tc>
          <w:tcPr>
            <w:tcW w:w="1062" w:type="pct"/>
            <w:shd w:val="clear" w:color="auto" w:fill="auto"/>
            <w:vAlign w:val="center"/>
          </w:tcPr>
          <w:p w14:paraId="37577BAC" w14:textId="77777777" w:rsidR="00D100F1" w:rsidRPr="00F81DCB" w:rsidRDefault="00D100F1" w:rsidP="00D100F1">
            <w:pPr>
              <w:tabs>
                <w:tab w:val="decimal" w:pos="885"/>
              </w:tabs>
              <w:spacing w:after="0" w:line="240" w:lineRule="auto"/>
              <w:jc w:val="right"/>
              <w:rPr>
                <w:rFonts w:ascii="Arial" w:eastAsia="Times New Roman" w:hAnsi="Arial" w:cs="Arial"/>
                <w:b/>
                <w:bCs/>
                <w:color w:val="103475"/>
                <w:sz w:val="18"/>
                <w:szCs w:val="16"/>
                <w:lang w:eastAsia="es-CO"/>
              </w:rPr>
            </w:pPr>
            <w:r w:rsidRPr="00F81DCB">
              <w:rPr>
                <w:rFonts w:ascii="Arial" w:eastAsia="Times New Roman" w:hAnsi="Arial" w:cs="Arial"/>
                <w:b/>
                <w:bCs/>
                <w:color w:val="103475"/>
                <w:sz w:val="18"/>
                <w:szCs w:val="16"/>
                <w:lang w:eastAsia="es-CO"/>
              </w:rPr>
              <w:t>365.046</w:t>
            </w:r>
          </w:p>
        </w:tc>
        <w:tc>
          <w:tcPr>
            <w:tcW w:w="1061" w:type="pct"/>
            <w:shd w:val="clear" w:color="auto" w:fill="auto"/>
            <w:vAlign w:val="center"/>
          </w:tcPr>
          <w:p w14:paraId="32303DA4" w14:textId="77777777" w:rsidR="00D100F1" w:rsidRPr="00F81DCB" w:rsidRDefault="00D100F1" w:rsidP="00D100F1">
            <w:pPr>
              <w:spacing w:after="0" w:line="240" w:lineRule="auto"/>
              <w:jc w:val="right"/>
              <w:rPr>
                <w:rFonts w:ascii="Arial" w:eastAsia="Times New Roman" w:hAnsi="Arial" w:cs="Arial"/>
                <w:b/>
                <w:bCs/>
                <w:color w:val="103475"/>
                <w:sz w:val="18"/>
                <w:szCs w:val="16"/>
                <w:lang w:eastAsia="es-CO"/>
              </w:rPr>
            </w:pPr>
            <w:r w:rsidRPr="00F81DCB">
              <w:rPr>
                <w:rFonts w:ascii="Arial" w:eastAsia="Times New Roman" w:hAnsi="Arial" w:cs="Arial"/>
                <w:b/>
                <w:bCs/>
                <w:color w:val="103475"/>
                <w:sz w:val="18"/>
                <w:szCs w:val="16"/>
                <w:lang w:eastAsia="es-CO"/>
              </w:rPr>
              <w:t>11.608.064</w:t>
            </w:r>
          </w:p>
        </w:tc>
      </w:tr>
    </w:tbl>
    <w:p w14:paraId="4CDE8473" w14:textId="77777777" w:rsidR="002D21EB" w:rsidRDefault="002D21EB" w:rsidP="00906091">
      <w:pPr>
        <w:jc w:val="both"/>
        <w:rPr>
          <w:rFonts w:ascii="Arial" w:hAnsi="Arial" w:cs="Arial"/>
          <w:sz w:val="20"/>
        </w:rPr>
      </w:pPr>
    </w:p>
    <w:p w14:paraId="3CDFC4DE" w14:textId="0A4271B5" w:rsidR="00D100F1" w:rsidRPr="00906091" w:rsidRDefault="002D21EB" w:rsidP="00906091">
      <w:pPr>
        <w:jc w:val="both"/>
        <w:rPr>
          <w:rFonts w:ascii="Arial" w:hAnsi="Arial" w:cs="Arial"/>
          <w:sz w:val="20"/>
        </w:rPr>
      </w:pPr>
      <w:r>
        <w:rPr>
          <w:rFonts w:ascii="Arial" w:hAnsi="Arial" w:cs="Arial"/>
          <w:sz w:val="20"/>
        </w:rPr>
        <w:t>La C</w:t>
      </w:r>
      <w:r w:rsidR="00D100F1" w:rsidRPr="00F81DCB">
        <w:rPr>
          <w:rFonts w:ascii="Arial" w:hAnsi="Arial" w:cs="Arial"/>
          <w:sz w:val="20"/>
        </w:rPr>
        <w:t>ompañía reconoció en sus activos el valor presente de los cánones futuros a cancelar por los contratos de arrendamiento de oficinas administrativas ubicadas en Bogotá y Medellín, y vehículos adquiridos po</w:t>
      </w:r>
      <w:r w:rsidR="00906091">
        <w:rPr>
          <w:rFonts w:ascii="Arial" w:hAnsi="Arial" w:cs="Arial"/>
          <w:sz w:val="20"/>
        </w:rPr>
        <w:t xml:space="preserve">r medios de leasing y renting. </w:t>
      </w:r>
    </w:p>
    <w:p w14:paraId="3C395CEA" w14:textId="3FFBFA2A" w:rsidR="00D3056B" w:rsidRPr="00D100F1" w:rsidRDefault="00D3056B" w:rsidP="00D100F1">
      <w:pPr>
        <w:pStyle w:val="Ttulo1"/>
      </w:pPr>
      <w:bookmarkStart w:id="281" w:name="_Toc8735097"/>
      <w:r w:rsidRPr="0009028A">
        <w:t xml:space="preserve">Nota </w:t>
      </w:r>
      <w:r w:rsidR="00D100F1">
        <w:t>9</w:t>
      </w:r>
      <w:r w:rsidRPr="0009028A">
        <w:t>: Intangibles, neto</w:t>
      </w:r>
      <w:bookmarkEnd w:id="278"/>
      <w:bookmarkEnd w:id="281"/>
      <w:r w:rsidRPr="0009028A">
        <w:rPr>
          <w:rFonts w:ascii="Arial" w:hAnsi="Arial" w:cs="Arial"/>
        </w:rPr>
        <w:fldChar w:fldCharType="begin"/>
      </w:r>
      <w:r w:rsidRPr="0009028A">
        <w:rPr>
          <w:rFonts w:ascii="Arial" w:hAnsi="Arial" w:cs="Arial"/>
        </w:rPr>
        <w:instrText xml:space="preserve"> LINK Excel.Sheet.12 "D:\\Users\\Documents\\GRUPO NIIF\\PROYECTOS XBRL\\PROYECTOS XBRL 2016\\ANEXO PLANTILLAS Q1 2016\\GA CONSOLIDADO\\ACTIVOS PPYE-PI-INT-ANCMV-AB Consolidado\\PPYE\\Propiedad Planta y Equipo 2015  DIC ultimo miles.xlsx" "Revelaciones miles xbrl dic 15!F23C1:F39C12" \a \f 4 \h  \* MERGEFORMAT </w:instrText>
      </w:r>
      <w:r w:rsidRPr="0009028A">
        <w:rPr>
          <w:rFonts w:ascii="Arial" w:hAnsi="Arial" w:cs="Arial"/>
        </w:rPr>
        <w:fldChar w:fldCharType="separate"/>
      </w:r>
    </w:p>
    <w:p w14:paraId="7FAE490E" w14:textId="77777777" w:rsidR="00D3056B" w:rsidRPr="0009028A" w:rsidRDefault="00D3056B" w:rsidP="00D3056B">
      <w:pPr>
        <w:spacing w:after="0" w:line="240" w:lineRule="auto"/>
        <w:jc w:val="both"/>
        <w:rPr>
          <w:rFonts w:ascii="Arial" w:eastAsia="Arial" w:hAnsi="Arial" w:cs="Arial"/>
          <w:spacing w:val="-1"/>
          <w:sz w:val="20"/>
          <w:szCs w:val="20"/>
        </w:rPr>
      </w:pPr>
      <w:r w:rsidRPr="0009028A">
        <w:rPr>
          <w:rFonts w:ascii="Arial" w:hAnsi="Arial" w:cs="Arial"/>
        </w:rPr>
        <w:fldChar w:fldCharType="end"/>
      </w:r>
      <w:r w:rsidRPr="0009028A">
        <w:rPr>
          <w:rFonts w:ascii="Arial" w:eastAsia="Arial" w:hAnsi="Arial" w:cs="Arial"/>
          <w:spacing w:val="-1"/>
          <w:sz w:val="20"/>
          <w:szCs w:val="20"/>
        </w:rPr>
        <w:t>A continuación, se presenta un detalle de los activos intangibles que presenta la Compañía al 3</w:t>
      </w:r>
      <w:r w:rsidR="00690C06" w:rsidRPr="0009028A">
        <w:rPr>
          <w:rFonts w:ascii="Arial" w:eastAsia="Arial" w:hAnsi="Arial" w:cs="Arial"/>
          <w:spacing w:val="-1"/>
          <w:sz w:val="20"/>
          <w:szCs w:val="20"/>
        </w:rPr>
        <w:t>1</w:t>
      </w:r>
      <w:r w:rsidRPr="0009028A">
        <w:rPr>
          <w:rFonts w:ascii="Arial" w:eastAsia="Arial" w:hAnsi="Arial" w:cs="Arial"/>
          <w:spacing w:val="-1"/>
          <w:sz w:val="20"/>
          <w:szCs w:val="20"/>
        </w:rPr>
        <w:t xml:space="preserve"> de </w:t>
      </w:r>
      <w:r w:rsidR="001A5357" w:rsidRPr="0009028A">
        <w:rPr>
          <w:rFonts w:ascii="Arial" w:eastAsia="Arial" w:hAnsi="Arial" w:cs="Arial"/>
          <w:spacing w:val="-1"/>
          <w:sz w:val="20"/>
          <w:szCs w:val="20"/>
        </w:rPr>
        <w:t>marzo</w:t>
      </w:r>
      <w:r w:rsidRPr="0009028A">
        <w:rPr>
          <w:rFonts w:ascii="Arial" w:eastAsia="Arial" w:hAnsi="Arial" w:cs="Arial"/>
          <w:spacing w:val="-1"/>
          <w:sz w:val="20"/>
          <w:szCs w:val="20"/>
        </w:rPr>
        <w:t xml:space="preserve"> de 201</w:t>
      </w:r>
      <w:r w:rsidR="001A5357" w:rsidRPr="0009028A">
        <w:rPr>
          <w:rFonts w:ascii="Arial" w:eastAsia="Arial" w:hAnsi="Arial" w:cs="Arial"/>
          <w:spacing w:val="-1"/>
          <w:sz w:val="20"/>
          <w:szCs w:val="20"/>
        </w:rPr>
        <w:t>9</w:t>
      </w:r>
      <w:r w:rsidRPr="0009028A">
        <w:rPr>
          <w:rFonts w:ascii="Arial" w:eastAsia="Arial" w:hAnsi="Arial" w:cs="Arial"/>
          <w:spacing w:val="-1"/>
          <w:sz w:val="20"/>
          <w:szCs w:val="20"/>
        </w:rPr>
        <w:t xml:space="preserve"> y 31 de diciembre de 201</w:t>
      </w:r>
      <w:r w:rsidR="001A5357" w:rsidRPr="0009028A">
        <w:rPr>
          <w:rFonts w:ascii="Arial" w:eastAsia="Arial" w:hAnsi="Arial" w:cs="Arial"/>
          <w:spacing w:val="-1"/>
          <w:sz w:val="20"/>
          <w:szCs w:val="20"/>
        </w:rPr>
        <w:t>8</w:t>
      </w:r>
      <w:r w:rsidRPr="0009028A">
        <w:rPr>
          <w:rFonts w:ascii="Arial" w:eastAsia="Arial" w:hAnsi="Arial" w:cs="Arial"/>
          <w:spacing w:val="-1"/>
          <w:sz w:val="20"/>
          <w:szCs w:val="20"/>
        </w:rPr>
        <w:t>:</w:t>
      </w:r>
    </w:p>
    <w:p w14:paraId="5C35AC4C" w14:textId="77777777" w:rsidR="00D3056B" w:rsidRPr="0009028A" w:rsidRDefault="00D3056B" w:rsidP="00D3056B">
      <w:pPr>
        <w:spacing w:after="0" w:line="240" w:lineRule="auto"/>
        <w:jc w:val="both"/>
        <w:rPr>
          <w:rFonts w:ascii="Arial" w:hAnsi="Arial" w:cs="Arial"/>
        </w:rPr>
      </w:pPr>
    </w:p>
    <w:tbl>
      <w:tblPr>
        <w:tblW w:w="9877" w:type="dxa"/>
        <w:tblCellMar>
          <w:left w:w="70" w:type="dxa"/>
          <w:right w:w="70" w:type="dxa"/>
        </w:tblCellMar>
        <w:tblLook w:val="04A0" w:firstRow="1" w:lastRow="0" w:firstColumn="1" w:lastColumn="0" w:noHBand="0" w:noVBand="1"/>
      </w:tblPr>
      <w:tblGrid>
        <w:gridCol w:w="6558"/>
        <w:gridCol w:w="1681"/>
        <w:gridCol w:w="1638"/>
      </w:tblGrid>
      <w:tr w:rsidR="00D3056B" w:rsidRPr="0009028A" w14:paraId="37204185" w14:textId="77777777" w:rsidTr="00013960">
        <w:trPr>
          <w:trHeight w:val="263"/>
        </w:trPr>
        <w:tc>
          <w:tcPr>
            <w:tcW w:w="6558" w:type="dxa"/>
            <w:shd w:val="clear" w:color="auto" w:fill="auto"/>
            <w:vAlign w:val="center"/>
            <w:hideMark/>
          </w:tcPr>
          <w:p w14:paraId="121FD686" w14:textId="77777777" w:rsidR="00D3056B" w:rsidRPr="0009028A" w:rsidRDefault="00D3056B" w:rsidP="00C50E36">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w:t>
            </w:r>
          </w:p>
        </w:tc>
        <w:tc>
          <w:tcPr>
            <w:tcW w:w="1681" w:type="dxa"/>
            <w:shd w:val="clear" w:color="auto" w:fill="auto"/>
            <w:vAlign w:val="center"/>
            <w:hideMark/>
          </w:tcPr>
          <w:p w14:paraId="6A759045" w14:textId="77777777" w:rsidR="00D3056B" w:rsidRPr="0009028A" w:rsidRDefault="005744AF" w:rsidP="00C50E36">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 xml:space="preserve">Marzo </w:t>
            </w:r>
            <w:r w:rsidR="00D3056B" w:rsidRPr="0009028A">
              <w:rPr>
                <w:rFonts w:ascii="Arial" w:eastAsia="Times New Roman" w:hAnsi="Arial" w:cs="Arial"/>
                <w:b/>
                <w:bCs/>
                <w:color w:val="103475"/>
                <w:sz w:val="18"/>
                <w:szCs w:val="18"/>
                <w:lang w:eastAsia="es-CO"/>
              </w:rPr>
              <w:t>201</w:t>
            </w:r>
            <w:r w:rsidR="001A5357" w:rsidRPr="0009028A">
              <w:rPr>
                <w:rFonts w:ascii="Arial" w:eastAsia="Times New Roman" w:hAnsi="Arial" w:cs="Arial"/>
                <w:b/>
                <w:bCs/>
                <w:color w:val="103475"/>
                <w:sz w:val="18"/>
                <w:szCs w:val="18"/>
                <w:lang w:eastAsia="es-CO"/>
              </w:rPr>
              <w:t>9</w:t>
            </w:r>
          </w:p>
        </w:tc>
        <w:tc>
          <w:tcPr>
            <w:tcW w:w="1638" w:type="dxa"/>
            <w:shd w:val="clear" w:color="auto" w:fill="auto"/>
            <w:vAlign w:val="center"/>
            <w:hideMark/>
          </w:tcPr>
          <w:p w14:paraId="3B2C8CBF" w14:textId="77777777" w:rsidR="00D3056B" w:rsidRPr="0009028A" w:rsidRDefault="005744AF" w:rsidP="00C50E36">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val="es-ES" w:eastAsia="es-CO"/>
              </w:rPr>
              <w:t xml:space="preserve">Diciembre </w:t>
            </w:r>
            <w:r w:rsidR="00D3056B" w:rsidRPr="0009028A">
              <w:rPr>
                <w:rFonts w:ascii="Arial" w:eastAsia="Times New Roman" w:hAnsi="Arial" w:cs="Arial"/>
                <w:b/>
                <w:bCs/>
                <w:color w:val="103475"/>
                <w:sz w:val="18"/>
                <w:szCs w:val="18"/>
                <w:lang w:val="es-ES" w:eastAsia="es-CO"/>
              </w:rPr>
              <w:t>201</w:t>
            </w:r>
            <w:r w:rsidR="001A5357" w:rsidRPr="0009028A">
              <w:rPr>
                <w:rFonts w:ascii="Arial" w:eastAsia="Times New Roman" w:hAnsi="Arial" w:cs="Arial"/>
                <w:b/>
                <w:bCs/>
                <w:color w:val="103475"/>
                <w:sz w:val="18"/>
                <w:szCs w:val="18"/>
                <w:lang w:val="es-ES" w:eastAsia="es-CO"/>
              </w:rPr>
              <w:t>8</w:t>
            </w:r>
          </w:p>
        </w:tc>
      </w:tr>
      <w:tr w:rsidR="00D3056B" w:rsidRPr="0009028A" w14:paraId="090CB6D3" w14:textId="77777777" w:rsidTr="00013960">
        <w:trPr>
          <w:trHeight w:val="251"/>
        </w:trPr>
        <w:tc>
          <w:tcPr>
            <w:tcW w:w="6558" w:type="dxa"/>
            <w:shd w:val="clear" w:color="auto" w:fill="auto"/>
            <w:vAlign w:val="center"/>
            <w:hideMark/>
          </w:tcPr>
          <w:p w14:paraId="6B7E65C1" w14:textId="77777777" w:rsidR="00D3056B" w:rsidRPr="0009028A" w:rsidRDefault="00D3056B" w:rsidP="00C50E36">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Patentes, licencias y software</w:t>
            </w:r>
          </w:p>
        </w:tc>
        <w:tc>
          <w:tcPr>
            <w:tcW w:w="1681" w:type="dxa"/>
            <w:shd w:val="clear" w:color="auto" w:fill="auto"/>
            <w:vAlign w:val="center"/>
          </w:tcPr>
          <w:p w14:paraId="6B12802B" w14:textId="77777777" w:rsidR="00D3056B" w:rsidRPr="0009028A" w:rsidRDefault="00013960" w:rsidP="00C50E36">
            <w:pPr>
              <w:spacing w:after="0" w:line="240" w:lineRule="auto"/>
              <w:jc w:val="right"/>
              <w:rPr>
                <w:rFonts w:ascii="Arial" w:hAnsi="Arial" w:cs="Arial"/>
                <w:color w:val="000000"/>
                <w:sz w:val="18"/>
                <w:szCs w:val="18"/>
              </w:rPr>
            </w:pPr>
            <w:r w:rsidRPr="0009028A">
              <w:rPr>
                <w:rFonts w:ascii="Arial" w:hAnsi="Arial" w:cs="Arial"/>
                <w:color w:val="000000"/>
                <w:sz w:val="18"/>
                <w:szCs w:val="18"/>
              </w:rPr>
              <w:t xml:space="preserve">$      </w:t>
            </w:r>
            <w:r w:rsidR="009F7007" w:rsidRPr="0009028A">
              <w:rPr>
                <w:rFonts w:ascii="Arial" w:hAnsi="Arial" w:cs="Arial"/>
                <w:color w:val="000000"/>
                <w:sz w:val="18"/>
                <w:szCs w:val="18"/>
              </w:rPr>
              <w:t>448.455</w:t>
            </w:r>
          </w:p>
        </w:tc>
        <w:tc>
          <w:tcPr>
            <w:tcW w:w="1638" w:type="dxa"/>
            <w:shd w:val="clear" w:color="auto" w:fill="auto"/>
            <w:vAlign w:val="center"/>
            <w:hideMark/>
          </w:tcPr>
          <w:p w14:paraId="3FCBD08E" w14:textId="77777777" w:rsidR="00D3056B" w:rsidRPr="0009028A" w:rsidRDefault="001A5357" w:rsidP="00A43D62">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377.2</w:t>
            </w:r>
            <w:r w:rsidR="00A43D62" w:rsidRPr="0009028A">
              <w:rPr>
                <w:rFonts w:ascii="Arial" w:eastAsia="Times New Roman" w:hAnsi="Arial" w:cs="Arial"/>
                <w:color w:val="000000"/>
                <w:sz w:val="18"/>
                <w:szCs w:val="18"/>
                <w:lang w:eastAsia="es-CO"/>
              </w:rPr>
              <w:t>81</w:t>
            </w:r>
          </w:p>
        </w:tc>
      </w:tr>
      <w:tr w:rsidR="001A5357" w:rsidRPr="0009028A" w14:paraId="18709642" w14:textId="77777777" w:rsidTr="00013960">
        <w:trPr>
          <w:trHeight w:val="251"/>
        </w:trPr>
        <w:tc>
          <w:tcPr>
            <w:tcW w:w="6558" w:type="dxa"/>
            <w:shd w:val="clear" w:color="auto" w:fill="auto"/>
            <w:vAlign w:val="center"/>
          </w:tcPr>
          <w:p w14:paraId="47CE6AF5" w14:textId="77777777" w:rsidR="001A5357" w:rsidRPr="0009028A" w:rsidRDefault="001A5357" w:rsidP="00C50E36">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Concesiones, franquicias y derechos</w:t>
            </w:r>
          </w:p>
        </w:tc>
        <w:tc>
          <w:tcPr>
            <w:tcW w:w="1681" w:type="dxa"/>
            <w:shd w:val="clear" w:color="auto" w:fill="auto"/>
            <w:vAlign w:val="center"/>
          </w:tcPr>
          <w:p w14:paraId="54EA1C95" w14:textId="77777777" w:rsidR="001A5357" w:rsidRPr="0009028A" w:rsidRDefault="009F7007" w:rsidP="00C50E36">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18.250.421</w:t>
            </w:r>
          </w:p>
        </w:tc>
        <w:tc>
          <w:tcPr>
            <w:tcW w:w="1638" w:type="dxa"/>
            <w:shd w:val="clear" w:color="auto" w:fill="auto"/>
            <w:vAlign w:val="center"/>
          </w:tcPr>
          <w:p w14:paraId="34576954" w14:textId="77777777" w:rsidR="001A5357" w:rsidRPr="0009028A" w:rsidRDefault="001A5357" w:rsidP="00A43D62">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15.634.</w:t>
            </w:r>
            <w:r w:rsidR="000846CD" w:rsidRPr="0009028A">
              <w:rPr>
                <w:rFonts w:ascii="Arial" w:eastAsia="Times New Roman" w:hAnsi="Arial" w:cs="Arial"/>
                <w:color w:val="000000"/>
                <w:sz w:val="18"/>
                <w:szCs w:val="18"/>
                <w:u w:val="single"/>
                <w:lang w:eastAsia="es-CO"/>
              </w:rPr>
              <w:t>2</w:t>
            </w:r>
            <w:r w:rsidR="00A43D62" w:rsidRPr="0009028A">
              <w:rPr>
                <w:rFonts w:ascii="Arial" w:eastAsia="Times New Roman" w:hAnsi="Arial" w:cs="Arial"/>
                <w:color w:val="000000"/>
                <w:sz w:val="18"/>
                <w:szCs w:val="18"/>
                <w:u w:val="single"/>
                <w:lang w:eastAsia="es-CO"/>
              </w:rPr>
              <w:t>13</w:t>
            </w:r>
          </w:p>
        </w:tc>
      </w:tr>
      <w:tr w:rsidR="00D3056B" w:rsidRPr="0009028A" w14:paraId="10BFF36C" w14:textId="77777777" w:rsidTr="00013960">
        <w:trPr>
          <w:trHeight w:val="70"/>
        </w:trPr>
        <w:tc>
          <w:tcPr>
            <w:tcW w:w="6558" w:type="dxa"/>
            <w:shd w:val="clear" w:color="auto" w:fill="auto"/>
            <w:vAlign w:val="center"/>
            <w:hideMark/>
          </w:tcPr>
          <w:p w14:paraId="3241142E" w14:textId="77777777" w:rsidR="00D3056B" w:rsidRPr="0009028A" w:rsidRDefault="00D3056B" w:rsidP="00C50E36">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Total activos intangibles distintos de la plusvalía, bruto</w:t>
            </w:r>
          </w:p>
        </w:tc>
        <w:tc>
          <w:tcPr>
            <w:tcW w:w="1681" w:type="dxa"/>
            <w:shd w:val="clear" w:color="auto" w:fill="auto"/>
            <w:vAlign w:val="center"/>
          </w:tcPr>
          <w:p w14:paraId="05AFF704" w14:textId="77777777" w:rsidR="00D3056B" w:rsidRPr="0009028A" w:rsidRDefault="00013960" w:rsidP="00C50E36">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lang w:eastAsia="es-CO"/>
              </w:rPr>
              <w:t xml:space="preserve">$ </w:t>
            </w:r>
            <w:r w:rsidR="00D3056B" w:rsidRPr="0009028A">
              <w:rPr>
                <w:rFonts w:ascii="Arial" w:eastAsia="Times New Roman" w:hAnsi="Arial" w:cs="Arial"/>
                <w:b/>
                <w:bCs/>
                <w:color w:val="103475"/>
                <w:sz w:val="18"/>
                <w:szCs w:val="18"/>
                <w:u w:val="double"/>
                <w:lang w:eastAsia="es-CO"/>
              </w:rPr>
              <w:t>1</w:t>
            </w:r>
            <w:r w:rsidR="009F7007" w:rsidRPr="0009028A">
              <w:rPr>
                <w:rFonts w:ascii="Arial" w:eastAsia="Times New Roman" w:hAnsi="Arial" w:cs="Arial"/>
                <w:b/>
                <w:bCs/>
                <w:color w:val="103475"/>
                <w:sz w:val="18"/>
                <w:szCs w:val="18"/>
                <w:u w:val="double"/>
                <w:lang w:eastAsia="es-CO"/>
              </w:rPr>
              <w:t>8.698.876</w:t>
            </w:r>
          </w:p>
        </w:tc>
        <w:tc>
          <w:tcPr>
            <w:tcW w:w="1638" w:type="dxa"/>
            <w:shd w:val="clear" w:color="auto" w:fill="auto"/>
            <w:vAlign w:val="center"/>
            <w:hideMark/>
          </w:tcPr>
          <w:p w14:paraId="4AA400CF" w14:textId="77777777" w:rsidR="00D3056B" w:rsidRPr="0009028A" w:rsidRDefault="00D3056B" w:rsidP="00C50E36">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1</w:t>
            </w:r>
            <w:r w:rsidR="001A5357" w:rsidRPr="0009028A">
              <w:rPr>
                <w:rFonts w:ascii="Arial" w:eastAsia="Times New Roman" w:hAnsi="Arial" w:cs="Arial"/>
                <w:b/>
                <w:bCs/>
                <w:color w:val="103475"/>
                <w:sz w:val="18"/>
                <w:szCs w:val="18"/>
                <w:u w:val="double"/>
                <w:lang w:eastAsia="es-CO"/>
              </w:rPr>
              <w:t>6.011.494</w:t>
            </w:r>
          </w:p>
        </w:tc>
      </w:tr>
      <w:tr w:rsidR="00D3056B" w:rsidRPr="0009028A" w14:paraId="60DB403A" w14:textId="77777777" w:rsidTr="00013960">
        <w:trPr>
          <w:trHeight w:val="257"/>
        </w:trPr>
        <w:tc>
          <w:tcPr>
            <w:tcW w:w="6558" w:type="dxa"/>
            <w:shd w:val="clear" w:color="auto" w:fill="auto"/>
            <w:vAlign w:val="center"/>
            <w:hideMark/>
          </w:tcPr>
          <w:p w14:paraId="2EEA3121" w14:textId="77777777" w:rsidR="00D3056B" w:rsidRPr="0009028A" w:rsidRDefault="00D3056B" w:rsidP="00C50E36">
            <w:pPr>
              <w:spacing w:after="0" w:line="240" w:lineRule="auto"/>
              <w:rPr>
                <w:rFonts w:ascii="Arial" w:eastAsia="Times New Roman" w:hAnsi="Arial" w:cs="Arial"/>
                <w:b/>
                <w:bCs/>
                <w:color w:val="000000"/>
                <w:sz w:val="18"/>
                <w:szCs w:val="18"/>
                <w:lang w:eastAsia="es-CO"/>
              </w:rPr>
            </w:pPr>
            <w:r w:rsidRPr="0009028A">
              <w:rPr>
                <w:rFonts w:ascii="Arial" w:eastAsia="Times New Roman" w:hAnsi="Arial" w:cs="Arial"/>
                <w:b/>
                <w:bCs/>
                <w:color w:val="000000"/>
                <w:sz w:val="18"/>
                <w:szCs w:val="18"/>
                <w:lang w:eastAsia="es-CO"/>
              </w:rPr>
              <w:t> </w:t>
            </w:r>
          </w:p>
        </w:tc>
        <w:tc>
          <w:tcPr>
            <w:tcW w:w="1681" w:type="dxa"/>
            <w:shd w:val="clear" w:color="auto" w:fill="auto"/>
            <w:vAlign w:val="center"/>
          </w:tcPr>
          <w:p w14:paraId="696B8FFC" w14:textId="77777777" w:rsidR="00D3056B" w:rsidRPr="0009028A" w:rsidRDefault="00D3056B" w:rsidP="00C50E36">
            <w:pPr>
              <w:spacing w:after="0" w:line="240" w:lineRule="auto"/>
              <w:jc w:val="right"/>
              <w:rPr>
                <w:rFonts w:ascii="Arial" w:eastAsia="Times New Roman" w:hAnsi="Arial" w:cs="Arial"/>
                <w:color w:val="000000"/>
                <w:sz w:val="18"/>
                <w:szCs w:val="18"/>
                <w:lang w:eastAsia="es-CO"/>
              </w:rPr>
            </w:pPr>
          </w:p>
        </w:tc>
        <w:tc>
          <w:tcPr>
            <w:tcW w:w="1638" w:type="dxa"/>
            <w:shd w:val="clear" w:color="auto" w:fill="auto"/>
            <w:vAlign w:val="center"/>
            <w:hideMark/>
          </w:tcPr>
          <w:p w14:paraId="5E7F9DF2" w14:textId="77777777" w:rsidR="00D3056B" w:rsidRPr="0009028A" w:rsidRDefault="00D3056B" w:rsidP="00C50E36">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w:t>
            </w:r>
          </w:p>
        </w:tc>
      </w:tr>
      <w:tr w:rsidR="00D3056B" w:rsidRPr="0009028A" w14:paraId="7E14A2B8" w14:textId="77777777" w:rsidTr="00013960">
        <w:trPr>
          <w:trHeight w:val="80"/>
        </w:trPr>
        <w:tc>
          <w:tcPr>
            <w:tcW w:w="6558" w:type="dxa"/>
            <w:shd w:val="clear" w:color="auto" w:fill="auto"/>
            <w:vAlign w:val="center"/>
            <w:hideMark/>
          </w:tcPr>
          <w:p w14:paraId="563BDFD0" w14:textId="77777777" w:rsidR="00D3056B" w:rsidRPr="0009028A" w:rsidRDefault="00D3056B" w:rsidP="00C50E36">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Amortización acumulada</w:t>
            </w:r>
          </w:p>
        </w:tc>
        <w:tc>
          <w:tcPr>
            <w:tcW w:w="1681" w:type="dxa"/>
            <w:shd w:val="clear" w:color="auto" w:fill="auto"/>
            <w:vAlign w:val="center"/>
          </w:tcPr>
          <w:p w14:paraId="52061A3C" w14:textId="77777777" w:rsidR="00D3056B" w:rsidRPr="0009028A" w:rsidRDefault="00013960" w:rsidP="00C50E36">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 xml:space="preserve">    </w:t>
            </w:r>
            <w:r w:rsidR="005744AF" w:rsidRPr="0009028A">
              <w:rPr>
                <w:rFonts w:ascii="Arial" w:eastAsia="Times New Roman" w:hAnsi="Arial" w:cs="Arial"/>
                <w:color w:val="000000"/>
                <w:sz w:val="18"/>
                <w:szCs w:val="18"/>
                <w:u w:val="single"/>
                <w:lang w:eastAsia="es-CO"/>
              </w:rPr>
              <w:t>(</w:t>
            </w:r>
            <w:r w:rsidR="009F7007" w:rsidRPr="0009028A">
              <w:rPr>
                <w:rFonts w:ascii="Arial" w:eastAsia="Times New Roman" w:hAnsi="Arial" w:cs="Arial"/>
                <w:color w:val="000000"/>
                <w:sz w:val="18"/>
                <w:szCs w:val="18"/>
                <w:u w:val="single"/>
                <w:lang w:eastAsia="es-CO"/>
              </w:rPr>
              <w:t>97.613</w:t>
            </w:r>
            <w:r w:rsidR="005744AF" w:rsidRPr="0009028A">
              <w:rPr>
                <w:rFonts w:ascii="Arial" w:eastAsia="Times New Roman" w:hAnsi="Arial" w:cs="Arial"/>
                <w:color w:val="000000"/>
                <w:sz w:val="18"/>
                <w:szCs w:val="18"/>
                <w:u w:val="single"/>
                <w:lang w:eastAsia="es-CO"/>
              </w:rPr>
              <w:t>)</w:t>
            </w:r>
          </w:p>
        </w:tc>
        <w:tc>
          <w:tcPr>
            <w:tcW w:w="1638" w:type="dxa"/>
            <w:shd w:val="clear" w:color="auto" w:fill="auto"/>
            <w:vAlign w:val="center"/>
          </w:tcPr>
          <w:p w14:paraId="4F294A4F" w14:textId="77777777" w:rsidR="00D3056B" w:rsidRPr="0009028A" w:rsidRDefault="00013960" w:rsidP="00C50E36">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 xml:space="preserve">     </w:t>
            </w:r>
            <w:r w:rsidR="005744AF" w:rsidRPr="0009028A">
              <w:rPr>
                <w:rFonts w:ascii="Arial" w:eastAsia="Times New Roman" w:hAnsi="Arial" w:cs="Arial"/>
                <w:color w:val="000000"/>
                <w:sz w:val="18"/>
                <w:szCs w:val="18"/>
                <w:u w:val="single"/>
                <w:lang w:eastAsia="es-CO"/>
              </w:rPr>
              <w:t>(</w:t>
            </w:r>
            <w:r w:rsidR="001A5357" w:rsidRPr="0009028A">
              <w:rPr>
                <w:rFonts w:ascii="Arial" w:eastAsia="Times New Roman" w:hAnsi="Arial" w:cs="Arial"/>
                <w:color w:val="000000"/>
                <w:sz w:val="18"/>
                <w:szCs w:val="18"/>
                <w:u w:val="single"/>
                <w:lang w:eastAsia="es-CO"/>
              </w:rPr>
              <w:t>63.680</w:t>
            </w:r>
            <w:r w:rsidR="005744AF" w:rsidRPr="0009028A">
              <w:rPr>
                <w:rFonts w:ascii="Arial" w:eastAsia="Times New Roman" w:hAnsi="Arial" w:cs="Arial"/>
                <w:color w:val="000000"/>
                <w:sz w:val="18"/>
                <w:szCs w:val="18"/>
                <w:u w:val="single"/>
                <w:lang w:eastAsia="es-CO"/>
              </w:rPr>
              <w:t>)</w:t>
            </w:r>
          </w:p>
        </w:tc>
      </w:tr>
      <w:tr w:rsidR="00D3056B" w:rsidRPr="0009028A" w14:paraId="509AE2B7" w14:textId="77777777" w:rsidTr="00013960">
        <w:trPr>
          <w:trHeight w:val="70"/>
        </w:trPr>
        <w:tc>
          <w:tcPr>
            <w:tcW w:w="6558" w:type="dxa"/>
            <w:shd w:val="clear" w:color="auto" w:fill="auto"/>
            <w:vAlign w:val="center"/>
            <w:hideMark/>
          </w:tcPr>
          <w:p w14:paraId="78B36DDE" w14:textId="77777777" w:rsidR="00D3056B" w:rsidRPr="0009028A" w:rsidRDefault="00D3056B" w:rsidP="00C50E36">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Total activos intangibles distintos de la plusvalía, neto</w:t>
            </w:r>
          </w:p>
        </w:tc>
        <w:tc>
          <w:tcPr>
            <w:tcW w:w="1681" w:type="dxa"/>
            <w:shd w:val="clear" w:color="auto" w:fill="auto"/>
            <w:vAlign w:val="center"/>
          </w:tcPr>
          <w:p w14:paraId="168AD5C3" w14:textId="77777777" w:rsidR="00D3056B" w:rsidRPr="0009028A" w:rsidRDefault="00013960" w:rsidP="00C50E36">
            <w:pPr>
              <w:spacing w:after="0" w:line="240" w:lineRule="auto"/>
              <w:jc w:val="right"/>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 xml:space="preserve">$ </w:t>
            </w:r>
            <w:r w:rsidR="00D3056B" w:rsidRPr="0009028A">
              <w:rPr>
                <w:rFonts w:ascii="Arial" w:eastAsia="Times New Roman" w:hAnsi="Arial" w:cs="Arial"/>
                <w:b/>
                <w:bCs/>
                <w:color w:val="103475"/>
                <w:sz w:val="18"/>
                <w:szCs w:val="18"/>
                <w:u w:val="double"/>
                <w:lang w:eastAsia="es-CO"/>
              </w:rPr>
              <w:t>1</w:t>
            </w:r>
            <w:r w:rsidR="009F7007" w:rsidRPr="0009028A">
              <w:rPr>
                <w:rFonts w:ascii="Arial" w:eastAsia="Times New Roman" w:hAnsi="Arial" w:cs="Arial"/>
                <w:b/>
                <w:bCs/>
                <w:color w:val="103475"/>
                <w:sz w:val="18"/>
                <w:szCs w:val="18"/>
                <w:u w:val="double"/>
                <w:lang w:eastAsia="es-CO"/>
              </w:rPr>
              <w:t>8.601.263</w:t>
            </w:r>
          </w:p>
        </w:tc>
        <w:tc>
          <w:tcPr>
            <w:tcW w:w="1638" w:type="dxa"/>
            <w:shd w:val="clear" w:color="auto" w:fill="auto"/>
            <w:vAlign w:val="center"/>
          </w:tcPr>
          <w:p w14:paraId="673753E8" w14:textId="77777777" w:rsidR="00D3056B" w:rsidRPr="0009028A" w:rsidRDefault="009F7007" w:rsidP="00C50E36">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15.947.814</w:t>
            </w:r>
          </w:p>
        </w:tc>
      </w:tr>
    </w:tbl>
    <w:p w14:paraId="60F874D9" w14:textId="77777777" w:rsidR="00D3056B" w:rsidRPr="0009028A" w:rsidRDefault="00D3056B" w:rsidP="00D3056B">
      <w:pPr>
        <w:spacing w:after="0" w:line="240" w:lineRule="auto"/>
        <w:ind w:left="284" w:hanging="284"/>
        <w:jc w:val="both"/>
        <w:rPr>
          <w:rFonts w:ascii="Arial" w:eastAsia="Arial" w:hAnsi="Arial" w:cs="Arial"/>
          <w:spacing w:val="-1"/>
          <w:sz w:val="20"/>
          <w:szCs w:val="20"/>
        </w:rPr>
      </w:pPr>
    </w:p>
    <w:p w14:paraId="36A79807" w14:textId="77777777" w:rsidR="005A0555" w:rsidRPr="0009028A" w:rsidRDefault="005A0555" w:rsidP="005A0555">
      <w:pPr>
        <w:spacing w:after="0" w:line="240" w:lineRule="auto"/>
        <w:jc w:val="both"/>
        <w:rPr>
          <w:rFonts w:ascii="Arial" w:eastAsia="Arial" w:hAnsi="Arial" w:cs="Arial"/>
          <w:spacing w:val="-1"/>
          <w:sz w:val="20"/>
          <w:szCs w:val="20"/>
        </w:rPr>
      </w:pPr>
      <w:r w:rsidRPr="0009028A">
        <w:rPr>
          <w:rFonts w:ascii="Arial" w:eastAsia="Arial" w:hAnsi="Arial" w:cs="Arial"/>
          <w:spacing w:val="-1"/>
          <w:sz w:val="20"/>
          <w:szCs w:val="20"/>
        </w:rPr>
        <w:t>A 31 de marzo de 2019 y 31 de diciembre de 2018, los activos intangibles en curso no incluyen capitalización de costos por préstamos.</w:t>
      </w:r>
    </w:p>
    <w:p w14:paraId="438D6285" w14:textId="77777777" w:rsidR="00D3056B" w:rsidRPr="0009028A" w:rsidRDefault="00D3056B" w:rsidP="00D3056B">
      <w:pPr>
        <w:spacing w:after="0"/>
        <w:rPr>
          <w:rFonts w:ascii="Arial" w:hAnsi="Arial" w:cs="Arial"/>
          <w:color w:val="000000"/>
          <w:sz w:val="20"/>
          <w:szCs w:val="20"/>
          <w:lang w:val="es-ES"/>
        </w:rPr>
      </w:pPr>
      <w:bookmarkStart w:id="282" w:name="_Hlk504060958"/>
      <w:r w:rsidRPr="0009028A">
        <w:rPr>
          <w:rFonts w:ascii="Arial" w:hAnsi="Arial" w:cs="Arial"/>
          <w:color w:val="000000"/>
          <w:sz w:val="20"/>
          <w:szCs w:val="20"/>
          <w:lang w:val="es-ES"/>
        </w:rPr>
        <w:t>Las vidas útiles de los activos intangibles son:</w:t>
      </w:r>
    </w:p>
    <w:p w14:paraId="220966BA" w14:textId="77777777" w:rsidR="00D3056B" w:rsidRPr="0009028A" w:rsidRDefault="00D3056B" w:rsidP="00D3056B">
      <w:pPr>
        <w:spacing w:after="0"/>
        <w:rPr>
          <w:rFonts w:ascii="Arial" w:hAnsi="Arial" w:cs="Arial"/>
          <w:color w:val="000000"/>
          <w:sz w:val="20"/>
          <w:szCs w:val="20"/>
          <w:lang w:val="es-ES"/>
        </w:rPr>
      </w:pPr>
    </w:p>
    <w:tbl>
      <w:tblPr>
        <w:tblW w:w="10089" w:type="dxa"/>
        <w:tblCellMar>
          <w:left w:w="70" w:type="dxa"/>
          <w:right w:w="70" w:type="dxa"/>
        </w:tblCellMar>
        <w:tblLook w:val="04A0" w:firstRow="1" w:lastRow="0" w:firstColumn="1" w:lastColumn="0" w:noHBand="0" w:noVBand="1"/>
      </w:tblPr>
      <w:tblGrid>
        <w:gridCol w:w="2426"/>
        <w:gridCol w:w="1158"/>
        <w:gridCol w:w="3473"/>
        <w:gridCol w:w="3032"/>
      </w:tblGrid>
      <w:tr w:rsidR="00D3056B" w:rsidRPr="0009028A" w14:paraId="63AF2554" w14:textId="77777777" w:rsidTr="00013960">
        <w:trPr>
          <w:trHeight w:val="209"/>
        </w:trPr>
        <w:tc>
          <w:tcPr>
            <w:tcW w:w="0" w:type="auto"/>
            <w:shd w:val="clear" w:color="auto" w:fill="auto"/>
            <w:vAlign w:val="center"/>
            <w:hideMark/>
          </w:tcPr>
          <w:p w14:paraId="5DB6C250" w14:textId="77777777" w:rsidR="00D3056B" w:rsidRPr="0009028A" w:rsidRDefault="00D3056B" w:rsidP="00C50E36">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Intangible</w:t>
            </w:r>
          </w:p>
        </w:tc>
        <w:tc>
          <w:tcPr>
            <w:tcW w:w="0" w:type="auto"/>
            <w:shd w:val="clear" w:color="auto" w:fill="auto"/>
            <w:vAlign w:val="center"/>
            <w:hideMark/>
          </w:tcPr>
          <w:p w14:paraId="4749619C" w14:textId="77777777" w:rsidR="00D3056B" w:rsidRPr="0009028A" w:rsidRDefault="00D3056B" w:rsidP="00C50E36">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Vida útil</w:t>
            </w:r>
          </w:p>
        </w:tc>
        <w:tc>
          <w:tcPr>
            <w:tcW w:w="0" w:type="auto"/>
            <w:shd w:val="clear" w:color="auto" w:fill="auto"/>
            <w:vAlign w:val="center"/>
            <w:hideMark/>
          </w:tcPr>
          <w:p w14:paraId="653282C0" w14:textId="77777777" w:rsidR="00D3056B" w:rsidRPr="0009028A" w:rsidRDefault="00D3056B" w:rsidP="00C50E36">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Rangos de vida útil en años</w:t>
            </w:r>
          </w:p>
        </w:tc>
        <w:tc>
          <w:tcPr>
            <w:tcW w:w="0" w:type="auto"/>
            <w:shd w:val="clear" w:color="auto" w:fill="auto"/>
            <w:vAlign w:val="center"/>
            <w:hideMark/>
          </w:tcPr>
          <w:p w14:paraId="5DCEDADC" w14:textId="77777777" w:rsidR="00D3056B" w:rsidRPr="0009028A" w:rsidRDefault="00D3056B" w:rsidP="00C50E36">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Método de depreciación</w:t>
            </w:r>
          </w:p>
        </w:tc>
      </w:tr>
      <w:tr w:rsidR="00D3056B" w:rsidRPr="0009028A" w14:paraId="71A4BA9D" w14:textId="77777777" w:rsidTr="00013960">
        <w:trPr>
          <w:trHeight w:val="305"/>
        </w:trPr>
        <w:tc>
          <w:tcPr>
            <w:tcW w:w="0" w:type="auto"/>
            <w:shd w:val="clear" w:color="auto" w:fill="auto"/>
            <w:vAlign w:val="bottom"/>
            <w:hideMark/>
          </w:tcPr>
          <w:p w14:paraId="5137E793" w14:textId="77777777" w:rsidR="00D3056B" w:rsidRPr="0009028A" w:rsidRDefault="00D3056B" w:rsidP="00C50E36">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Licencias y software</w:t>
            </w:r>
          </w:p>
        </w:tc>
        <w:tc>
          <w:tcPr>
            <w:tcW w:w="0" w:type="auto"/>
            <w:shd w:val="clear" w:color="auto" w:fill="auto"/>
            <w:vAlign w:val="bottom"/>
            <w:hideMark/>
          </w:tcPr>
          <w:p w14:paraId="68BBC6FF" w14:textId="77777777" w:rsidR="00D3056B" w:rsidRPr="0009028A" w:rsidRDefault="00D3056B" w:rsidP="00C50E36">
            <w:pPr>
              <w:spacing w:after="0" w:line="240" w:lineRule="auto"/>
              <w:jc w:val="center"/>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Finita</w:t>
            </w:r>
          </w:p>
        </w:tc>
        <w:tc>
          <w:tcPr>
            <w:tcW w:w="0" w:type="auto"/>
            <w:shd w:val="clear" w:color="auto" w:fill="auto"/>
            <w:vAlign w:val="bottom"/>
            <w:hideMark/>
          </w:tcPr>
          <w:p w14:paraId="06CE0140" w14:textId="77777777" w:rsidR="00D3056B" w:rsidRPr="0009028A" w:rsidRDefault="00D3056B" w:rsidP="00A43D62">
            <w:pPr>
              <w:spacing w:after="0" w:line="240" w:lineRule="auto"/>
              <w:jc w:val="center"/>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3 a </w:t>
            </w:r>
            <w:r w:rsidR="00A43D62" w:rsidRPr="0009028A">
              <w:rPr>
                <w:rFonts w:ascii="Arial" w:eastAsia="Times New Roman" w:hAnsi="Arial" w:cs="Arial"/>
                <w:color w:val="000000"/>
                <w:sz w:val="18"/>
                <w:szCs w:val="18"/>
                <w:lang w:eastAsia="es-CO"/>
              </w:rPr>
              <w:t>10</w:t>
            </w:r>
            <w:r w:rsidRPr="0009028A">
              <w:rPr>
                <w:rFonts w:ascii="Arial" w:eastAsia="Times New Roman" w:hAnsi="Arial" w:cs="Arial"/>
                <w:color w:val="000000"/>
                <w:sz w:val="18"/>
                <w:szCs w:val="18"/>
                <w:lang w:eastAsia="es-CO"/>
              </w:rPr>
              <w:t xml:space="preserve"> años</w:t>
            </w:r>
          </w:p>
        </w:tc>
        <w:tc>
          <w:tcPr>
            <w:tcW w:w="0" w:type="auto"/>
            <w:shd w:val="clear" w:color="auto" w:fill="auto"/>
            <w:vAlign w:val="bottom"/>
            <w:hideMark/>
          </w:tcPr>
          <w:p w14:paraId="2812BB35" w14:textId="77777777" w:rsidR="00D3056B" w:rsidRPr="0009028A" w:rsidRDefault="00D3056B" w:rsidP="00C50E36">
            <w:pPr>
              <w:spacing w:after="0" w:line="240" w:lineRule="auto"/>
              <w:jc w:val="center"/>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Línea recta</w:t>
            </w:r>
          </w:p>
        </w:tc>
      </w:tr>
    </w:tbl>
    <w:p w14:paraId="57981B7C" w14:textId="77777777" w:rsidR="00821422" w:rsidRPr="0009028A" w:rsidRDefault="00821422" w:rsidP="00D3056B">
      <w:pPr>
        <w:spacing w:after="0" w:line="240" w:lineRule="auto"/>
        <w:jc w:val="both"/>
        <w:rPr>
          <w:rFonts w:ascii="Arial" w:hAnsi="Arial" w:cs="Arial"/>
          <w:color w:val="000000"/>
          <w:sz w:val="20"/>
          <w:szCs w:val="20"/>
          <w:highlight w:val="yellow"/>
          <w:lang w:val="es-ES"/>
        </w:rPr>
      </w:pPr>
    </w:p>
    <w:p w14:paraId="01634708" w14:textId="77777777" w:rsidR="005A0555" w:rsidRPr="0009028A" w:rsidRDefault="005A0555" w:rsidP="005A0555">
      <w:pPr>
        <w:spacing w:after="0" w:line="240" w:lineRule="auto"/>
        <w:jc w:val="both"/>
        <w:rPr>
          <w:rFonts w:ascii="Arial" w:hAnsi="Arial" w:cs="Arial"/>
          <w:color w:val="000000"/>
          <w:sz w:val="20"/>
          <w:szCs w:val="20"/>
          <w:lang w:val="es-ES"/>
        </w:rPr>
      </w:pPr>
      <w:r w:rsidRPr="0009028A">
        <w:rPr>
          <w:rFonts w:ascii="Arial" w:hAnsi="Arial" w:cs="Arial"/>
          <w:color w:val="000000"/>
          <w:sz w:val="20"/>
          <w:szCs w:val="20"/>
          <w:lang w:val="es-ES"/>
        </w:rPr>
        <w:t>La amortización de los intangibles se reconoce como gastos en el estado de resultados en el rubro de gastos de administración y de venta, según corresponda, y las pérdidas por deterioro de valor se reconocen como gastos en el estado de resultados.</w:t>
      </w:r>
    </w:p>
    <w:p w14:paraId="5A5C31C4" w14:textId="77777777" w:rsidR="00D3056B" w:rsidRPr="0009028A" w:rsidRDefault="00D3056B" w:rsidP="008B3749">
      <w:pPr>
        <w:pStyle w:val="Sinespaciado"/>
      </w:pPr>
    </w:p>
    <w:p w14:paraId="23CA2004" w14:textId="60919981" w:rsidR="00D3056B" w:rsidRPr="00D100F1" w:rsidRDefault="00D3056B" w:rsidP="00D100F1">
      <w:pPr>
        <w:pStyle w:val="Ttulo1"/>
      </w:pPr>
      <w:bookmarkStart w:id="283" w:name="_Toc506991919"/>
      <w:bookmarkStart w:id="284" w:name="_Toc8735098"/>
      <w:r w:rsidRPr="0009028A">
        <w:t xml:space="preserve">Nota </w:t>
      </w:r>
      <w:r w:rsidR="00D100F1">
        <w:t>10</w:t>
      </w:r>
      <w:r w:rsidRPr="0009028A">
        <w:t xml:space="preserve">: </w:t>
      </w:r>
      <w:r w:rsidR="00F01816" w:rsidRPr="0009028A">
        <w:t>Propiedades</w:t>
      </w:r>
      <w:r w:rsidR="00A43D62" w:rsidRPr="0009028A">
        <w:t>,</w:t>
      </w:r>
      <w:r w:rsidRPr="0009028A">
        <w:t xml:space="preserve"> planta y equipo, neto</w:t>
      </w:r>
      <w:bookmarkEnd w:id="283"/>
      <w:bookmarkEnd w:id="284"/>
    </w:p>
    <w:p w14:paraId="1C3B0548" w14:textId="77777777" w:rsidR="00D3056B" w:rsidRPr="0009028A" w:rsidRDefault="00D3056B" w:rsidP="00D3056B">
      <w:pPr>
        <w:spacing w:after="0" w:line="240" w:lineRule="auto"/>
        <w:jc w:val="both"/>
        <w:rPr>
          <w:rFonts w:ascii="Arial" w:eastAsia="Arial" w:hAnsi="Arial" w:cs="Arial"/>
          <w:spacing w:val="-1"/>
          <w:sz w:val="20"/>
          <w:szCs w:val="20"/>
        </w:rPr>
      </w:pPr>
      <w:bookmarkStart w:id="285" w:name="_Hlk8657119"/>
      <w:r w:rsidRPr="0009028A">
        <w:rPr>
          <w:rFonts w:ascii="Arial" w:eastAsia="Arial" w:hAnsi="Arial" w:cs="Arial"/>
          <w:spacing w:val="-1"/>
          <w:sz w:val="20"/>
          <w:szCs w:val="20"/>
        </w:rPr>
        <w:t>El saldo de las propiedades, planta y equipo, neto a 3</w:t>
      </w:r>
      <w:r w:rsidR="00A20A8F" w:rsidRPr="0009028A">
        <w:rPr>
          <w:rFonts w:ascii="Arial" w:eastAsia="Arial" w:hAnsi="Arial" w:cs="Arial"/>
          <w:spacing w:val="-1"/>
          <w:sz w:val="20"/>
          <w:szCs w:val="20"/>
        </w:rPr>
        <w:t>1</w:t>
      </w:r>
      <w:r w:rsidRPr="0009028A">
        <w:rPr>
          <w:rFonts w:ascii="Arial" w:eastAsia="Arial" w:hAnsi="Arial" w:cs="Arial"/>
          <w:spacing w:val="-1"/>
          <w:sz w:val="20"/>
          <w:szCs w:val="20"/>
        </w:rPr>
        <w:t xml:space="preserve"> de </w:t>
      </w:r>
      <w:r w:rsidR="00A20A8F" w:rsidRPr="0009028A">
        <w:rPr>
          <w:rFonts w:ascii="Arial" w:eastAsia="Arial" w:hAnsi="Arial" w:cs="Arial"/>
          <w:spacing w:val="-1"/>
          <w:sz w:val="20"/>
          <w:szCs w:val="20"/>
        </w:rPr>
        <w:t>marzo</w:t>
      </w:r>
      <w:r w:rsidRPr="0009028A">
        <w:rPr>
          <w:rFonts w:ascii="Arial" w:eastAsia="Arial" w:hAnsi="Arial" w:cs="Arial"/>
          <w:spacing w:val="-1"/>
          <w:sz w:val="20"/>
          <w:szCs w:val="20"/>
        </w:rPr>
        <w:t xml:space="preserve"> de 201</w:t>
      </w:r>
      <w:r w:rsidR="00A20A8F" w:rsidRPr="0009028A">
        <w:rPr>
          <w:rFonts w:ascii="Arial" w:eastAsia="Arial" w:hAnsi="Arial" w:cs="Arial"/>
          <w:spacing w:val="-1"/>
          <w:sz w:val="20"/>
          <w:szCs w:val="20"/>
        </w:rPr>
        <w:t>9</w:t>
      </w:r>
      <w:r w:rsidRPr="0009028A">
        <w:rPr>
          <w:rFonts w:ascii="Arial" w:eastAsia="Arial" w:hAnsi="Arial" w:cs="Arial"/>
          <w:spacing w:val="-1"/>
          <w:sz w:val="20"/>
          <w:szCs w:val="20"/>
        </w:rPr>
        <w:t xml:space="preserve"> y 31 de diciembre de 201</w:t>
      </w:r>
      <w:r w:rsidR="00A20A8F" w:rsidRPr="0009028A">
        <w:rPr>
          <w:rFonts w:ascii="Arial" w:eastAsia="Arial" w:hAnsi="Arial" w:cs="Arial"/>
          <w:spacing w:val="-1"/>
          <w:sz w:val="20"/>
          <w:szCs w:val="20"/>
        </w:rPr>
        <w:t>8</w:t>
      </w:r>
      <w:r w:rsidRPr="0009028A">
        <w:rPr>
          <w:rFonts w:ascii="Arial" w:eastAsia="Arial" w:hAnsi="Arial" w:cs="Arial"/>
          <w:spacing w:val="-1"/>
          <w:sz w:val="20"/>
          <w:szCs w:val="20"/>
        </w:rPr>
        <w:t>, comprende:</w:t>
      </w:r>
    </w:p>
    <w:bookmarkEnd w:id="285"/>
    <w:p w14:paraId="1F466E1B" w14:textId="77777777" w:rsidR="00D3056B" w:rsidRPr="0009028A" w:rsidRDefault="00D3056B" w:rsidP="00D3056B">
      <w:pPr>
        <w:spacing w:before="18" w:after="0" w:line="240" w:lineRule="auto"/>
        <w:jc w:val="both"/>
        <w:rPr>
          <w:rFonts w:ascii="Arial" w:eastAsia="Arial" w:hAnsi="Arial" w:cs="Arial"/>
          <w:spacing w:val="-1"/>
          <w:sz w:val="20"/>
          <w:szCs w:val="20"/>
        </w:rPr>
      </w:pPr>
    </w:p>
    <w:tbl>
      <w:tblPr>
        <w:tblW w:w="5000" w:type="pct"/>
        <w:tblLayout w:type="fixed"/>
        <w:tblCellMar>
          <w:left w:w="70" w:type="dxa"/>
          <w:right w:w="70" w:type="dxa"/>
        </w:tblCellMar>
        <w:tblLook w:val="04A0" w:firstRow="1" w:lastRow="0" w:firstColumn="1" w:lastColumn="0" w:noHBand="0" w:noVBand="1"/>
      </w:tblPr>
      <w:tblGrid>
        <w:gridCol w:w="6663"/>
        <w:gridCol w:w="1702"/>
        <w:gridCol w:w="1556"/>
      </w:tblGrid>
      <w:tr w:rsidR="00D3056B" w:rsidRPr="0009028A" w14:paraId="2781E5CE" w14:textId="77777777" w:rsidTr="00013960">
        <w:trPr>
          <w:trHeight w:val="70"/>
        </w:trPr>
        <w:tc>
          <w:tcPr>
            <w:tcW w:w="3358" w:type="pct"/>
            <w:shd w:val="clear" w:color="auto" w:fill="auto"/>
            <w:noWrap/>
            <w:vAlign w:val="bottom"/>
            <w:hideMark/>
          </w:tcPr>
          <w:p w14:paraId="6BFAB834" w14:textId="77777777" w:rsidR="00D3056B" w:rsidRPr="0009028A" w:rsidRDefault="00D3056B" w:rsidP="00C50E36">
            <w:pPr>
              <w:spacing w:after="0" w:line="240" w:lineRule="auto"/>
              <w:rPr>
                <w:rFonts w:ascii="Arial" w:eastAsia="Times New Roman" w:hAnsi="Arial" w:cs="Arial"/>
                <w:color w:val="000000"/>
                <w:sz w:val="18"/>
                <w:szCs w:val="18"/>
                <w:lang w:eastAsia="es-CO"/>
              </w:rPr>
            </w:pPr>
            <w:bookmarkStart w:id="286" w:name="_Hlk8657157"/>
            <w:r w:rsidRPr="0009028A">
              <w:rPr>
                <w:rFonts w:ascii="Arial" w:eastAsia="Times New Roman" w:hAnsi="Arial" w:cs="Arial"/>
                <w:color w:val="000000"/>
                <w:sz w:val="18"/>
                <w:szCs w:val="18"/>
                <w:lang w:eastAsia="es-CO"/>
              </w:rPr>
              <w:t> </w:t>
            </w:r>
          </w:p>
        </w:tc>
        <w:tc>
          <w:tcPr>
            <w:tcW w:w="858" w:type="pct"/>
            <w:shd w:val="clear" w:color="auto" w:fill="auto"/>
            <w:vAlign w:val="center"/>
            <w:hideMark/>
          </w:tcPr>
          <w:p w14:paraId="0C799E27" w14:textId="77777777" w:rsidR="00D3056B" w:rsidRPr="0009028A" w:rsidRDefault="00013960" w:rsidP="00C50E36">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 xml:space="preserve">Marzo </w:t>
            </w:r>
            <w:r w:rsidR="00D3056B" w:rsidRPr="0009028A">
              <w:rPr>
                <w:rFonts w:ascii="Arial" w:eastAsia="Times New Roman" w:hAnsi="Arial" w:cs="Arial"/>
                <w:b/>
                <w:bCs/>
                <w:color w:val="103475"/>
                <w:sz w:val="18"/>
                <w:szCs w:val="18"/>
                <w:lang w:eastAsia="es-CO"/>
              </w:rPr>
              <w:t>201</w:t>
            </w:r>
            <w:r w:rsidR="009D3746" w:rsidRPr="0009028A">
              <w:rPr>
                <w:rFonts w:ascii="Arial" w:eastAsia="Times New Roman" w:hAnsi="Arial" w:cs="Arial"/>
                <w:b/>
                <w:bCs/>
                <w:color w:val="103475"/>
                <w:sz w:val="18"/>
                <w:szCs w:val="18"/>
                <w:lang w:eastAsia="es-CO"/>
              </w:rPr>
              <w:t>9</w:t>
            </w:r>
          </w:p>
        </w:tc>
        <w:tc>
          <w:tcPr>
            <w:tcW w:w="784" w:type="pct"/>
            <w:shd w:val="clear" w:color="auto" w:fill="auto"/>
            <w:vAlign w:val="center"/>
            <w:hideMark/>
          </w:tcPr>
          <w:p w14:paraId="30B4EA01" w14:textId="77777777" w:rsidR="00D3056B" w:rsidRPr="0009028A" w:rsidRDefault="00013960" w:rsidP="00C50E36">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 xml:space="preserve">Diciembre </w:t>
            </w:r>
            <w:r w:rsidR="00D3056B" w:rsidRPr="0009028A">
              <w:rPr>
                <w:rFonts w:ascii="Arial" w:eastAsia="Times New Roman" w:hAnsi="Arial" w:cs="Arial"/>
                <w:b/>
                <w:bCs/>
                <w:color w:val="103475"/>
                <w:sz w:val="18"/>
                <w:szCs w:val="18"/>
                <w:lang w:eastAsia="es-CO"/>
              </w:rPr>
              <w:t>201</w:t>
            </w:r>
            <w:r w:rsidR="009D3746" w:rsidRPr="0009028A">
              <w:rPr>
                <w:rFonts w:ascii="Arial" w:eastAsia="Times New Roman" w:hAnsi="Arial" w:cs="Arial"/>
                <w:b/>
                <w:bCs/>
                <w:color w:val="103475"/>
                <w:sz w:val="18"/>
                <w:szCs w:val="18"/>
                <w:lang w:eastAsia="es-CO"/>
              </w:rPr>
              <w:t>8</w:t>
            </w:r>
          </w:p>
        </w:tc>
      </w:tr>
      <w:tr w:rsidR="00D3056B" w:rsidRPr="0009028A" w14:paraId="20BC2E4E" w14:textId="77777777" w:rsidTr="00013960">
        <w:trPr>
          <w:trHeight w:val="70"/>
        </w:trPr>
        <w:tc>
          <w:tcPr>
            <w:tcW w:w="3358" w:type="pct"/>
            <w:shd w:val="clear" w:color="auto" w:fill="auto"/>
            <w:vAlign w:val="center"/>
            <w:hideMark/>
          </w:tcPr>
          <w:p w14:paraId="3D59E794" w14:textId="77777777" w:rsidR="00D3056B" w:rsidRPr="0009028A" w:rsidRDefault="00D3056B" w:rsidP="00C50E36">
            <w:pPr>
              <w:spacing w:after="0" w:line="240" w:lineRule="auto"/>
              <w:rPr>
                <w:rFonts w:ascii="Arial" w:eastAsia="Times New Roman" w:hAnsi="Arial" w:cs="Arial"/>
                <w:color w:val="000000"/>
                <w:sz w:val="18"/>
                <w:szCs w:val="18"/>
                <w:lang w:eastAsia="es-CO"/>
              </w:rPr>
            </w:pPr>
            <w:r w:rsidRPr="0009028A">
              <w:rPr>
                <w:rFonts w:ascii="Arial" w:hAnsi="Arial" w:cs="Arial"/>
                <w:color w:val="000000"/>
                <w:sz w:val="18"/>
                <w:szCs w:val="18"/>
              </w:rPr>
              <w:t>Muebles y equipos de oficina, cómputo y comunicaciones</w:t>
            </w:r>
          </w:p>
        </w:tc>
        <w:tc>
          <w:tcPr>
            <w:tcW w:w="858" w:type="pct"/>
            <w:shd w:val="clear" w:color="auto" w:fill="auto"/>
            <w:noWrap/>
            <w:vAlign w:val="center"/>
          </w:tcPr>
          <w:p w14:paraId="3D15E724" w14:textId="77777777" w:rsidR="00D3056B" w:rsidRPr="0009028A" w:rsidRDefault="00013960" w:rsidP="00C50E36">
            <w:pPr>
              <w:spacing w:after="0" w:line="240" w:lineRule="auto"/>
              <w:jc w:val="right"/>
              <w:rPr>
                <w:rFonts w:ascii="Arial" w:hAnsi="Arial" w:cs="Arial"/>
                <w:color w:val="000000"/>
                <w:sz w:val="18"/>
                <w:szCs w:val="18"/>
              </w:rPr>
            </w:pPr>
            <w:r w:rsidRPr="0009028A">
              <w:rPr>
                <w:rFonts w:ascii="Arial" w:hAnsi="Arial" w:cs="Arial"/>
                <w:color w:val="000000"/>
                <w:sz w:val="18"/>
                <w:szCs w:val="18"/>
              </w:rPr>
              <w:t xml:space="preserve">$     </w:t>
            </w:r>
            <w:r w:rsidR="00915FD9" w:rsidRPr="0009028A">
              <w:rPr>
                <w:rFonts w:ascii="Arial" w:hAnsi="Arial" w:cs="Arial"/>
                <w:color w:val="000000"/>
                <w:sz w:val="18"/>
                <w:szCs w:val="18"/>
              </w:rPr>
              <w:t>1.905.368</w:t>
            </w:r>
          </w:p>
        </w:tc>
        <w:tc>
          <w:tcPr>
            <w:tcW w:w="784" w:type="pct"/>
            <w:shd w:val="clear" w:color="auto" w:fill="auto"/>
            <w:noWrap/>
            <w:vAlign w:val="center"/>
          </w:tcPr>
          <w:p w14:paraId="0C5129C5" w14:textId="77777777" w:rsidR="00D3056B" w:rsidRPr="0009028A" w:rsidRDefault="00915FD9" w:rsidP="00C50E36">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2.062.285</w:t>
            </w:r>
          </w:p>
        </w:tc>
      </w:tr>
      <w:tr w:rsidR="00D3056B" w:rsidRPr="0009028A" w14:paraId="773B917D" w14:textId="77777777" w:rsidTr="00013960">
        <w:trPr>
          <w:trHeight w:val="70"/>
        </w:trPr>
        <w:tc>
          <w:tcPr>
            <w:tcW w:w="3358" w:type="pct"/>
            <w:shd w:val="clear" w:color="auto" w:fill="auto"/>
            <w:vAlign w:val="center"/>
            <w:hideMark/>
          </w:tcPr>
          <w:p w14:paraId="6E49219A" w14:textId="77777777" w:rsidR="00D3056B" w:rsidRPr="0009028A" w:rsidRDefault="00D3056B" w:rsidP="00C50E36">
            <w:pPr>
              <w:spacing w:after="0" w:line="240" w:lineRule="auto"/>
              <w:rPr>
                <w:rFonts w:ascii="Arial" w:eastAsia="Times New Roman" w:hAnsi="Arial" w:cs="Arial"/>
                <w:color w:val="000000"/>
                <w:sz w:val="18"/>
                <w:szCs w:val="18"/>
                <w:lang w:eastAsia="es-CO"/>
              </w:rPr>
            </w:pPr>
            <w:r w:rsidRPr="0009028A">
              <w:rPr>
                <w:rFonts w:ascii="Arial" w:hAnsi="Arial" w:cs="Arial"/>
                <w:color w:val="000000"/>
                <w:sz w:val="18"/>
                <w:szCs w:val="18"/>
              </w:rPr>
              <w:t>Construcciones y edificaciones</w:t>
            </w:r>
          </w:p>
        </w:tc>
        <w:tc>
          <w:tcPr>
            <w:tcW w:w="858" w:type="pct"/>
            <w:shd w:val="clear" w:color="auto" w:fill="auto"/>
            <w:noWrap/>
            <w:vAlign w:val="center"/>
          </w:tcPr>
          <w:p w14:paraId="069B04CA" w14:textId="77777777" w:rsidR="00D3056B" w:rsidRPr="0009028A" w:rsidRDefault="00915FD9" w:rsidP="00C50E36">
            <w:pPr>
              <w:spacing w:after="0" w:line="240" w:lineRule="auto"/>
              <w:jc w:val="right"/>
              <w:rPr>
                <w:rFonts w:ascii="Arial" w:hAnsi="Arial" w:cs="Arial"/>
                <w:color w:val="000000"/>
                <w:sz w:val="18"/>
                <w:szCs w:val="18"/>
              </w:rPr>
            </w:pPr>
            <w:r w:rsidRPr="0009028A">
              <w:rPr>
                <w:rFonts w:ascii="Arial" w:hAnsi="Arial" w:cs="Arial"/>
                <w:color w:val="000000"/>
                <w:sz w:val="18"/>
                <w:szCs w:val="18"/>
              </w:rPr>
              <w:t>-</w:t>
            </w:r>
          </w:p>
        </w:tc>
        <w:tc>
          <w:tcPr>
            <w:tcW w:w="784" w:type="pct"/>
            <w:shd w:val="clear" w:color="auto" w:fill="auto"/>
            <w:noWrap/>
            <w:vAlign w:val="center"/>
          </w:tcPr>
          <w:p w14:paraId="041365F8" w14:textId="77777777" w:rsidR="00D3056B" w:rsidRPr="0009028A" w:rsidRDefault="00535060" w:rsidP="00C50E36">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3.654.098</w:t>
            </w:r>
          </w:p>
        </w:tc>
      </w:tr>
      <w:tr w:rsidR="00535060" w:rsidRPr="0009028A" w14:paraId="2A57AB2D" w14:textId="77777777" w:rsidTr="00013960">
        <w:trPr>
          <w:trHeight w:val="70"/>
        </w:trPr>
        <w:tc>
          <w:tcPr>
            <w:tcW w:w="3358" w:type="pct"/>
            <w:shd w:val="clear" w:color="auto" w:fill="auto"/>
            <w:vAlign w:val="center"/>
          </w:tcPr>
          <w:p w14:paraId="434963AB" w14:textId="77777777" w:rsidR="00535060" w:rsidRPr="0009028A" w:rsidRDefault="00535060" w:rsidP="00C50E36">
            <w:pPr>
              <w:spacing w:after="0" w:line="240" w:lineRule="auto"/>
              <w:rPr>
                <w:rFonts w:ascii="Arial" w:hAnsi="Arial" w:cs="Arial"/>
                <w:color w:val="000000"/>
                <w:sz w:val="18"/>
                <w:szCs w:val="18"/>
              </w:rPr>
            </w:pPr>
            <w:r w:rsidRPr="0009028A">
              <w:rPr>
                <w:rFonts w:ascii="Arial" w:hAnsi="Arial" w:cs="Arial"/>
                <w:color w:val="000000"/>
                <w:sz w:val="18"/>
                <w:szCs w:val="18"/>
              </w:rPr>
              <w:t>Flota y equipo de transporte</w:t>
            </w:r>
          </w:p>
        </w:tc>
        <w:tc>
          <w:tcPr>
            <w:tcW w:w="858" w:type="pct"/>
            <w:shd w:val="clear" w:color="auto" w:fill="auto"/>
            <w:noWrap/>
            <w:vAlign w:val="center"/>
          </w:tcPr>
          <w:p w14:paraId="71816951" w14:textId="77777777" w:rsidR="00535060" w:rsidRPr="0009028A" w:rsidRDefault="00013960" w:rsidP="00C50E36">
            <w:pPr>
              <w:spacing w:after="0" w:line="240" w:lineRule="auto"/>
              <w:jc w:val="right"/>
              <w:rPr>
                <w:rFonts w:ascii="Arial" w:hAnsi="Arial" w:cs="Arial"/>
                <w:color w:val="000000"/>
                <w:sz w:val="18"/>
                <w:szCs w:val="18"/>
                <w:u w:val="single"/>
              </w:rPr>
            </w:pPr>
            <w:r w:rsidRPr="0009028A">
              <w:rPr>
                <w:rFonts w:ascii="Arial" w:hAnsi="Arial" w:cs="Arial"/>
                <w:color w:val="000000"/>
                <w:sz w:val="18"/>
                <w:szCs w:val="18"/>
                <w:u w:val="single"/>
              </w:rPr>
              <w:t xml:space="preserve">       </w:t>
            </w:r>
            <w:r w:rsidR="00915FD9" w:rsidRPr="0009028A">
              <w:rPr>
                <w:rFonts w:ascii="Arial" w:hAnsi="Arial" w:cs="Arial"/>
                <w:color w:val="000000"/>
                <w:sz w:val="18"/>
                <w:szCs w:val="18"/>
                <w:u w:val="single"/>
              </w:rPr>
              <w:t>713.512</w:t>
            </w:r>
          </w:p>
        </w:tc>
        <w:tc>
          <w:tcPr>
            <w:tcW w:w="784" w:type="pct"/>
            <w:shd w:val="clear" w:color="auto" w:fill="auto"/>
            <w:noWrap/>
            <w:vAlign w:val="center"/>
          </w:tcPr>
          <w:p w14:paraId="0CB22C3C" w14:textId="77777777" w:rsidR="00535060" w:rsidRPr="0009028A" w:rsidRDefault="00013960" w:rsidP="00C50E36">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 xml:space="preserve">      </w:t>
            </w:r>
            <w:r w:rsidR="00915FD9" w:rsidRPr="0009028A">
              <w:rPr>
                <w:rFonts w:ascii="Arial" w:eastAsia="Times New Roman" w:hAnsi="Arial" w:cs="Arial"/>
                <w:color w:val="000000"/>
                <w:sz w:val="18"/>
                <w:szCs w:val="18"/>
                <w:u w:val="single"/>
                <w:lang w:eastAsia="es-CO"/>
              </w:rPr>
              <w:t>973.081</w:t>
            </w:r>
          </w:p>
        </w:tc>
      </w:tr>
      <w:tr w:rsidR="00D3056B" w:rsidRPr="0009028A" w14:paraId="1AC86EE7" w14:textId="77777777" w:rsidTr="00013960">
        <w:trPr>
          <w:trHeight w:val="60"/>
        </w:trPr>
        <w:tc>
          <w:tcPr>
            <w:tcW w:w="3358" w:type="pct"/>
            <w:shd w:val="clear" w:color="auto" w:fill="auto"/>
            <w:noWrap/>
            <w:vAlign w:val="center"/>
            <w:hideMark/>
          </w:tcPr>
          <w:p w14:paraId="004EABBA" w14:textId="77777777" w:rsidR="00D3056B" w:rsidRPr="0009028A" w:rsidRDefault="00D3056B" w:rsidP="00C50E36">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Total propiedades, planta y equipo, neto</w:t>
            </w:r>
          </w:p>
        </w:tc>
        <w:tc>
          <w:tcPr>
            <w:tcW w:w="858" w:type="pct"/>
            <w:shd w:val="clear" w:color="auto" w:fill="auto"/>
            <w:noWrap/>
            <w:vAlign w:val="center"/>
          </w:tcPr>
          <w:p w14:paraId="651EB1E5" w14:textId="77777777" w:rsidR="00D3056B" w:rsidRPr="0009028A" w:rsidRDefault="00013960" w:rsidP="00C50E36">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lang w:eastAsia="es-CO"/>
              </w:rPr>
              <w:t xml:space="preserve">$ </w:t>
            </w:r>
            <w:r w:rsidRPr="0009028A">
              <w:rPr>
                <w:rFonts w:ascii="Arial" w:eastAsia="Times New Roman" w:hAnsi="Arial" w:cs="Arial"/>
                <w:b/>
                <w:bCs/>
                <w:color w:val="103475"/>
                <w:sz w:val="18"/>
                <w:szCs w:val="18"/>
                <w:u w:val="double"/>
                <w:lang w:eastAsia="es-CO"/>
              </w:rPr>
              <w:t xml:space="preserve">    </w:t>
            </w:r>
            <w:r w:rsidR="00D3056B" w:rsidRPr="0009028A">
              <w:rPr>
                <w:rFonts w:ascii="Arial" w:eastAsia="Times New Roman" w:hAnsi="Arial" w:cs="Arial"/>
                <w:b/>
                <w:bCs/>
                <w:color w:val="103475"/>
                <w:sz w:val="18"/>
                <w:szCs w:val="18"/>
                <w:u w:val="double"/>
                <w:lang w:eastAsia="es-CO"/>
              </w:rPr>
              <w:t>2.</w:t>
            </w:r>
            <w:r w:rsidR="00915FD9" w:rsidRPr="0009028A">
              <w:rPr>
                <w:rFonts w:ascii="Arial" w:eastAsia="Times New Roman" w:hAnsi="Arial" w:cs="Arial"/>
                <w:b/>
                <w:bCs/>
                <w:color w:val="103475"/>
                <w:sz w:val="18"/>
                <w:szCs w:val="18"/>
                <w:u w:val="double"/>
                <w:lang w:eastAsia="es-CO"/>
              </w:rPr>
              <w:t>618.880</w:t>
            </w:r>
          </w:p>
        </w:tc>
        <w:tc>
          <w:tcPr>
            <w:tcW w:w="784" w:type="pct"/>
            <w:shd w:val="clear" w:color="auto" w:fill="auto"/>
            <w:noWrap/>
            <w:vAlign w:val="center"/>
            <w:hideMark/>
          </w:tcPr>
          <w:p w14:paraId="659B884A" w14:textId="77777777" w:rsidR="00D3056B" w:rsidRPr="0009028A" w:rsidRDefault="00013960" w:rsidP="00C50E36">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 xml:space="preserve">   </w:t>
            </w:r>
            <w:r w:rsidR="00915FD9" w:rsidRPr="0009028A">
              <w:rPr>
                <w:rFonts w:ascii="Arial" w:eastAsia="Times New Roman" w:hAnsi="Arial" w:cs="Arial"/>
                <w:b/>
                <w:bCs/>
                <w:color w:val="103475"/>
                <w:sz w:val="18"/>
                <w:szCs w:val="18"/>
                <w:u w:val="double"/>
                <w:lang w:eastAsia="es-CO"/>
              </w:rPr>
              <w:t>6.689.464</w:t>
            </w:r>
          </w:p>
        </w:tc>
      </w:tr>
      <w:bookmarkEnd w:id="286"/>
    </w:tbl>
    <w:p w14:paraId="16535C9A" w14:textId="77777777" w:rsidR="009B5911" w:rsidRPr="0009028A" w:rsidRDefault="009B5911">
      <w:pPr>
        <w:rPr>
          <w:rFonts w:ascii="Arial" w:eastAsia="Arial" w:hAnsi="Arial" w:cs="Arial"/>
          <w:spacing w:val="-1"/>
          <w:sz w:val="20"/>
          <w:szCs w:val="20"/>
        </w:rPr>
      </w:pPr>
    </w:p>
    <w:tbl>
      <w:tblPr>
        <w:tblW w:w="5000" w:type="pct"/>
        <w:tblCellMar>
          <w:left w:w="70" w:type="dxa"/>
          <w:right w:w="70" w:type="dxa"/>
        </w:tblCellMar>
        <w:tblLook w:val="04A0" w:firstRow="1" w:lastRow="0" w:firstColumn="1" w:lastColumn="0" w:noHBand="0" w:noVBand="1"/>
      </w:tblPr>
      <w:tblGrid>
        <w:gridCol w:w="3260"/>
        <w:gridCol w:w="1851"/>
        <w:gridCol w:w="1814"/>
        <w:gridCol w:w="1647"/>
        <w:gridCol w:w="1349"/>
      </w:tblGrid>
      <w:tr w:rsidR="00A43D62" w:rsidRPr="0009028A" w14:paraId="15A6E6B7" w14:textId="77777777" w:rsidTr="00A43D62">
        <w:trPr>
          <w:trHeight w:val="915"/>
        </w:trPr>
        <w:tc>
          <w:tcPr>
            <w:tcW w:w="1643" w:type="pct"/>
            <w:shd w:val="clear" w:color="auto" w:fill="auto"/>
            <w:vAlign w:val="center"/>
            <w:hideMark/>
          </w:tcPr>
          <w:p w14:paraId="17143AC4" w14:textId="77777777" w:rsidR="00A43D62" w:rsidRPr="0009028A" w:rsidRDefault="00A43D62" w:rsidP="00F61ADB">
            <w:pPr>
              <w:spacing w:after="0" w:line="240" w:lineRule="auto"/>
              <w:jc w:val="center"/>
              <w:rPr>
                <w:rFonts w:ascii="Arial" w:eastAsia="Times New Roman" w:hAnsi="Arial" w:cs="Arial"/>
                <w:color w:val="000000"/>
                <w:sz w:val="16"/>
                <w:szCs w:val="16"/>
                <w:lang w:eastAsia="es-CO"/>
              </w:rPr>
            </w:pPr>
            <w:bookmarkStart w:id="287" w:name="_Hlk8657411"/>
          </w:p>
        </w:tc>
        <w:tc>
          <w:tcPr>
            <w:tcW w:w="933" w:type="pct"/>
            <w:shd w:val="clear" w:color="auto" w:fill="auto"/>
            <w:vAlign w:val="center"/>
            <w:hideMark/>
          </w:tcPr>
          <w:p w14:paraId="7E1F3B3B" w14:textId="77777777" w:rsidR="00A43D62" w:rsidRPr="0009028A" w:rsidRDefault="00A43D62" w:rsidP="00F61ADB">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Construcciones y edificaciones</w:t>
            </w:r>
          </w:p>
        </w:tc>
        <w:tc>
          <w:tcPr>
            <w:tcW w:w="914" w:type="pct"/>
            <w:shd w:val="clear" w:color="auto" w:fill="auto"/>
            <w:vAlign w:val="center"/>
            <w:hideMark/>
          </w:tcPr>
          <w:p w14:paraId="0F3031F6" w14:textId="77777777" w:rsidR="00A43D62" w:rsidRPr="0009028A" w:rsidRDefault="00A43D62" w:rsidP="00F61ADB">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Muebles y equipos de oficina, cómputo y comunicaciones</w:t>
            </w:r>
          </w:p>
        </w:tc>
        <w:tc>
          <w:tcPr>
            <w:tcW w:w="830" w:type="pct"/>
            <w:shd w:val="clear" w:color="auto" w:fill="auto"/>
            <w:vAlign w:val="center"/>
            <w:hideMark/>
          </w:tcPr>
          <w:p w14:paraId="46F950A8" w14:textId="77777777" w:rsidR="00A43D62" w:rsidRPr="0009028A" w:rsidRDefault="00A43D62" w:rsidP="00F61ADB">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Equipo de transporte terrestre</w:t>
            </w:r>
          </w:p>
        </w:tc>
        <w:tc>
          <w:tcPr>
            <w:tcW w:w="680" w:type="pct"/>
            <w:shd w:val="clear" w:color="auto" w:fill="auto"/>
            <w:vAlign w:val="center"/>
            <w:hideMark/>
          </w:tcPr>
          <w:p w14:paraId="65980FE6" w14:textId="77777777" w:rsidR="00A43D62" w:rsidRPr="0009028A" w:rsidRDefault="00A43D62" w:rsidP="00F61ADB">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Total</w:t>
            </w:r>
          </w:p>
        </w:tc>
      </w:tr>
      <w:tr w:rsidR="00A43D62" w:rsidRPr="0009028A" w14:paraId="00470CDB" w14:textId="77777777" w:rsidTr="00A43D62">
        <w:trPr>
          <w:trHeight w:val="60"/>
        </w:trPr>
        <w:tc>
          <w:tcPr>
            <w:tcW w:w="1643" w:type="pct"/>
            <w:shd w:val="clear" w:color="auto" w:fill="auto"/>
            <w:vAlign w:val="center"/>
            <w:hideMark/>
          </w:tcPr>
          <w:p w14:paraId="3EEDAD22" w14:textId="77777777" w:rsidR="00A43D62" w:rsidRPr="0009028A" w:rsidRDefault="00A43D62" w:rsidP="0013449A">
            <w:pPr>
              <w:spacing w:after="0" w:line="240" w:lineRule="auto"/>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1° de enero de 2019</w:t>
            </w:r>
          </w:p>
        </w:tc>
        <w:tc>
          <w:tcPr>
            <w:tcW w:w="933" w:type="pct"/>
            <w:shd w:val="clear" w:color="auto" w:fill="auto"/>
            <w:vAlign w:val="center"/>
            <w:hideMark/>
          </w:tcPr>
          <w:p w14:paraId="3F17C319" w14:textId="77777777" w:rsidR="00A43D62" w:rsidRPr="0009028A" w:rsidRDefault="00A43D62" w:rsidP="00915FD9">
            <w:pPr>
              <w:tabs>
                <w:tab w:val="decimal" w:pos="1035"/>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3.654.098</w:t>
            </w:r>
          </w:p>
        </w:tc>
        <w:tc>
          <w:tcPr>
            <w:tcW w:w="914" w:type="pct"/>
            <w:shd w:val="clear" w:color="auto" w:fill="auto"/>
            <w:vAlign w:val="center"/>
          </w:tcPr>
          <w:p w14:paraId="0DA47671" w14:textId="77777777" w:rsidR="00A43D62" w:rsidRPr="0009028A" w:rsidRDefault="00A43D62" w:rsidP="00915FD9">
            <w:pPr>
              <w:tabs>
                <w:tab w:val="decimal" w:pos="1050"/>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3.661.758</w:t>
            </w:r>
          </w:p>
        </w:tc>
        <w:tc>
          <w:tcPr>
            <w:tcW w:w="830" w:type="pct"/>
            <w:shd w:val="clear" w:color="auto" w:fill="auto"/>
            <w:vAlign w:val="center"/>
          </w:tcPr>
          <w:p w14:paraId="79609727" w14:textId="77777777" w:rsidR="00A43D62" w:rsidRPr="0009028A" w:rsidRDefault="00A43D62" w:rsidP="00915FD9">
            <w:pPr>
              <w:tabs>
                <w:tab w:val="decimal" w:pos="885"/>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5.422.412</w:t>
            </w:r>
          </w:p>
        </w:tc>
        <w:tc>
          <w:tcPr>
            <w:tcW w:w="680" w:type="pct"/>
            <w:shd w:val="clear" w:color="auto" w:fill="auto"/>
            <w:vAlign w:val="center"/>
          </w:tcPr>
          <w:p w14:paraId="0993A5A9" w14:textId="77777777" w:rsidR="00A43D62" w:rsidRPr="0009028A" w:rsidRDefault="00A43D62" w:rsidP="00915FD9">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12.738.268</w:t>
            </w:r>
          </w:p>
        </w:tc>
      </w:tr>
      <w:tr w:rsidR="00A43D62" w:rsidRPr="0009028A" w14:paraId="6EEFBF59" w14:textId="77777777" w:rsidTr="00A43D62">
        <w:trPr>
          <w:trHeight w:val="70"/>
        </w:trPr>
        <w:tc>
          <w:tcPr>
            <w:tcW w:w="1643" w:type="pct"/>
            <w:shd w:val="clear" w:color="auto" w:fill="auto"/>
            <w:vAlign w:val="center"/>
            <w:hideMark/>
          </w:tcPr>
          <w:p w14:paraId="40C4D379" w14:textId="77777777" w:rsidR="00A43D62" w:rsidRPr="0009028A" w:rsidRDefault="00A43D62" w:rsidP="0013449A">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Adiciones</w:t>
            </w:r>
          </w:p>
        </w:tc>
        <w:tc>
          <w:tcPr>
            <w:tcW w:w="933" w:type="pct"/>
            <w:shd w:val="clear" w:color="auto" w:fill="auto"/>
            <w:vAlign w:val="center"/>
            <w:hideMark/>
          </w:tcPr>
          <w:p w14:paraId="59F19F59" w14:textId="77777777" w:rsidR="00A43D62" w:rsidRPr="0009028A" w:rsidRDefault="00A43D62" w:rsidP="00915FD9">
            <w:pPr>
              <w:tabs>
                <w:tab w:val="decimal" w:pos="1035"/>
              </w:tabs>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w:t>
            </w:r>
          </w:p>
        </w:tc>
        <w:tc>
          <w:tcPr>
            <w:tcW w:w="914" w:type="pct"/>
            <w:shd w:val="clear" w:color="auto" w:fill="auto"/>
            <w:vAlign w:val="center"/>
          </w:tcPr>
          <w:p w14:paraId="257B121E" w14:textId="77777777" w:rsidR="00A43D62" w:rsidRPr="0009028A" w:rsidRDefault="00A43D62" w:rsidP="00915FD9">
            <w:pPr>
              <w:tabs>
                <w:tab w:val="decimal" w:pos="1050"/>
              </w:tabs>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14.071</w:t>
            </w:r>
          </w:p>
        </w:tc>
        <w:tc>
          <w:tcPr>
            <w:tcW w:w="830" w:type="pct"/>
            <w:shd w:val="clear" w:color="auto" w:fill="auto"/>
            <w:vAlign w:val="center"/>
          </w:tcPr>
          <w:p w14:paraId="7D72DB3E" w14:textId="77777777" w:rsidR="00A43D62" w:rsidRPr="0009028A" w:rsidRDefault="00A43D62" w:rsidP="00915FD9">
            <w:pPr>
              <w:tabs>
                <w:tab w:val="decimal" w:pos="885"/>
              </w:tabs>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w:t>
            </w:r>
          </w:p>
        </w:tc>
        <w:tc>
          <w:tcPr>
            <w:tcW w:w="680" w:type="pct"/>
            <w:shd w:val="clear" w:color="auto" w:fill="auto"/>
            <w:vAlign w:val="center"/>
          </w:tcPr>
          <w:p w14:paraId="3A51CB44" w14:textId="77777777" w:rsidR="00A43D62" w:rsidRPr="0009028A" w:rsidRDefault="00A43D62" w:rsidP="00915FD9">
            <w:pPr>
              <w:spacing w:after="0" w:line="240" w:lineRule="auto"/>
              <w:jc w:val="right"/>
              <w:rPr>
                <w:rFonts w:ascii="Arial" w:eastAsia="Times New Roman" w:hAnsi="Arial" w:cs="Arial"/>
                <w:bCs/>
                <w:color w:val="000000"/>
                <w:sz w:val="16"/>
                <w:szCs w:val="16"/>
                <w:lang w:eastAsia="es-CO"/>
              </w:rPr>
            </w:pPr>
            <w:r w:rsidRPr="0009028A">
              <w:rPr>
                <w:rFonts w:ascii="Arial" w:eastAsia="Times New Roman" w:hAnsi="Arial" w:cs="Arial"/>
                <w:bCs/>
                <w:color w:val="000000"/>
                <w:sz w:val="16"/>
                <w:szCs w:val="16"/>
                <w:lang w:eastAsia="es-CO"/>
              </w:rPr>
              <w:t>14.071</w:t>
            </w:r>
          </w:p>
        </w:tc>
      </w:tr>
      <w:tr w:rsidR="00A43D62" w:rsidRPr="0009028A" w14:paraId="6A03FAA5" w14:textId="77777777" w:rsidTr="00A43D62">
        <w:trPr>
          <w:trHeight w:val="70"/>
        </w:trPr>
        <w:tc>
          <w:tcPr>
            <w:tcW w:w="1643" w:type="pct"/>
            <w:shd w:val="clear" w:color="auto" w:fill="auto"/>
            <w:vAlign w:val="center"/>
          </w:tcPr>
          <w:p w14:paraId="7E8CBCC1" w14:textId="77777777" w:rsidR="00A43D62" w:rsidRPr="0009028A" w:rsidRDefault="00A43D62" w:rsidP="0013449A">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Otras cuentas</w:t>
            </w:r>
          </w:p>
        </w:tc>
        <w:tc>
          <w:tcPr>
            <w:tcW w:w="933" w:type="pct"/>
            <w:shd w:val="clear" w:color="auto" w:fill="auto"/>
            <w:vAlign w:val="center"/>
          </w:tcPr>
          <w:p w14:paraId="78322907" w14:textId="77777777" w:rsidR="00A43D62" w:rsidRPr="0009028A" w:rsidRDefault="00A43D62" w:rsidP="00915FD9">
            <w:pPr>
              <w:tabs>
                <w:tab w:val="decimal" w:pos="1035"/>
              </w:tabs>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(3.654.098)</w:t>
            </w:r>
          </w:p>
        </w:tc>
        <w:tc>
          <w:tcPr>
            <w:tcW w:w="914" w:type="pct"/>
            <w:shd w:val="clear" w:color="auto" w:fill="auto"/>
            <w:vAlign w:val="center"/>
          </w:tcPr>
          <w:p w14:paraId="375CE78E" w14:textId="77777777" w:rsidR="00A43D62" w:rsidRPr="0009028A" w:rsidRDefault="00A43D62" w:rsidP="00915FD9">
            <w:pPr>
              <w:tabs>
                <w:tab w:val="decimal" w:pos="1050"/>
              </w:tabs>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w:t>
            </w:r>
          </w:p>
        </w:tc>
        <w:tc>
          <w:tcPr>
            <w:tcW w:w="830" w:type="pct"/>
            <w:shd w:val="clear" w:color="auto" w:fill="auto"/>
            <w:vAlign w:val="center"/>
          </w:tcPr>
          <w:p w14:paraId="022C0FBA" w14:textId="77777777" w:rsidR="00A43D62" w:rsidRPr="0009028A" w:rsidRDefault="00A43D62" w:rsidP="00915FD9">
            <w:pPr>
              <w:tabs>
                <w:tab w:val="decimal" w:pos="885"/>
              </w:tabs>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w:t>
            </w:r>
          </w:p>
        </w:tc>
        <w:tc>
          <w:tcPr>
            <w:tcW w:w="680" w:type="pct"/>
            <w:shd w:val="clear" w:color="auto" w:fill="auto"/>
            <w:vAlign w:val="center"/>
          </w:tcPr>
          <w:p w14:paraId="6F63FD94" w14:textId="77777777" w:rsidR="00A43D62" w:rsidRPr="0009028A" w:rsidRDefault="00A43D62" w:rsidP="00915FD9">
            <w:pPr>
              <w:spacing w:after="0" w:line="240" w:lineRule="auto"/>
              <w:jc w:val="right"/>
              <w:rPr>
                <w:rFonts w:ascii="Arial" w:eastAsia="Times New Roman" w:hAnsi="Arial" w:cs="Arial"/>
                <w:bCs/>
                <w:color w:val="000000"/>
                <w:sz w:val="16"/>
                <w:szCs w:val="16"/>
                <w:lang w:eastAsia="es-CO"/>
              </w:rPr>
            </w:pPr>
            <w:r w:rsidRPr="0009028A">
              <w:rPr>
                <w:rFonts w:ascii="Arial" w:eastAsia="Times New Roman" w:hAnsi="Arial" w:cs="Arial"/>
                <w:bCs/>
                <w:color w:val="000000"/>
                <w:sz w:val="16"/>
                <w:szCs w:val="16"/>
                <w:lang w:eastAsia="es-CO"/>
              </w:rPr>
              <w:t>(3.654.098)</w:t>
            </w:r>
          </w:p>
        </w:tc>
      </w:tr>
      <w:tr w:rsidR="00A43D62" w:rsidRPr="0009028A" w14:paraId="7DB9485A" w14:textId="77777777" w:rsidTr="00A43D62">
        <w:trPr>
          <w:trHeight w:val="70"/>
        </w:trPr>
        <w:tc>
          <w:tcPr>
            <w:tcW w:w="1643" w:type="pct"/>
            <w:shd w:val="clear" w:color="auto" w:fill="auto"/>
            <w:vAlign w:val="center"/>
            <w:hideMark/>
          </w:tcPr>
          <w:p w14:paraId="35B381A8" w14:textId="77777777" w:rsidR="00A43D62" w:rsidRPr="0009028A" w:rsidRDefault="00A43D62" w:rsidP="0013449A">
            <w:pPr>
              <w:spacing w:after="0" w:line="240" w:lineRule="auto"/>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Costo histórico</w:t>
            </w:r>
          </w:p>
        </w:tc>
        <w:tc>
          <w:tcPr>
            <w:tcW w:w="933" w:type="pct"/>
            <w:shd w:val="clear" w:color="auto" w:fill="auto"/>
            <w:vAlign w:val="center"/>
            <w:hideMark/>
          </w:tcPr>
          <w:p w14:paraId="4281CB38" w14:textId="77777777" w:rsidR="00A43D62" w:rsidRPr="0009028A" w:rsidRDefault="00A43D62" w:rsidP="00915FD9">
            <w:pPr>
              <w:tabs>
                <w:tab w:val="decimal" w:pos="1035"/>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w:t>
            </w:r>
          </w:p>
        </w:tc>
        <w:tc>
          <w:tcPr>
            <w:tcW w:w="914" w:type="pct"/>
            <w:shd w:val="clear" w:color="auto" w:fill="auto"/>
            <w:vAlign w:val="center"/>
          </w:tcPr>
          <w:p w14:paraId="085DFE3C" w14:textId="77777777" w:rsidR="00A43D62" w:rsidRPr="0009028A" w:rsidRDefault="00A43D62" w:rsidP="00915FD9">
            <w:pPr>
              <w:tabs>
                <w:tab w:val="decimal" w:pos="1050"/>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3.675.829</w:t>
            </w:r>
          </w:p>
        </w:tc>
        <w:tc>
          <w:tcPr>
            <w:tcW w:w="830" w:type="pct"/>
            <w:shd w:val="clear" w:color="auto" w:fill="auto"/>
            <w:vAlign w:val="center"/>
          </w:tcPr>
          <w:p w14:paraId="18EF03F0" w14:textId="77777777" w:rsidR="00A43D62" w:rsidRPr="0009028A" w:rsidRDefault="00A43D62" w:rsidP="00915FD9">
            <w:pPr>
              <w:tabs>
                <w:tab w:val="decimal" w:pos="885"/>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5.422.412</w:t>
            </w:r>
          </w:p>
        </w:tc>
        <w:tc>
          <w:tcPr>
            <w:tcW w:w="680" w:type="pct"/>
            <w:shd w:val="clear" w:color="auto" w:fill="auto"/>
            <w:vAlign w:val="center"/>
          </w:tcPr>
          <w:p w14:paraId="2476D43F" w14:textId="77777777" w:rsidR="00A43D62" w:rsidRPr="0009028A" w:rsidRDefault="00A43D62" w:rsidP="00915FD9">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9.098.241</w:t>
            </w:r>
          </w:p>
        </w:tc>
      </w:tr>
      <w:tr w:rsidR="00A43D62" w:rsidRPr="0009028A" w14:paraId="4A41E2A6" w14:textId="77777777" w:rsidTr="00A43D62">
        <w:trPr>
          <w:trHeight w:val="50"/>
        </w:trPr>
        <w:tc>
          <w:tcPr>
            <w:tcW w:w="1643" w:type="pct"/>
            <w:shd w:val="clear" w:color="auto" w:fill="auto"/>
            <w:vAlign w:val="center"/>
            <w:hideMark/>
          </w:tcPr>
          <w:p w14:paraId="4819B23C" w14:textId="77777777" w:rsidR="00A43D62" w:rsidRPr="0009028A" w:rsidRDefault="00A43D62" w:rsidP="0013449A">
            <w:pPr>
              <w:spacing w:after="0" w:line="240" w:lineRule="auto"/>
              <w:rPr>
                <w:rFonts w:ascii="Arial" w:eastAsia="Times New Roman" w:hAnsi="Arial" w:cs="Arial"/>
                <w:b/>
                <w:bCs/>
                <w:color w:val="002060"/>
                <w:sz w:val="16"/>
                <w:szCs w:val="16"/>
                <w:lang w:eastAsia="es-CO"/>
              </w:rPr>
            </w:pPr>
            <w:r w:rsidRPr="0009028A">
              <w:rPr>
                <w:rFonts w:ascii="Arial" w:eastAsia="Times New Roman" w:hAnsi="Arial" w:cs="Arial"/>
                <w:b/>
                <w:bCs/>
                <w:color w:val="002060"/>
                <w:sz w:val="16"/>
                <w:szCs w:val="16"/>
                <w:lang w:eastAsia="es-CO"/>
              </w:rPr>
              <w:t>1° de enero de 2019</w:t>
            </w:r>
          </w:p>
        </w:tc>
        <w:tc>
          <w:tcPr>
            <w:tcW w:w="933" w:type="pct"/>
            <w:shd w:val="clear" w:color="auto" w:fill="auto"/>
            <w:vAlign w:val="center"/>
          </w:tcPr>
          <w:p w14:paraId="1CD78649" w14:textId="77777777" w:rsidR="00A43D62" w:rsidRPr="0009028A" w:rsidRDefault="00A43D62" w:rsidP="00915FD9">
            <w:pPr>
              <w:tabs>
                <w:tab w:val="decimal" w:pos="1035"/>
              </w:tabs>
              <w:spacing w:after="0" w:line="240" w:lineRule="auto"/>
              <w:jc w:val="right"/>
              <w:rPr>
                <w:rFonts w:ascii="Arial" w:eastAsia="Times New Roman" w:hAnsi="Arial" w:cs="Arial"/>
                <w:color w:val="002060"/>
                <w:sz w:val="16"/>
                <w:szCs w:val="16"/>
                <w:lang w:eastAsia="es-CO"/>
              </w:rPr>
            </w:pPr>
            <w:r w:rsidRPr="0009028A">
              <w:rPr>
                <w:rFonts w:ascii="Arial" w:eastAsia="Times New Roman" w:hAnsi="Arial" w:cs="Arial"/>
                <w:color w:val="002060"/>
                <w:sz w:val="16"/>
                <w:szCs w:val="16"/>
                <w:lang w:eastAsia="es-CO"/>
              </w:rPr>
              <w:t>-</w:t>
            </w:r>
          </w:p>
        </w:tc>
        <w:tc>
          <w:tcPr>
            <w:tcW w:w="914" w:type="pct"/>
            <w:shd w:val="clear" w:color="auto" w:fill="auto"/>
            <w:vAlign w:val="center"/>
          </w:tcPr>
          <w:p w14:paraId="134753DF" w14:textId="77777777" w:rsidR="00A43D62" w:rsidRPr="0009028A" w:rsidRDefault="00A43D62" w:rsidP="00915FD9">
            <w:pPr>
              <w:tabs>
                <w:tab w:val="decimal" w:pos="1050"/>
              </w:tabs>
              <w:spacing w:after="0" w:line="240" w:lineRule="auto"/>
              <w:jc w:val="right"/>
              <w:rPr>
                <w:rFonts w:ascii="Arial" w:eastAsia="Times New Roman" w:hAnsi="Arial" w:cs="Arial"/>
                <w:color w:val="002060"/>
                <w:sz w:val="16"/>
                <w:szCs w:val="16"/>
                <w:lang w:eastAsia="es-CO"/>
              </w:rPr>
            </w:pPr>
            <w:r w:rsidRPr="0009028A">
              <w:rPr>
                <w:rFonts w:ascii="Arial" w:eastAsia="Times New Roman" w:hAnsi="Arial" w:cs="Arial"/>
                <w:color w:val="002060"/>
                <w:sz w:val="16"/>
                <w:szCs w:val="16"/>
                <w:lang w:eastAsia="es-CO"/>
              </w:rPr>
              <w:t>1.599.473</w:t>
            </w:r>
          </w:p>
        </w:tc>
        <w:tc>
          <w:tcPr>
            <w:tcW w:w="830" w:type="pct"/>
            <w:shd w:val="clear" w:color="auto" w:fill="auto"/>
            <w:vAlign w:val="center"/>
          </w:tcPr>
          <w:p w14:paraId="32695214" w14:textId="77777777" w:rsidR="00A43D62" w:rsidRPr="0009028A" w:rsidRDefault="00A43D62" w:rsidP="00915FD9">
            <w:pPr>
              <w:tabs>
                <w:tab w:val="decimal" w:pos="885"/>
              </w:tabs>
              <w:spacing w:after="0" w:line="240" w:lineRule="auto"/>
              <w:jc w:val="right"/>
              <w:rPr>
                <w:rFonts w:ascii="Arial" w:eastAsia="Times New Roman" w:hAnsi="Arial" w:cs="Arial"/>
                <w:color w:val="002060"/>
                <w:sz w:val="16"/>
                <w:szCs w:val="16"/>
                <w:lang w:eastAsia="es-CO"/>
              </w:rPr>
            </w:pPr>
            <w:r w:rsidRPr="0009028A">
              <w:rPr>
                <w:rFonts w:ascii="Arial" w:eastAsia="Times New Roman" w:hAnsi="Arial" w:cs="Arial"/>
                <w:color w:val="002060"/>
                <w:sz w:val="16"/>
                <w:szCs w:val="16"/>
                <w:lang w:eastAsia="es-CO"/>
              </w:rPr>
              <w:t>4.449.331</w:t>
            </w:r>
          </w:p>
        </w:tc>
        <w:tc>
          <w:tcPr>
            <w:tcW w:w="680" w:type="pct"/>
            <w:shd w:val="clear" w:color="auto" w:fill="auto"/>
            <w:vAlign w:val="center"/>
          </w:tcPr>
          <w:p w14:paraId="0D7E885C" w14:textId="77777777" w:rsidR="00A43D62" w:rsidRPr="0009028A" w:rsidRDefault="00A43D62" w:rsidP="00915FD9">
            <w:pPr>
              <w:spacing w:after="0" w:line="240" w:lineRule="auto"/>
              <w:jc w:val="right"/>
              <w:rPr>
                <w:rFonts w:ascii="Arial" w:eastAsia="Times New Roman" w:hAnsi="Arial" w:cs="Arial"/>
                <w:b/>
                <w:bCs/>
                <w:color w:val="002060"/>
                <w:sz w:val="16"/>
                <w:szCs w:val="16"/>
                <w:lang w:eastAsia="es-CO"/>
              </w:rPr>
            </w:pPr>
            <w:r w:rsidRPr="0009028A">
              <w:rPr>
                <w:rFonts w:ascii="Arial" w:eastAsia="Times New Roman" w:hAnsi="Arial" w:cs="Arial"/>
                <w:b/>
                <w:bCs/>
                <w:color w:val="002060"/>
                <w:sz w:val="16"/>
                <w:szCs w:val="16"/>
                <w:lang w:eastAsia="es-CO"/>
              </w:rPr>
              <w:t>6.048.804</w:t>
            </w:r>
          </w:p>
        </w:tc>
      </w:tr>
      <w:tr w:rsidR="00A43D62" w:rsidRPr="0009028A" w14:paraId="3D4CBE13" w14:textId="77777777" w:rsidTr="00A43D62">
        <w:trPr>
          <w:trHeight w:val="70"/>
        </w:trPr>
        <w:tc>
          <w:tcPr>
            <w:tcW w:w="1643" w:type="pct"/>
            <w:shd w:val="clear" w:color="auto" w:fill="auto"/>
            <w:vAlign w:val="center"/>
            <w:hideMark/>
          </w:tcPr>
          <w:p w14:paraId="5CA0E11B" w14:textId="77777777" w:rsidR="00A43D62" w:rsidRPr="0009028A" w:rsidRDefault="00A43D62" w:rsidP="00A43D62">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Depreciación del período </w:t>
            </w:r>
          </w:p>
        </w:tc>
        <w:tc>
          <w:tcPr>
            <w:tcW w:w="933" w:type="pct"/>
            <w:shd w:val="clear" w:color="auto" w:fill="auto"/>
            <w:vAlign w:val="center"/>
          </w:tcPr>
          <w:p w14:paraId="22E8AABE" w14:textId="77777777" w:rsidR="00A43D62" w:rsidRPr="0009028A" w:rsidRDefault="00A43D62" w:rsidP="00915FD9">
            <w:pPr>
              <w:tabs>
                <w:tab w:val="decimal" w:pos="720"/>
              </w:tabs>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16.237</w:t>
            </w:r>
          </w:p>
        </w:tc>
        <w:tc>
          <w:tcPr>
            <w:tcW w:w="914" w:type="pct"/>
            <w:shd w:val="clear" w:color="auto" w:fill="auto"/>
            <w:vAlign w:val="center"/>
          </w:tcPr>
          <w:p w14:paraId="52EAFE02" w14:textId="77777777" w:rsidR="00A43D62" w:rsidRPr="0009028A" w:rsidRDefault="00A43D62" w:rsidP="00915FD9">
            <w:pPr>
              <w:tabs>
                <w:tab w:val="decimal" w:pos="1050"/>
              </w:tabs>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170.988</w:t>
            </w:r>
          </w:p>
        </w:tc>
        <w:tc>
          <w:tcPr>
            <w:tcW w:w="830" w:type="pct"/>
            <w:shd w:val="clear" w:color="auto" w:fill="auto"/>
            <w:vAlign w:val="center"/>
          </w:tcPr>
          <w:p w14:paraId="1C1F7B67" w14:textId="77777777" w:rsidR="00A43D62" w:rsidRPr="0009028A" w:rsidRDefault="00A43D62" w:rsidP="00915FD9">
            <w:pPr>
              <w:tabs>
                <w:tab w:val="decimal" w:pos="885"/>
              </w:tabs>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259.569</w:t>
            </w:r>
          </w:p>
        </w:tc>
        <w:tc>
          <w:tcPr>
            <w:tcW w:w="680" w:type="pct"/>
            <w:shd w:val="clear" w:color="auto" w:fill="auto"/>
            <w:vAlign w:val="center"/>
          </w:tcPr>
          <w:p w14:paraId="7ECDEEBD" w14:textId="77777777" w:rsidR="00A43D62" w:rsidRPr="0009028A" w:rsidRDefault="00A43D62" w:rsidP="00915FD9">
            <w:pPr>
              <w:spacing w:after="0" w:line="240" w:lineRule="auto"/>
              <w:jc w:val="right"/>
              <w:rPr>
                <w:rFonts w:ascii="Arial" w:eastAsia="Times New Roman" w:hAnsi="Arial" w:cs="Arial"/>
                <w:bCs/>
                <w:color w:val="000000"/>
                <w:sz w:val="16"/>
                <w:szCs w:val="16"/>
                <w:lang w:eastAsia="es-CO"/>
              </w:rPr>
            </w:pPr>
            <w:r w:rsidRPr="0009028A">
              <w:rPr>
                <w:rFonts w:ascii="Arial" w:eastAsia="Times New Roman" w:hAnsi="Arial" w:cs="Arial"/>
                <w:bCs/>
                <w:color w:val="000000"/>
                <w:sz w:val="16"/>
                <w:szCs w:val="16"/>
                <w:lang w:eastAsia="es-CO"/>
              </w:rPr>
              <w:t>446.794</w:t>
            </w:r>
          </w:p>
        </w:tc>
      </w:tr>
      <w:tr w:rsidR="00A43D62" w:rsidRPr="0009028A" w14:paraId="0F117980" w14:textId="77777777" w:rsidTr="00A43D62">
        <w:trPr>
          <w:trHeight w:val="70"/>
        </w:trPr>
        <w:tc>
          <w:tcPr>
            <w:tcW w:w="1643" w:type="pct"/>
            <w:shd w:val="clear" w:color="auto" w:fill="auto"/>
            <w:vAlign w:val="center"/>
          </w:tcPr>
          <w:p w14:paraId="4424AAA8" w14:textId="77777777" w:rsidR="00A43D62" w:rsidRPr="0009028A" w:rsidRDefault="00A43D62" w:rsidP="00915FD9">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Otros cambios</w:t>
            </w:r>
          </w:p>
        </w:tc>
        <w:tc>
          <w:tcPr>
            <w:tcW w:w="933" w:type="pct"/>
            <w:shd w:val="clear" w:color="auto" w:fill="auto"/>
            <w:vAlign w:val="center"/>
          </w:tcPr>
          <w:p w14:paraId="4DB3BB02" w14:textId="77777777" w:rsidR="00A43D62" w:rsidRPr="0009028A" w:rsidRDefault="00A43D62" w:rsidP="00915FD9">
            <w:pPr>
              <w:tabs>
                <w:tab w:val="decimal" w:pos="1035"/>
              </w:tabs>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(16.237)</w:t>
            </w:r>
          </w:p>
        </w:tc>
        <w:tc>
          <w:tcPr>
            <w:tcW w:w="914" w:type="pct"/>
            <w:shd w:val="clear" w:color="auto" w:fill="auto"/>
            <w:vAlign w:val="center"/>
          </w:tcPr>
          <w:p w14:paraId="031A1C9D" w14:textId="77777777" w:rsidR="00A43D62" w:rsidRPr="0009028A" w:rsidRDefault="00A43D62" w:rsidP="00915FD9">
            <w:pPr>
              <w:tabs>
                <w:tab w:val="decimal" w:pos="1050"/>
              </w:tabs>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w:t>
            </w:r>
          </w:p>
        </w:tc>
        <w:tc>
          <w:tcPr>
            <w:tcW w:w="830" w:type="pct"/>
            <w:shd w:val="clear" w:color="auto" w:fill="auto"/>
            <w:vAlign w:val="center"/>
          </w:tcPr>
          <w:p w14:paraId="1BC86132" w14:textId="77777777" w:rsidR="00A43D62" w:rsidRPr="0009028A" w:rsidRDefault="00A43D62" w:rsidP="00915FD9">
            <w:pPr>
              <w:tabs>
                <w:tab w:val="decimal" w:pos="885"/>
              </w:tabs>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w:t>
            </w:r>
          </w:p>
        </w:tc>
        <w:tc>
          <w:tcPr>
            <w:tcW w:w="680" w:type="pct"/>
            <w:shd w:val="clear" w:color="auto" w:fill="auto"/>
            <w:vAlign w:val="center"/>
          </w:tcPr>
          <w:p w14:paraId="71456A72" w14:textId="77777777" w:rsidR="00A43D62" w:rsidRPr="0009028A" w:rsidRDefault="00A43D62" w:rsidP="00915FD9">
            <w:pPr>
              <w:spacing w:after="0" w:line="240" w:lineRule="auto"/>
              <w:jc w:val="right"/>
              <w:rPr>
                <w:rFonts w:ascii="Arial" w:eastAsia="Times New Roman" w:hAnsi="Arial" w:cs="Arial"/>
                <w:bCs/>
                <w:color w:val="000000"/>
                <w:sz w:val="16"/>
                <w:szCs w:val="16"/>
                <w:lang w:eastAsia="es-CO"/>
              </w:rPr>
            </w:pPr>
            <w:r w:rsidRPr="0009028A">
              <w:rPr>
                <w:rFonts w:ascii="Arial" w:eastAsia="Times New Roman" w:hAnsi="Arial" w:cs="Arial"/>
                <w:bCs/>
                <w:color w:val="000000"/>
                <w:sz w:val="16"/>
                <w:szCs w:val="16"/>
                <w:lang w:eastAsia="es-CO"/>
              </w:rPr>
              <w:t>(16.237)</w:t>
            </w:r>
          </w:p>
        </w:tc>
      </w:tr>
      <w:tr w:rsidR="00A43D62" w:rsidRPr="0009028A" w14:paraId="1EA77B3C" w14:textId="77777777" w:rsidTr="00A43D62">
        <w:trPr>
          <w:trHeight w:val="70"/>
        </w:trPr>
        <w:tc>
          <w:tcPr>
            <w:tcW w:w="1643" w:type="pct"/>
            <w:shd w:val="clear" w:color="auto" w:fill="auto"/>
            <w:vAlign w:val="center"/>
            <w:hideMark/>
          </w:tcPr>
          <w:p w14:paraId="2C6ECE23" w14:textId="77777777" w:rsidR="00A43D62" w:rsidRPr="0009028A" w:rsidRDefault="00A43D62" w:rsidP="00915FD9">
            <w:pPr>
              <w:spacing w:after="0" w:line="240" w:lineRule="auto"/>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 xml:space="preserve">Depreciación y deterioro </w:t>
            </w:r>
          </w:p>
        </w:tc>
        <w:tc>
          <w:tcPr>
            <w:tcW w:w="933" w:type="pct"/>
            <w:shd w:val="clear" w:color="auto" w:fill="auto"/>
            <w:vAlign w:val="center"/>
            <w:hideMark/>
          </w:tcPr>
          <w:p w14:paraId="31E6D5C1" w14:textId="77777777" w:rsidR="00A43D62" w:rsidRPr="0009028A" w:rsidRDefault="00A43D62" w:rsidP="00915FD9">
            <w:pPr>
              <w:tabs>
                <w:tab w:val="decimal" w:pos="1035"/>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w:t>
            </w:r>
          </w:p>
        </w:tc>
        <w:tc>
          <w:tcPr>
            <w:tcW w:w="914" w:type="pct"/>
            <w:shd w:val="clear" w:color="auto" w:fill="auto"/>
            <w:vAlign w:val="center"/>
          </w:tcPr>
          <w:p w14:paraId="7FA31A10" w14:textId="77777777" w:rsidR="00A43D62" w:rsidRPr="0009028A" w:rsidRDefault="00A43D62" w:rsidP="00915FD9">
            <w:pPr>
              <w:tabs>
                <w:tab w:val="decimal" w:pos="1050"/>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1.770.461</w:t>
            </w:r>
          </w:p>
        </w:tc>
        <w:tc>
          <w:tcPr>
            <w:tcW w:w="830" w:type="pct"/>
            <w:shd w:val="clear" w:color="auto" w:fill="auto"/>
            <w:vAlign w:val="center"/>
          </w:tcPr>
          <w:p w14:paraId="2F2BC68F" w14:textId="77777777" w:rsidR="00A43D62" w:rsidRPr="0009028A" w:rsidRDefault="00A43D62" w:rsidP="00915FD9">
            <w:pPr>
              <w:tabs>
                <w:tab w:val="decimal" w:pos="885"/>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4.708.900</w:t>
            </w:r>
          </w:p>
        </w:tc>
        <w:tc>
          <w:tcPr>
            <w:tcW w:w="680" w:type="pct"/>
            <w:shd w:val="clear" w:color="auto" w:fill="auto"/>
            <w:vAlign w:val="center"/>
          </w:tcPr>
          <w:p w14:paraId="3D6D2169" w14:textId="77777777" w:rsidR="00A43D62" w:rsidRPr="0009028A" w:rsidRDefault="00A43D62" w:rsidP="00915FD9">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6.479.361</w:t>
            </w:r>
          </w:p>
        </w:tc>
      </w:tr>
      <w:tr w:rsidR="00A43D62" w:rsidRPr="0009028A" w14:paraId="15D731E5" w14:textId="77777777" w:rsidTr="00A43D62">
        <w:trPr>
          <w:trHeight w:val="330"/>
        </w:trPr>
        <w:tc>
          <w:tcPr>
            <w:tcW w:w="1643" w:type="pct"/>
            <w:shd w:val="clear" w:color="auto" w:fill="auto"/>
            <w:vAlign w:val="center"/>
            <w:hideMark/>
          </w:tcPr>
          <w:p w14:paraId="1A2F6838" w14:textId="77777777" w:rsidR="00A43D62" w:rsidRPr="0009028A" w:rsidRDefault="00A43D62" w:rsidP="00915FD9">
            <w:pPr>
              <w:spacing w:after="0" w:line="240" w:lineRule="auto"/>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Total propiedades, planta y equipo al 31 de marzo de 2019</w:t>
            </w:r>
          </w:p>
        </w:tc>
        <w:tc>
          <w:tcPr>
            <w:tcW w:w="933" w:type="pct"/>
            <w:shd w:val="clear" w:color="auto" w:fill="auto"/>
            <w:vAlign w:val="center"/>
            <w:hideMark/>
          </w:tcPr>
          <w:p w14:paraId="27BDE165" w14:textId="77777777" w:rsidR="00A43D62" w:rsidRPr="0009028A" w:rsidRDefault="00A43D62" w:rsidP="00915FD9">
            <w:pPr>
              <w:tabs>
                <w:tab w:val="decimal" w:pos="1035"/>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w:t>
            </w:r>
          </w:p>
        </w:tc>
        <w:tc>
          <w:tcPr>
            <w:tcW w:w="914" w:type="pct"/>
            <w:shd w:val="clear" w:color="auto" w:fill="auto"/>
            <w:vAlign w:val="center"/>
          </w:tcPr>
          <w:p w14:paraId="3A7CAA3F" w14:textId="77777777" w:rsidR="00A43D62" w:rsidRPr="0009028A" w:rsidRDefault="00A43D62" w:rsidP="00915FD9">
            <w:pPr>
              <w:tabs>
                <w:tab w:val="decimal" w:pos="1050"/>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1.905.368</w:t>
            </w:r>
          </w:p>
        </w:tc>
        <w:tc>
          <w:tcPr>
            <w:tcW w:w="830" w:type="pct"/>
            <w:shd w:val="clear" w:color="auto" w:fill="auto"/>
            <w:vAlign w:val="center"/>
          </w:tcPr>
          <w:p w14:paraId="5B9C0276" w14:textId="77777777" w:rsidR="00A43D62" w:rsidRPr="0009028A" w:rsidRDefault="00A43D62" w:rsidP="00915FD9">
            <w:pPr>
              <w:tabs>
                <w:tab w:val="decimal" w:pos="885"/>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713.512</w:t>
            </w:r>
          </w:p>
        </w:tc>
        <w:tc>
          <w:tcPr>
            <w:tcW w:w="680" w:type="pct"/>
            <w:shd w:val="clear" w:color="auto" w:fill="auto"/>
            <w:vAlign w:val="center"/>
          </w:tcPr>
          <w:p w14:paraId="0B173EF7" w14:textId="77777777" w:rsidR="00A43D62" w:rsidRPr="0009028A" w:rsidRDefault="00A43D62" w:rsidP="00915FD9">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2.618.880</w:t>
            </w:r>
          </w:p>
        </w:tc>
      </w:tr>
      <w:bookmarkEnd w:id="287"/>
    </w:tbl>
    <w:p w14:paraId="7BA1DF73" w14:textId="77777777" w:rsidR="0013449A" w:rsidRPr="0009028A" w:rsidRDefault="0013449A" w:rsidP="008B5836">
      <w:pPr>
        <w:autoSpaceDE w:val="0"/>
        <w:autoSpaceDN w:val="0"/>
        <w:adjustRightInd w:val="0"/>
        <w:spacing w:after="0" w:line="240"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2787"/>
        <w:gridCol w:w="1724"/>
        <w:gridCol w:w="1889"/>
        <w:gridCol w:w="1647"/>
        <w:gridCol w:w="933"/>
        <w:gridCol w:w="941"/>
      </w:tblGrid>
      <w:tr w:rsidR="00A43D62" w:rsidRPr="0009028A" w14:paraId="4A19943A" w14:textId="77777777" w:rsidTr="008B3749">
        <w:trPr>
          <w:trHeight w:val="411"/>
        </w:trPr>
        <w:tc>
          <w:tcPr>
            <w:tcW w:w="1405" w:type="pct"/>
            <w:shd w:val="clear" w:color="auto" w:fill="auto"/>
            <w:vAlign w:val="center"/>
            <w:hideMark/>
          </w:tcPr>
          <w:p w14:paraId="67DE872A" w14:textId="77777777" w:rsidR="00A43D62" w:rsidRPr="0009028A" w:rsidRDefault="00A43D62" w:rsidP="0013449A">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w:t>
            </w:r>
          </w:p>
        </w:tc>
        <w:tc>
          <w:tcPr>
            <w:tcW w:w="869" w:type="pct"/>
            <w:shd w:val="clear" w:color="auto" w:fill="auto"/>
            <w:hideMark/>
          </w:tcPr>
          <w:p w14:paraId="5EF450FD" w14:textId="77777777" w:rsidR="00A43D62" w:rsidRPr="0009028A" w:rsidRDefault="00A43D62" w:rsidP="0013449A">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Construcciones y edificaciones</w:t>
            </w:r>
          </w:p>
        </w:tc>
        <w:tc>
          <w:tcPr>
            <w:tcW w:w="952" w:type="pct"/>
            <w:shd w:val="clear" w:color="auto" w:fill="auto"/>
            <w:hideMark/>
          </w:tcPr>
          <w:p w14:paraId="5DD3E7FA" w14:textId="77777777" w:rsidR="00A43D62" w:rsidRPr="0009028A" w:rsidRDefault="00A43D62" w:rsidP="0013449A">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Muebles y equipos de oficina, cómputo y comunicaciones</w:t>
            </w:r>
          </w:p>
        </w:tc>
        <w:tc>
          <w:tcPr>
            <w:tcW w:w="830" w:type="pct"/>
            <w:shd w:val="clear" w:color="auto" w:fill="auto"/>
            <w:hideMark/>
          </w:tcPr>
          <w:p w14:paraId="25775B81" w14:textId="77777777" w:rsidR="00A43D62" w:rsidRPr="0009028A" w:rsidRDefault="00A43D62" w:rsidP="0013449A">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Maquinaria y equipo de producción</w:t>
            </w:r>
          </w:p>
        </w:tc>
        <w:tc>
          <w:tcPr>
            <w:tcW w:w="470" w:type="pct"/>
            <w:shd w:val="clear" w:color="auto" w:fill="auto"/>
            <w:hideMark/>
          </w:tcPr>
          <w:p w14:paraId="6EFE3D1A" w14:textId="77777777" w:rsidR="00A43D62" w:rsidRPr="0009028A" w:rsidRDefault="00A43D62" w:rsidP="0013449A">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Equipo de transporte terrestre</w:t>
            </w:r>
          </w:p>
        </w:tc>
        <w:tc>
          <w:tcPr>
            <w:tcW w:w="474" w:type="pct"/>
            <w:shd w:val="clear" w:color="auto" w:fill="auto"/>
            <w:hideMark/>
          </w:tcPr>
          <w:p w14:paraId="2A7AF519" w14:textId="77777777" w:rsidR="00A43D62" w:rsidRPr="0009028A" w:rsidRDefault="00A43D62" w:rsidP="0013449A">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Total</w:t>
            </w:r>
          </w:p>
        </w:tc>
      </w:tr>
      <w:tr w:rsidR="00A43D62" w:rsidRPr="0009028A" w14:paraId="4DE24B9C" w14:textId="77777777" w:rsidTr="008B3749">
        <w:trPr>
          <w:trHeight w:val="60"/>
        </w:trPr>
        <w:tc>
          <w:tcPr>
            <w:tcW w:w="1405" w:type="pct"/>
            <w:shd w:val="clear" w:color="auto" w:fill="auto"/>
            <w:vAlign w:val="bottom"/>
            <w:hideMark/>
          </w:tcPr>
          <w:p w14:paraId="52584E3C" w14:textId="77777777" w:rsidR="00A43D62" w:rsidRPr="0009028A" w:rsidRDefault="00A43D62" w:rsidP="0067119C">
            <w:pPr>
              <w:spacing w:after="0" w:line="240" w:lineRule="auto"/>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1° de enero de 2018</w:t>
            </w:r>
          </w:p>
        </w:tc>
        <w:tc>
          <w:tcPr>
            <w:tcW w:w="869" w:type="pct"/>
            <w:shd w:val="clear" w:color="auto" w:fill="auto"/>
            <w:vAlign w:val="bottom"/>
          </w:tcPr>
          <w:p w14:paraId="20BE337C" w14:textId="77777777" w:rsidR="00A43D62" w:rsidRPr="0009028A" w:rsidRDefault="00A43D62" w:rsidP="0067119C">
            <w:pPr>
              <w:tabs>
                <w:tab w:val="decimal" w:pos="995"/>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1.105.272</w:t>
            </w:r>
          </w:p>
        </w:tc>
        <w:tc>
          <w:tcPr>
            <w:tcW w:w="952" w:type="pct"/>
            <w:shd w:val="clear" w:color="auto" w:fill="auto"/>
            <w:vAlign w:val="bottom"/>
          </w:tcPr>
          <w:p w14:paraId="3BC9CDCD" w14:textId="77777777" w:rsidR="00A43D62" w:rsidRPr="0009028A" w:rsidRDefault="00A43D62" w:rsidP="0067119C">
            <w:pPr>
              <w:tabs>
                <w:tab w:val="decimal" w:pos="1159"/>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2.322.548</w:t>
            </w:r>
          </w:p>
        </w:tc>
        <w:tc>
          <w:tcPr>
            <w:tcW w:w="830" w:type="pct"/>
            <w:shd w:val="clear" w:color="auto" w:fill="auto"/>
            <w:vAlign w:val="bottom"/>
          </w:tcPr>
          <w:p w14:paraId="47E8FC53" w14:textId="77777777" w:rsidR="00A43D62" w:rsidRPr="0009028A" w:rsidRDefault="00A43D62" w:rsidP="0067119C">
            <w:pPr>
              <w:tabs>
                <w:tab w:val="decimal" w:pos="915"/>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1.402.432</w:t>
            </w:r>
          </w:p>
        </w:tc>
        <w:tc>
          <w:tcPr>
            <w:tcW w:w="470" w:type="pct"/>
            <w:shd w:val="clear" w:color="auto" w:fill="auto"/>
            <w:vAlign w:val="bottom"/>
          </w:tcPr>
          <w:p w14:paraId="5024E799" w14:textId="77777777" w:rsidR="00A43D62" w:rsidRPr="0009028A" w:rsidRDefault="00A43D62" w:rsidP="0067119C">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5.656.646</w:t>
            </w:r>
          </w:p>
        </w:tc>
        <w:tc>
          <w:tcPr>
            <w:tcW w:w="474" w:type="pct"/>
            <w:shd w:val="clear" w:color="auto" w:fill="auto"/>
            <w:vAlign w:val="bottom"/>
          </w:tcPr>
          <w:p w14:paraId="32D5C48E" w14:textId="77777777" w:rsidR="00A43D62" w:rsidRPr="0009028A" w:rsidRDefault="00A43D62" w:rsidP="0067119C">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10.486.899</w:t>
            </w:r>
          </w:p>
        </w:tc>
      </w:tr>
      <w:tr w:rsidR="00A43D62" w:rsidRPr="0009028A" w14:paraId="690C7C74" w14:textId="77777777" w:rsidTr="008B3749">
        <w:trPr>
          <w:trHeight w:val="70"/>
        </w:trPr>
        <w:tc>
          <w:tcPr>
            <w:tcW w:w="1405" w:type="pct"/>
            <w:shd w:val="clear" w:color="auto" w:fill="auto"/>
            <w:vAlign w:val="bottom"/>
            <w:hideMark/>
          </w:tcPr>
          <w:p w14:paraId="7D7B7935" w14:textId="77777777" w:rsidR="00A43D62" w:rsidRPr="0009028A" w:rsidRDefault="00A43D62"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Adiciones</w:t>
            </w:r>
          </w:p>
        </w:tc>
        <w:tc>
          <w:tcPr>
            <w:tcW w:w="869" w:type="pct"/>
            <w:shd w:val="clear" w:color="auto" w:fill="auto"/>
            <w:vAlign w:val="bottom"/>
          </w:tcPr>
          <w:p w14:paraId="04E5E8C8" w14:textId="77777777" w:rsidR="00A43D62" w:rsidRPr="0009028A" w:rsidRDefault="00A43D62" w:rsidP="0067119C">
            <w:pPr>
              <w:tabs>
                <w:tab w:val="decimal" w:pos="995"/>
              </w:tabs>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2.323.188</w:t>
            </w:r>
          </w:p>
        </w:tc>
        <w:tc>
          <w:tcPr>
            <w:tcW w:w="952" w:type="pct"/>
            <w:shd w:val="clear" w:color="auto" w:fill="auto"/>
            <w:vAlign w:val="bottom"/>
          </w:tcPr>
          <w:p w14:paraId="03200452" w14:textId="77777777" w:rsidR="00A43D62" w:rsidRPr="0009028A" w:rsidRDefault="00A43D62" w:rsidP="0067119C">
            <w:pPr>
              <w:tabs>
                <w:tab w:val="decimal" w:pos="1159"/>
              </w:tabs>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922.550</w:t>
            </w:r>
          </w:p>
        </w:tc>
        <w:tc>
          <w:tcPr>
            <w:tcW w:w="830" w:type="pct"/>
            <w:shd w:val="clear" w:color="auto" w:fill="auto"/>
            <w:vAlign w:val="bottom"/>
          </w:tcPr>
          <w:p w14:paraId="7E527216" w14:textId="77777777" w:rsidR="00A43D62" w:rsidRPr="0009028A" w:rsidRDefault="00A43D62" w:rsidP="0067119C">
            <w:pPr>
              <w:tabs>
                <w:tab w:val="decimal" w:pos="915"/>
              </w:tabs>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w:t>
            </w:r>
          </w:p>
        </w:tc>
        <w:tc>
          <w:tcPr>
            <w:tcW w:w="470" w:type="pct"/>
            <w:shd w:val="clear" w:color="auto" w:fill="auto"/>
            <w:vAlign w:val="bottom"/>
          </w:tcPr>
          <w:p w14:paraId="3BEFADF5" w14:textId="77777777" w:rsidR="00A43D62" w:rsidRPr="0009028A" w:rsidRDefault="00A43D62" w:rsidP="0067119C">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w:t>
            </w:r>
          </w:p>
        </w:tc>
        <w:tc>
          <w:tcPr>
            <w:tcW w:w="474" w:type="pct"/>
            <w:shd w:val="clear" w:color="auto" w:fill="auto"/>
            <w:vAlign w:val="bottom"/>
          </w:tcPr>
          <w:p w14:paraId="74F15310" w14:textId="77777777" w:rsidR="00A43D62" w:rsidRPr="0009028A" w:rsidRDefault="00A43D62" w:rsidP="0067119C">
            <w:pPr>
              <w:spacing w:after="0" w:line="240" w:lineRule="auto"/>
              <w:jc w:val="right"/>
              <w:rPr>
                <w:rFonts w:ascii="Arial" w:eastAsia="Times New Roman" w:hAnsi="Arial" w:cs="Arial"/>
                <w:bCs/>
                <w:color w:val="000000"/>
                <w:sz w:val="16"/>
                <w:szCs w:val="16"/>
                <w:lang w:eastAsia="es-CO"/>
              </w:rPr>
            </w:pPr>
            <w:r w:rsidRPr="0009028A">
              <w:rPr>
                <w:rFonts w:ascii="Arial" w:eastAsia="Times New Roman" w:hAnsi="Arial" w:cs="Arial"/>
                <w:bCs/>
                <w:color w:val="000000"/>
                <w:sz w:val="16"/>
                <w:szCs w:val="16"/>
                <w:lang w:eastAsia="es-CO"/>
              </w:rPr>
              <w:t>3.245.738</w:t>
            </w:r>
          </w:p>
        </w:tc>
      </w:tr>
      <w:tr w:rsidR="00A43D62" w:rsidRPr="0009028A" w14:paraId="271D330A" w14:textId="77777777" w:rsidTr="008B3749">
        <w:trPr>
          <w:trHeight w:val="70"/>
        </w:trPr>
        <w:tc>
          <w:tcPr>
            <w:tcW w:w="1405" w:type="pct"/>
            <w:shd w:val="clear" w:color="auto" w:fill="auto"/>
            <w:vAlign w:val="bottom"/>
            <w:hideMark/>
          </w:tcPr>
          <w:p w14:paraId="1F0F60DC" w14:textId="77777777" w:rsidR="00A43D62" w:rsidRPr="0009028A" w:rsidRDefault="00A43D62" w:rsidP="0067119C">
            <w:pPr>
              <w:spacing w:after="0" w:line="240" w:lineRule="auto"/>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Costo histórico</w:t>
            </w:r>
          </w:p>
        </w:tc>
        <w:tc>
          <w:tcPr>
            <w:tcW w:w="869" w:type="pct"/>
            <w:shd w:val="clear" w:color="auto" w:fill="auto"/>
            <w:vAlign w:val="bottom"/>
          </w:tcPr>
          <w:p w14:paraId="2C038EEC" w14:textId="77777777" w:rsidR="00A43D62" w:rsidRPr="0009028A" w:rsidRDefault="00A43D62" w:rsidP="0067119C">
            <w:pPr>
              <w:tabs>
                <w:tab w:val="decimal" w:pos="995"/>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3.428.460</w:t>
            </w:r>
          </w:p>
        </w:tc>
        <w:tc>
          <w:tcPr>
            <w:tcW w:w="952" w:type="pct"/>
            <w:shd w:val="clear" w:color="auto" w:fill="auto"/>
            <w:vAlign w:val="bottom"/>
          </w:tcPr>
          <w:p w14:paraId="1F8EB3A7" w14:textId="77777777" w:rsidR="00A43D62" w:rsidRPr="0009028A" w:rsidRDefault="00A43D62" w:rsidP="0067119C">
            <w:pPr>
              <w:tabs>
                <w:tab w:val="decimal" w:pos="1159"/>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3.245.098</w:t>
            </w:r>
          </w:p>
        </w:tc>
        <w:tc>
          <w:tcPr>
            <w:tcW w:w="830" w:type="pct"/>
            <w:shd w:val="clear" w:color="auto" w:fill="auto"/>
            <w:vAlign w:val="bottom"/>
          </w:tcPr>
          <w:p w14:paraId="408EBED2" w14:textId="77777777" w:rsidR="00A43D62" w:rsidRPr="0009028A" w:rsidRDefault="00A43D62" w:rsidP="0067119C">
            <w:pPr>
              <w:tabs>
                <w:tab w:val="decimal" w:pos="915"/>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1.402.432</w:t>
            </w:r>
          </w:p>
        </w:tc>
        <w:tc>
          <w:tcPr>
            <w:tcW w:w="470" w:type="pct"/>
            <w:shd w:val="clear" w:color="auto" w:fill="auto"/>
            <w:vAlign w:val="bottom"/>
          </w:tcPr>
          <w:p w14:paraId="3F3B5E1F" w14:textId="77777777" w:rsidR="00A43D62" w:rsidRPr="0009028A" w:rsidRDefault="00A43D62" w:rsidP="0067119C">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5.656.646</w:t>
            </w:r>
          </w:p>
        </w:tc>
        <w:tc>
          <w:tcPr>
            <w:tcW w:w="474" w:type="pct"/>
            <w:shd w:val="clear" w:color="auto" w:fill="auto"/>
            <w:vAlign w:val="bottom"/>
          </w:tcPr>
          <w:p w14:paraId="6396B150" w14:textId="77777777" w:rsidR="00A43D62" w:rsidRPr="0009028A" w:rsidRDefault="00A43D62" w:rsidP="0067119C">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13.732.637</w:t>
            </w:r>
          </w:p>
        </w:tc>
      </w:tr>
      <w:tr w:rsidR="00A43D62" w:rsidRPr="0009028A" w14:paraId="3A46DAD3" w14:textId="77777777" w:rsidTr="008B3749">
        <w:trPr>
          <w:trHeight w:val="50"/>
        </w:trPr>
        <w:tc>
          <w:tcPr>
            <w:tcW w:w="1405" w:type="pct"/>
            <w:shd w:val="clear" w:color="auto" w:fill="auto"/>
            <w:vAlign w:val="bottom"/>
            <w:hideMark/>
          </w:tcPr>
          <w:p w14:paraId="263BCC78" w14:textId="77777777" w:rsidR="00A43D62" w:rsidRPr="0009028A" w:rsidRDefault="00A43D62" w:rsidP="0067119C">
            <w:pPr>
              <w:spacing w:after="0" w:line="240" w:lineRule="auto"/>
              <w:rPr>
                <w:rFonts w:ascii="Arial" w:eastAsia="Times New Roman" w:hAnsi="Arial" w:cs="Arial"/>
                <w:b/>
                <w:bCs/>
                <w:color w:val="002060"/>
                <w:sz w:val="16"/>
                <w:szCs w:val="16"/>
                <w:lang w:eastAsia="es-CO"/>
              </w:rPr>
            </w:pPr>
            <w:r w:rsidRPr="0009028A">
              <w:rPr>
                <w:rFonts w:ascii="Arial" w:eastAsia="Times New Roman" w:hAnsi="Arial" w:cs="Arial"/>
                <w:b/>
                <w:bCs/>
                <w:color w:val="002060"/>
                <w:sz w:val="16"/>
                <w:szCs w:val="16"/>
                <w:lang w:eastAsia="es-CO"/>
              </w:rPr>
              <w:t>1° de enero de 2018</w:t>
            </w:r>
          </w:p>
        </w:tc>
        <w:tc>
          <w:tcPr>
            <w:tcW w:w="869" w:type="pct"/>
            <w:shd w:val="clear" w:color="auto" w:fill="auto"/>
            <w:vAlign w:val="bottom"/>
          </w:tcPr>
          <w:p w14:paraId="5F1FD628" w14:textId="77777777" w:rsidR="00A43D62" w:rsidRPr="0009028A" w:rsidRDefault="00A43D62" w:rsidP="0067119C">
            <w:pPr>
              <w:tabs>
                <w:tab w:val="decimal" w:pos="995"/>
              </w:tabs>
              <w:spacing w:after="0" w:line="240" w:lineRule="auto"/>
              <w:jc w:val="right"/>
              <w:rPr>
                <w:rFonts w:ascii="Arial" w:eastAsia="Times New Roman" w:hAnsi="Arial" w:cs="Arial"/>
                <w:b/>
                <w:color w:val="002060"/>
                <w:sz w:val="16"/>
                <w:szCs w:val="16"/>
                <w:lang w:eastAsia="es-CO"/>
              </w:rPr>
            </w:pPr>
            <w:r w:rsidRPr="0009028A">
              <w:rPr>
                <w:rFonts w:ascii="Arial" w:eastAsia="Times New Roman" w:hAnsi="Arial" w:cs="Arial"/>
                <w:b/>
                <w:color w:val="002060"/>
                <w:sz w:val="16"/>
                <w:szCs w:val="16"/>
                <w:lang w:eastAsia="es-CO"/>
              </w:rPr>
              <w:t>-</w:t>
            </w:r>
          </w:p>
        </w:tc>
        <w:tc>
          <w:tcPr>
            <w:tcW w:w="952" w:type="pct"/>
            <w:shd w:val="clear" w:color="auto" w:fill="auto"/>
            <w:vAlign w:val="bottom"/>
          </w:tcPr>
          <w:p w14:paraId="6367B012" w14:textId="77777777" w:rsidR="00A43D62" w:rsidRPr="0009028A" w:rsidRDefault="00A43D62" w:rsidP="0067119C">
            <w:pPr>
              <w:tabs>
                <w:tab w:val="decimal" w:pos="1159"/>
              </w:tabs>
              <w:spacing w:after="0" w:line="240" w:lineRule="auto"/>
              <w:jc w:val="right"/>
              <w:rPr>
                <w:rFonts w:ascii="Arial" w:eastAsia="Times New Roman" w:hAnsi="Arial" w:cs="Arial"/>
                <w:b/>
                <w:color w:val="002060"/>
                <w:sz w:val="16"/>
                <w:szCs w:val="16"/>
                <w:lang w:eastAsia="es-CO"/>
              </w:rPr>
            </w:pPr>
            <w:r w:rsidRPr="0009028A">
              <w:rPr>
                <w:rFonts w:ascii="Arial" w:eastAsia="Times New Roman" w:hAnsi="Arial" w:cs="Arial"/>
                <w:b/>
                <w:color w:val="002060"/>
                <w:sz w:val="16"/>
                <w:szCs w:val="16"/>
                <w:lang w:eastAsia="es-CO"/>
              </w:rPr>
              <w:t>1.181.310</w:t>
            </w:r>
          </w:p>
        </w:tc>
        <w:tc>
          <w:tcPr>
            <w:tcW w:w="830" w:type="pct"/>
            <w:shd w:val="clear" w:color="auto" w:fill="auto"/>
            <w:vAlign w:val="bottom"/>
          </w:tcPr>
          <w:p w14:paraId="1BDA7FD4" w14:textId="77777777" w:rsidR="00A43D62" w:rsidRPr="0009028A" w:rsidRDefault="00A43D62" w:rsidP="0067119C">
            <w:pPr>
              <w:tabs>
                <w:tab w:val="decimal" w:pos="915"/>
              </w:tabs>
              <w:spacing w:after="0" w:line="240" w:lineRule="auto"/>
              <w:jc w:val="right"/>
              <w:rPr>
                <w:rFonts w:ascii="Arial" w:eastAsia="Times New Roman" w:hAnsi="Arial" w:cs="Arial"/>
                <w:b/>
                <w:color w:val="002060"/>
                <w:sz w:val="16"/>
                <w:szCs w:val="16"/>
                <w:lang w:eastAsia="es-CO"/>
              </w:rPr>
            </w:pPr>
            <w:r w:rsidRPr="0009028A">
              <w:rPr>
                <w:rFonts w:ascii="Arial" w:eastAsia="Times New Roman" w:hAnsi="Arial" w:cs="Arial"/>
                <w:b/>
                <w:color w:val="002060"/>
                <w:sz w:val="16"/>
                <w:szCs w:val="16"/>
                <w:lang w:eastAsia="es-CO"/>
              </w:rPr>
              <w:t>780.255</w:t>
            </w:r>
          </w:p>
        </w:tc>
        <w:tc>
          <w:tcPr>
            <w:tcW w:w="470" w:type="pct"/>
            <w:shd w:val="clear" w:color="auto" w:fill="auto"/>
            <w:vAlign w:val="bottom"/>
          </w:tcPr>
          <w:p w14:paraId="2866A0F7" w14:textId="77777777" w:rsidR="00A43D62" w:rsidRPr="0009028A" w:rsidRDefault="00A43D62" w:rsidP="0067119C">
            <w:pPr>
              <w:spacing w:after="0" w:line="240" w:lineRule="auto"/>
              <w:jc w:val="right"/>
              <w:rPr>
                <w:rFonts w:ascii="Arial" w:eastAsia="Times New Roman" w:hAnsi="Arial" w:cs="Arial"/>
                <w:b/>
                <w:color w:val="002060"/>
                <w:sz w:val="16"/>
                <w:szCs w:val="16"/>
                <w:lang w:eastAsia="es-CO"/>
              </w:rPr>
            </w:pPr>
            <w:r w:rsidRPr="0009028A">
              <w:rPr>
                <w:rFonts w:ascii="Arial" w:eastAsia="Times New Roman" w:hAnsi="Arial" w:cs="Arial"/>
                <w:b/>
                <w:color w:val="002060"/>
                <w:sz w:val="16"/>
                <w:szCs w:val="16"/>
                <w:lang w:eastAsia="es-CO"/>
              </w:rPr>
              <w:t>3.594.546</w:t>
            </w:r>
          </w:p>
        </w:tc>
        <w:tc>
          <w:tcPr>
            <w:tcW w:w="474" w:type="pct"/>
            <w:shd w:val="clear" w:color="auto" w:fill="auto"/>
            <w:vAlign w:val="bottom"/>
          </w:tcPr>
          <w:p w14:paraId="0439D902" w14:textId="77777777" w:rsidR="00A43D62" w:rsidRPr="0009028A" w:rsidRDefault="00A43D62" w:rsidP="0067119C">
            <w:pPr>
              <w:spacing w:after="0" w:line="240" w:lineRule="auto"/>
              <w:jc w:val="right"/>
              <w:rPr>
                <w:rFonts w:ascii="Arial" w:eastAsia="Times New Roman" w:hAnsi="Arial" w:cs="Arial"/>
                <w:b/>
                <w:bCs/>
                <w:color w:val="002060"/>
                <w:sz w:val="16"/>
                <w:szCs w:val="16"/>
                <w:lang w:eastAsia="es-CO"/>
              </w:rPr>
            </w:pPr>
            <w:r w:rsidRPr="0009028A">
              <w:rPr>
                <w:rFonts w:ascii="Arial" w:eastAsia="Times New Roman" w:hAnsi="Arial" w:cs="Arial"/>
                <w:b/>
                <w:bCs/>
                <w:color w:val="002060"/>
                <w:sz w:val="16"/>
                <w:szCs w:val="16"/>
                <w:lang w:eastAsia="es-CO"/>
              </w:rPr>
              <w:t>5.556.111</w:t>
            </w:r>
          </w:p>
        </w:tc>
      </w:tr>
      <w:tr w:rsidR="00A43D62" w:rsidRPr="0009028A" w14:paraId="45AF33AF" w14:textId="77777777" w:rsidTr="008B3749">
        <w:trPr>
          <w:trHeight w:val="70"/>
        </w:trPr>
        <w:tc>
          <w:tcPr>
            <w:tcW w:w="1405" w:type="pct"/>
            <w:shd w:val="clear" w:color="auto" w:fill="auto"/>
            <w:vAlign w:val="bottom"/>
            <w:hideMark/>
          </w:tcPr>
          <w:p w14:paraId="4B4593DD" w14:textId="77777777" w:rsidR="00A43D62" w:rsidRPr="0009028A" w:rsidRDefault="00A43D62"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Depreciación del periodo</w:t>
            </w:r>
          </w:p>
        </w:tc>
        <w:tc>
          <w:tcPr>
            <w:tcW w:w="869" w:type="pct"/>
            <w:shd w:val="clear" w:color="auto" w:fill="auto"/>
            <w:vAlign w:val="bottom"/>
          </w:tcPr>
          <w:p w14:paraId="47465C80" w14:textId="77777777" w:rsidR="00A43D62" w:rsidRPr="0009028A" w:rsidRDefault="00A43D62" w:rsidP="0067119C">
            <w:pPr>
              <w:tabs>
                <w:tab w:val="decimal" w:pos="995"/>
              </w:tabs>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color w:val="000000"/>
                <w:sz w:val="16"/>
                <w:szCs w:val="16"/>
                <w:u w:val="single"/>
                <w:lang w:eastAsia="es-CO"/>
              </w:rPr>
              <w:t xml:space="preserve">                 -</w:t>
            </w:r>
          </w:p>
        </w:tc>
        <w:tc>
          <w:tcPr>
            <w:tcW w:w="952" w:type="pct"/>
            <w:shd w:val="clear" w:color="auto" w:fill="auto"/>
            <w:vAlign w:val="bottom"/>
          </w:tcPr>
          <w:p w14:paraId="715784D2" w14:textId="77777777" w:rsidR="00A43D62" w:rsidRPr="0009028A" w:rsidRDefault="00A43D62" w:rsidP="0067119C">
            <w:pPr>
              <w:tabs>
                <w:tab w:val="decimal" w:pos="1159"/>
              </w:tabs>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color w:val="000000"/>
                <w:sz w:val="16"/>
                <w:szCs w:val="16"/>
                <w:u w:val="single"/>
                <w:lang w:eastAsia="es-CO"/>
              </w:rPr>
              <w:t xml:space="preserve">   103.161</w:t>
            </w:r>
          </w:p>
        </w:tc>
        <w:tc>
          <w:tcPr>
            <w:tcW w:w="830" w:type="pct"/>
            <w:shd w:val="clear" w:color="auto" w:fill="auto"/>
            <w:vAlign w:val="bottom"/>
          </w:tcPr>
          <w:p w14:paraId="458F62D3" w14:textId="77777777" w:rsidR="00A43D62" w:rsidRPr="0009028A" w:rsidRDefault="00A43D62" w:rsidP="0067119C">
            <w:pPr>
              <w:tabs>
                <w:tab w:val="decimal" w:pos="915"/>
              </w:tabs>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color w:val="000000"/>
                <w:sz w:val="16"/>
                <w:szCs w:val="16"/>
                <w:u w:val="single"/>
                <w:lang w:eastAsia="es-CO"/>
              </w:rPr>
              <w:t xml:space="preserve">     13.898</w:t>
            </w:r>
          </w:p>
        </w:tc>
        <w:tc>
          <w:tcPr>
            <w:tcW w:w="470" w:type="pct"/>
            <w:shd w:val="clear" w:color="auto" w:fill="auto"/>
            <w:vAlign w:val="bottom"/>
          </w:tcPr>
          <w:p w14:paraId="28CF2048" w14:textId="77777777" w:rsidR="00A43D62" w:rsidRPr="0009028A" w:rsidRDefault="00A43D62" w:rsidP="0067119C">
            <w:pPr>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color w:val="000000"/>
                <w:sz w:val="16"/>
                <w:szCs w:val="16"/>
                <w:u w:val="single"/>
                <w:lang w:eastAsia="es-CO"/>
              </w:rPr>
              <w:t xml:space="preserve">  270.853</w:t>
            </w:r>
          </w:p>
        </w:tc>
        <w:tc>
          <w:tcPr>
            <w:tcW w:w="474" w:type="pct"/>
            <w:shd w:val="clear" w:color="auto" w:fill="auto"/>
            <w:vAlign w:val="bottom"/>
          </w:tcPr>
          <w:p w14:paraId="2D1625A7" w14:textId="77777777" w:rsidR="00A43D62" w:rsidRPr="0009028A" w:rsidRDefault="00A43D62" w:rsidP="0067119C">
            <w:pPr>
              <w:spacing w:after="0" w:line="240" w:lineRule="auto"/>
              <w:jc w:val="right"/>
              <w:rPr>
                <w:rFonts w:ascii="Arial" w:eastAsia="Times New Roman" w:hAnsi="Arial" w:cs="Arial"/>
                <w:bCs/>
                <w:color w:val="000000"/>
                <w:sz w:val="16"/>
                <w:szCs w:val="16"/>
                <w:u w:val="single"/>
                <w:lang w:eastAsia="es-CO"/>
              </w:rPr>
            </w:pPr>
            <w:r w:rsidRPr="0009028A">
              <w:rPr>
                <w:rFonts w:ascii="Arial" w:eastAsia="Times New Roman" w:hAnsi="Arial" w:cs="Arial"/>
                <w:bCs/>
                <w:color w:val="000000"/>
                <w:sz w:val="16"/>
                <w:szCs w:val="16"/>
                <w:u w:val="single"/>
                <w:lang w:eastAsia="es-CO"/>
              </w:rPr>
              <w:t xml:space="preserve">   387.912</w:t>
            </w:r>
          </w:p>
        </w:tc>
      </w:tr>
      <w:tr w:rsidR="00A43D62" w:rsidRPr="0009028A" w14:paraId="12BAFB0C" w14:textId="77777777" w:rsidTr="008B3749">
        <w:trPr>
          <w:trHeight w:val="70"/>
        </w:trPr>
        <w:tc>
          <w:tcPr>
            <w:tcW w:w="1405" w:type="pct"/>
            <w:shd w:val="clear" w:color="auto" w:fill="auto"/>
            <w:vAlign w:val="bottom"/>
            <w:hideMark/>
          </w:tcPr>
          <w:p w14:paraId="6D5EAD5E" w14:textId="77777777" w:rsidR="00A43D62" w:rsidRPr="0009028A" w:rsidRDefault="00A43D62" w:rsidP="0067119C">
            <w:pPr>
              <w:spacing w:after="0" w:line="240" w:lineRule="auto"/>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 xml:space="preserve">Depreciación y deterioro </w:t>
            </w:r>
          </w:p>
        </w:tc>
        <w:tc>
          <w:tcPr>
            <w:tcW w:w="869" w:type="pct"/>
            <w:shd w:val="clear" w:color="auto" w:fill="auto"/>
            <w:vAlign w:val="bottom"/>
          </w:tcPr>
          <w:p w14:paraId="642DE575" w14:textId="77777777" w:rsidR="00A43D62" w:rsidRPr="0009028A" w:rsidRDefault="00A43D62" w:rsidP="0067119C">
            <w:pPr>
              <w:tabs>
                <w:tab w:val="decimal" w:pos="995"/>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w:t>
            </w:r>
          </w:p>
        </w:tc>
        <w:tc>
          <w:tcPr>
            <w:tcW w:w="952" w:type="pct"/>
            <w:shd w:val="clear" w:color="auto" w:fill="auto"/>
            <w:vAlign w:val="bottom"/>
          </w:tcPr>
          <w:p w14:paraId="4FC8B283" w14:textId="77777777" w:rsidR="00A43D62" w:rsidRPr="0009028A" w:rsidRDefault="00A43D62" w:rsidP="0067119C">
            <w:pPr>
              <w:tabs>
                <w:tab w:val="decimal" w:pos="1159"/>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1.284.471</w:t>
            </w:r>
          </w:p>
        </w:tc>
        <w:tc>
          <w:tcPr>
            <w:tcW w:w="830" w:type="pct"/>
            <w:shd w:val="clear" w:color="auto" w:fill="auto"/>
            <w:vAlign w:val="bottom"/>
          </w:tcPr>
          <w:p w14:paraId="617532D7" w14:textId="77777777" w:rsidR="00A43D62" w:rsidRPr="0009028A" w:rsidRDefault="00A43D62" w:rsidP="0067119C">
            <w:pPr>
              <w:tabs>
                <w:tab w:val="decimal" w:pos="915"/>
              </w:tabs>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794.153</w:t>
            </w:r>
          </w:p>
        </w:tc>
        <w:tc>
          <w:tcPr>
            <w:tcW w:w="470" w:type="pct"/>
            <w:shd w:val="clear" w:color="auto" w:fill="auto"/>
            <w:vAlign w:val="bottom"/>
          </w:tcPr>
          <w:p w14:paraId="682C477B" w14:textId="77777777" w:rsidR="00A43D62" w:rsidRPr="0009028A" w:rsidRDefault="00A43D62" w:rsidP="0067119C">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3.865.399</w:t>
            </w:r>
          </w:p>
        </w:tc>
        <w:tc>
          <w:tcPr>
            <w:tcW w:w="474" w:type="pct"/>
            <w:shd w:val="clear" w:color="auto" w:fill="auto"/>
            <w:vAlign w:val="bottom"/>
          </w:tcPr>
          <w:p w14:paraId="05BF30AC" w14:textId="77777777" w:rsidR="00A43D62" w:rsidRPr="0009028A" w:rsidRDefault="00A43D62" w:rsidP="0067119C">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5.944.023</w:t>
            </w:r>
          </w:p>
        </w:tc>
      </w:tr>
      <w:tr w:rsidR="00A43D62" w:rsidRPr="0009028A" w14:paraId="4C6E4B21" w14:textId="77777777" w:rsidTr="008B3749">
        <w:trPr>
          <w:trHeight w:val="330"/>
        </w:trPr>
        <w:tc>
          <w:tcPr>
            <w:tcW w:w="1405" w:type="pct"/>
            <w:shd w:val="clear" w:color="auto" w:fill="auto"/>
            <w:vAlign w:val="bottom"/>
            <w:hideMark/>
          </w:tcPr>
          <w:p w14:paraId="2A3DB68E" w14:textId="77777777" w:rsidR="00A43D62" w:rsidRPr="0009028A" w:rsidRDefault="00A43D62" w:rsidP="0067119C">
            <w:pPr>
              <w:spacing w:after="0" w:line="240" w:lineRule="auto"/>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Total propiedades, planta y equipo al 31 de marzo de 2018</w:t>
            </w:r>
          </w:p>
        </w:tc>
        <w:tc>
          <w:tcPr>
            <w:tcW w:w="869" w:type="pct"/>
            <w:shd w:val="clear" w:color="auto" w:fill="auto"/>
            <w:vAlign w:val="bottom"/>
          </w:tcPr>
          <w:p w14:paraId="1C912C19" w14:textId="77777777" w:rsidR="00A43D62" w:rsidRPr="0009028A" w:rsidRDefault="00A43D62" w:rsidP="0067119C">
            <w:pPr>
              <w:tabs>
                <w:tab w:val="decimal" w:pos="995"/>
              </w:tabs>
              <w:spacing w:after="0" w:line="240" w:lineRule="auto"/>
              <w:jc w:val="right"/>
              <w:rPr>
                <w:rFonts w:ascii="Arial" w:eastAsia="Times New Roman" w:hAnsi="Arial" w:cs="Arial"/>
                <w:b/>
                <w:bCs/>
                <w:color w:val="103475"/>
                <w:sz w:val="16"/>
                <w:szCs w:val="16"/>
                <w:u w:val="double"/>
                <w:lang w:eastAsia="es-CO"/>
              </w:rPr>
            </w:pPr>
            <w:r w:rsidRPr="0009028A">
              <w:rPr>
                <w:rFonts w:ascii="Arial" w:eastAsia="Times New Roman" w:hAnsi="Arial" w:cs="Arial"/>
                <w:b/>
                <w:bCs/>
                <w:color w:val="103475"/>
                <w:sz w:val="16"/>
                <w:szCs w:val="16"/>
                <w:u w:val="double"/>
                <w:lang w:eastAsia="es-CO"/>
              </w:rPr>
              <w:t>3.428.460</w:t>
            </w:r>
          </w:p>
        </w:tc>
        <w:tc>
          <w:tcPr>
            <w:tcW w:w="952" w:type="pct"/>
            <w:shd w:val="clear" w:color="auto" w:fill="auto"/>
            <w:vAlign w:val="bottom"/>
          </w:tcPr>
          <w:p w14:paraId="08556BA4" w14:textId="77777777" w:rsidR="00A43D62" w:rsidRPr="0009028A" w:rsidRDefault="00A43D62" w:rsidP="0067119C">
            <w:pPr>
              <w:tabs>
                <w:tab w:val="decimal" w:pos="1159"/>
              </w:tabs>
              <w:spacing w:after="0" w:line="240" w:lineRule="auto"/>
              <w:jc w:val="right"/>
              <w:rPr>
                <w:rFonts w:ascii="Arial" w:eastAsia="Times New Roman" w:hAnsi="Arial" w:cs="Arial"/>
                <w:b/>
                <w:bCs/>
                <w:color w:val="103475"/>
                <w:sz w:val="16"/>
                <w:szCs w:val="16"/>
                <w:u w:val="double"/>
                <w:lang w:eastAsia="es-CO"/>
              </w:rPr>
            </w:pPr>
            <w:r w:rsidRPr="0009028A">
              <w:rPr>
                <w:rFonts w:ascii="Arial" w:eastAsia="Times New Roman" w:hAnsi="Arial" w:cs="Arial"/>
                <w:b/>
                <w:bCs/>
                <w:color w:val="103475"/>
                <w:sz w:val="16"/>
                <w:szCs w:val="16"/>
                <w:u w:val="double"/>
                <w:lang w:eastAsia="es-CO"/>
              </w:rPr>
              <w:t>1.960.627</w:t>
            </w:r>
          </w:p>
        </w:tc>
        <w:tc>
          <w:tcPr>
            <w:tcW w:w="830" w:type="pct"/>
            <w:shd w:val="clear" w:color="auto" w:fill="auto"/>
            <w:vAlign w:val="bottom"/>
          </w:tcPr>
          <w:p w14:paraId="500F1AAA" w14:textId="77777777" w:rsidR="00A43D62" w:rsidRPr="0009028A" w:rsidRDefault="00A43D62" w:rsidP="0067119C">
            <w:pPr>
              <w:tabs>
                <w:tab w:val="decimal" w:pos="915"/>
              </w:tabs>
              <w:spacing w:after="0" w:line="240" w:lineRule="auto"/>
              <w:jc w:val="right"/>
              <w:rPr>
                <w:rFonts w:ascii="Arial" w:eastAsia="Times New Roman" w:hAnsi="Arial" w:cs="Arial"/>
                <w:b/>
                <w:bCs/>
                <w:color w:val="103475"/>
                <w:sz w:val="16"/>
                <w:szCs w:val="16"/>
                <w:u w:val="double"/>
                <w:lang w:eastAsia="es-CO"/>
              </w:rPr>
            </w:pPr>
            <w:r w:rsidRPr="0009028A">
              <w:rPr>
                <w:rFonts w:ascii="Arial" w:eastAsia="Times New Roman" w:hAnsi="Arial" w:cs="Arial"/>
                <w:b/>
                <w:bCs/>
                <w:color w:val="103475"/>
                <w:sz w:val="16"/>
                <w:szCs w:val="16"/>
                <w:u w:val="double"/>
                <w:lang w:eastAsia="es-CO"/>
              </w:rPr>
              <w:t>608.279</w:t>
            </w:r>
          </w:p>
        </w:tc>
        <w:tc>
          <w:tcPr>
            <w:tcW w:w="470" w:type="pct"/>
            <w:shd w:val="clear" w:color="auto" w:fill="auto"/>
            <w:vAlign w:val="bottom"/>
          </w:tcPr>
          <w:p w14:paraId="6E7ECC6A" w14:textId="77777777" w:rsidR="00A43D62" w:rsidRPr="0009028A" w:rsidRDefault="00A43D62" w:rsidP="0067119C">
            <w:pPr>
              <w:spacing w:after="0" w:line="240" w:lineRule="auto"/>
              <w:jc w:val="right"/>
              <w:rPr>
                <w:rFonts w:ascii="Arial" w:eastAsia="Times New Roman" w:hAnsi="Arial" w:cs="Arial"/>
                <w:b/>
                <w:bCs/>
                <w:color w:val="103475"/>
                <w:sz w:val="16"/>
                <w:szCs w:val="16"/>
                <w:u w:val="double"/>
                <w:lang w:eastAsia="es-CO"/>
              </w:rPr>
            </w:pPr>
            <w:r w:rsidRPr="0009028A">
              <w:rPr>
                <w:rFonts w:ascii="Arial" w:eastAsia="Times New Roman" w:hAnsi="Arial" w:cs="Arial"/>
                <w:b/>
                <w:bCs/>
                <w:color w:val="103475"/>
                <w:sz w:val="16"/>
                <w:szCs w:val="16"/>
                <w:u w:val="double"/>
                <w:lang w:eastAsia="es-CO"/>
              </w:rPr>
              <w:t>1.791.247</w:t>
            </w:r>
          </w:p>
        </w:tc>
        <w:tc>
          <w:tcPr>
            <w:tcW w:w="474" w:type="pct"/>
            <w:shd w:val="clear" w:color="auto" w:fill="auto"/>
            <w:vAlign w:val="bottom"/>
          </w:tcPr>
          <w:p w14:paraId="1174E47D" w14:textId="77777777" w:rsidR="00A43D62" w:rsidRPr="0009028A" w:rsidRDefault="00A43D62" w:rsidP="0067119C">
            <w:pPr>
              <w:spacing w:after="0" w:line="240" w:lineRule="auto"/>
              <w:jc w:val="right"/>
              <w:rPr>
                <w:rFonts w:ascii="Arial" w:eastAsia="Times New Roman" w:hAnsi="Arial" w:cs="Arial"/>
                <w:b/>
                <w:bCs/>
                <w:color w:val="103475"/>
                <w:sz w:val="16"/>
                <w:szCs w:val="16"/>
                <w:u w:val="double"/>
                <w:lang w:eastAsia="es-CO"/>
              </w:rPr>
            </w:pPr>
            <w:r w:rsidRPr="0009028A">
              <w:rPr>
                <w:rFonts w:ascii="Arial" w:eastAsia="Times New Roman" w:hAnsi="Arial" w:cs="Arial"/>
                <w:b/>
                <w:bCs/>
                <w:color w:val="103475"/>
                <w:sz w:val="16"/>
                <w:szCs w:val="16"/>
                <w:u w:val="double"/>
                <w:lang w:eastAsia="es-CO"/>
              </w:rPr>
              <w:t>7.788.614</w:t>
            </w:r>
          </w:p>
        </w:tc>
      </w:tr>
    </w:tbl>
    <w:p w14:paraId="3E4501E9" w14:textId="77777777" w:rsidR="00806E65" w:rsidRPr="0009028A" w:rsidRDefault="00806E65" w:rsidP="00002ED4">
      <w:pPr>
        <w:spacing w:after="0"/>
        <w:jc w:val="both"/>
        <w:rPr>
          <w:rFonts w:ascii="Arial" w:hAnsi="Arial" w:cs="Arial"/>
          <w:color w:val="000000"/>
          <w:sz w:val="20"/>
          <w:szCs w:val="20"/>
          <w:lang w:val="es-ES"/>
        </w:rPr>
      </w:pPr>
    </w:p>
    <w:p w14:paraId="78672813" w14:textId="77777777" w:rsidR="000B44E0" w:rsidRPr="0009028A" w:rsidRDefault="000B44E0" w:rsidP="000B44E0">
      <w:pPr>
        <w:spacing w:after="0" w:line="276" w:lineRule="auto"/>
        <w:jc w:val="both"/>
        <w:rPr>
          <w:rFonts w:ascii="Arial" w:hAnsi="Arial" w:cs="Arial"/>
          <w:color w:val="000000"/>
          <w:sz w:val="20"/>
          <w:szCs w:val="20"/>
          <w:lang w:val="es-ES"/>
        </w:rPr>
      </w:pPr>
      <w:r w:rsidRPr="0009028A">
        <w:rPr>
          <w:rFonts w:ascii="Arial" w:hAnsi="Arial" w:cs="Arial"/>
          <w:color w:val="000000"/>
          <w:sz w:val="20"/>
          <w:szCs w:val="20"/>
          <w:lang w:val="es-ES"/>
        </w:rPr>
        <w:t>Durante el período 2018 no se presentó capitalización de costos por préstamos en las propiedades, planta y equipo.</w:t>
      </w:r>
    </w:p>
    <w:p w14:paraId="28795857" w14:textId="77777777" w:rsidR="000B44E0" w:rsidRPr="0009028A" w:rsidRDefault="000B44E0" w:rsidP="000B44E0">
      <w:pPr>
        <w:spacing w:after="0" w:line="276" w:lineRule="auto"/>
        <w:jc w:val="both"/>
        <w:rPr>
          <w:rFonts w:ascii="Arial" w:hAnsi="Arial" w:cs="Arial"/>
          <w:color w:val="000000"/>
          <w:sz w:val="20"/>
          <w:szCs w:val="20"/>
          <w:lang w:val="es-ES"/>
        </w:rPr>
      </w:pPr>
    </w:p>
    <w:p w14:paraId="523EC9C3" w14:textId="77777777" w:rsidR="000B44E0" w:rsidRPr="0009028A" w:rsidRDefault="000B44E0" w:rsidP="000B44E0">
      <w:pPr>
        <w:spacing w:after="0" w:line="276" w:lineRule="auto"/>
        <w:jc w:val="both"/>
        <w:rPr>
          <w:rFonts w:ascii="Arial" w:hAnsi="Arial" w:cs="Arial"/>
          <w:color w:val="000000"/>
          <w:sz w:val="20"/>
          <w:szCs w:val="20"/>
          <w:lang w:val="es-ES"/>
        </w:rPr>
      </w:pPr>
      <w:r w:rsidRPr="0009028A">
        <w:rPr>
          <w:rFonts w:ascii="Arial" w:hAnsi="Arial" w:cs="Arial"/>
          <w:color w:val="000000"/>
          <w:sz w:val="20"/>
          <w:szCs w:val="20"/>
          <w:lang w:val="es-ES"/>
        </w:rPr>
        <w:t xml:space="preserve">A 31 de marzo de 2019 y 31 de diciembre de 2018, ningún activo de propiedades, planta y equipo ha sido afectado como garantía para el cumplimiento de obligaciones o cuentas por pagar a terceros. </w:t>
      </w:r>
    </w:p>
    <w:p w14:paraId="4DCF149B" w14:textId="77777777" w:rsidR="000B44E0" w:rsidRPr="0009028A" w:rsidRDefault="000B44E0" w:rsidP="000B44E0">
      <w:pPr>
        <w:spacing w:after="0" w:line="276" w:lineRule="auto"/>
        <w:jc w:val="both"/>
        <w:rPr>
          <w:rFonts w:ascii="Arial" w:hAnsi="Arial" w:cs="Arial"/>
          <w:color w:val="000000"/>
          <w:sz w:val="20"/>
          <w:szCs w:val="20"/>
          <w:lang w:val="es-ES"/>
        </w:rPr>
      </w:pPr>
    </w:p>
    <w:p w14:paraId="1C566530" w14:textId="77777777" w:rsidR="000B44E0" w:rsidRPr="0009028A" w:rsidRDefault="000B44E0" w:rsidP="000B44E0">
      <w:pPr>
        <w:spacing w:after="0" w:line="276" w:lineRule="auto"/>
        <w:jc w:val="both"/>
        <w:rPr>
          <w:rFonts w:ascii="Arial" w:hAnsi="Arial" w:cs="Arial"/>
          <w:color w:val="000000"/>
          <w:sz w:val="20"/>
          <w:szCs w:val="20"/>
          <w:lang w:val="es-ES"/>
        </w:rPr>
      </w:pPr>
      <w:r w:rsidRPr="0009028A">
        <w:rPr>
          <w:rFonts w:ascii="Arial" w:hAnsi="Arial" w:cs="Arial"/>
          <w:color w:val="000000"/>
          <w:sz w:val="20"/>
          <w:szCs w:val="20"/>
          <w:lang w:val="es-ES"/>
        </w:rPr>
        <w:t xml:space="preserve">La Compañía no posee compromisos contractuales para la adquisición de propiedades, planta y equipo; adicionalmente, no se obtuvo compensaciones por parte de terceros por propiedades, planta y equipo deteriorados de valor, perdidos o abandonados. Odinsa S.A posee las pólizas de seguros adecuadas para proteger sus activos productivos, cuya cobertura comprende principalmente daños materiales causados por incendio, terremoto, corriente débil, desastres naturales, terrorismo y otros riesgos. </w:t>
      </w:r>
    </w:p>
    <w:p w14:paraId="3974A4F9" w14:textId="77777777" w:rsidR="000B44E0" w:rsidRPr="0009028A" w:rsidRDefault="000B44E0" w:rsidP="000B44E0">
      <w:pPr>
        <w:spacing w:after="0" w:line="276" w:lineRule="auto"/>
        <w:jc w:val="both"/>
        <w:rPr>
          <w:rFonts w:ascii="Arial" w:hAnsi="Arial" w:cs="Arial"/>
          <w:color w:val="000000"/>
          <w:sz w:val="20"/>
          <w:szCs w:val="20"/>
          <w:lang w:val="es-ES"/>
        </w:rPr>
      </w:pPr>
    </w:p>
    <w:p w14:paraId="05EB27A1" w14:textId="0B0BFC0E" w:rsidR="002A6175" w:rsidRPr="0009028A" w:rsidRDefault="000B44E0" w:rsidP="00A171A1">
      <w:pPr>
        <w:spacing w:after="0" w:line="276" w:lineRule="auto"/>
        <w:jc w:val="both"/>
        <w:rPr>
          <w:rFonts w:ascii="Arial" w:hAnsi="Arial" w:cs="Arial"/>
          <w:color w:val="000000"/>
          <w:sz w:val="20"/>
          <w:szCs w:val="20"/>
          <w:lang w:val="es-ES"/>
        </w:rPr>
      </w:pPr>
      <w:r w:rsidRPr="0009028A">
        <w:rPr>
          <w:rFonts w:ascii="Arial" w:hAnsi="Arial" w:cs="Arial"/>
          <w:color w:val="000000"/>
          <w:sz w:val="20"/>
          <w:szCs w:val="20"/>
          <w:lang w:val="es-ES"/>
        </w:rPr>
        <w:t>La Compañía no ha tenido ningún cambio de estimación contable que tenga incidencia significativa en el período que afecte el valor residual, vidas úti</w:t>
      </w:r>
      <w:r w:rsidR="002D21EB">
        <w:rPr>
          <w:rFonts w:ascii="Arial" w:hAnsi="Arial" w:cs="Arial"/>
          <w:color w:val="000000"/>
          <w:sz w:val="20"/>
          <w:szCs w:val="20"/>
          <w:lang w:val="es-ES"/>
        </w:rPr>
        <w:t xml:space="preserve">les y métodos de depreciación. </w:t>
      </w:r>
    </w:p>
    <w:p w14:paraId="7266CFA6" w14:textId="77777777" w:rsidR="00C46D94" w:rsidRPr="0009028A" w:rsidRDefault="00C46D94" w:rsidP="00A171A1">
      <w:pPr>
        <w:spacing w:after="0" w:line="276" w:lineRule="auto"/>
        <w:jc w:val="both"/>
        <w:rPr>
          <w:rFonts w:ascii="Arial" w:hAnsi="Arial" w:cs="Arial"/>
          <w:color w:val="000000"/>
          <w:sz w:val="20"/>
          <w:szCs w:val="20"/>
          <w:lang w:val="es-ES"/>
        </w:rPr>
      </w:pPr>
    </w:p>
    <w:p w14:paraId="53B91ED5" w14:textId="0CD20208" w:rsidR="008B5836" w:rsidRPr="00D100F1" w:rsidRDefault="00023287" w:rsidP="00D100F1">
      <w:pPr>
        <w:pStyle w:val="Ttulo1"/>
      </w:pPr>
      <w:bookmarkStart w:id="288" w:name="_Toc506991921"/>
      <w:bookmarkStart w:id="289" w:name="_Toc8735099"/>
      <w:r w:rsidRPr="0009028A">
        <w:t>Nota</w:t>
      </w:r>
      <w:r w:rsidR="008B5836" w:rsidRPr="0009028A">
        <w:t xml:space="preserve"> </w:t>
      </w:r>
      <w:r w:rsidR="00835D2D" w:rsidRPr="0009028A">
        <w:t>1</w:t>
      </w:r>
      <w:r w:rsidR="00964E83">
        <w:t>1</w:t>
      </w:r>
      <w:r w:rsidR="008B5836" w:rsidRPr="0009028A">
        <w:t xml:space="preserve">: </w:t>
      </w:r>
      <w:bookmarkEnd w:id="288"/>
      <w:r w:rsidR="00D100F1" w:rsidRPr="00D100F1">
        <w:t>Inversiones en asociadas y negocios conjuntos</w:t>
      </w:r>
      <w:bookmarkEnd w:id="289"/>
    </w:p>
    <w:p w14:paraId="7FE0AB24" w14:textId="186D6F81" w:rsidR="008B5836" w:rsidRPr="0009028A" w:rsidRDefault="00835D2D" w:rsidP="009B5911">
      <w:pPr>
        <w:pStyle w:val="Ttulo2"/>
        <w:spacing w:afterAutospacing="0"/>
        <w:rPr>
          <w:rFonts w:ascii="Arial" w:hAnsi="Arial" w:cs="Arial"/>
        </w:rPr>
      </w:pPr>
      <w:bookmarkStart w:id="290" w:name="_Toc506991922"/>
      <w:bookmarkStart w:id="291" w:name="_Toc8735100"/>
      <w:r w:rsidRPr="0009028A">
        <w:rPr>
          <w:rFonts w:ascii="Arial" w:hAnsi="Arial" w:cs="Arial"/>
        </w:rPr>
        <w:t>1</w:t>
      </w:r>
      <w:r w:rsidR="00964E83">
        <w:rPr>
          <w:rFonts w:ascii="Arial" w:hAnsi="Arial" w:cs="Arial"/>
        </w:rPr>
        <w:t>1</w:t>
      </w:r>
      <w:r w:rsidR="008B5836" w:rsidRPr="0009028A">
        <w:rPr>
          <w:rFonts w:ascii="Arial" w:hAnsi="Arial" w:cs="Arial"/>
        </w:rPr>
        <w:t>.1 Información general de las asociadas y negocios conjuntos</w:t>
      </w:r>
      <w:bookmarkEnd w:id="290"/>
      <w:bookmarkEnd w:id="291"/>
    </w:p>
    <w:p w14:paraId="69127525" w14:textId="77777777" w:rsidR="009B5911" w:rsidRPr="0009028A" w:rsidRDefault="009B5911" w:rsidP="008B5836">
      <w:pPr>
        <w:pStyle w:val="Textocomentario"/>
        <w:spacing w:after="0"/>
        <w:jc w:val="both"/>
        <w:rPr>
          <w:rFonts w:ascii="Arial" w:eastAsia="Arial" w:hAnsi="Arial" w:cs="Arial"/>
          <w:lang w:val="es-AR"/>
        </w:rPr>
      </w:pPr>
    </w:p>
    <w:p w14:paraId="0424EA08" w14:textId="77777777" w:rsidR="008B5836" w:rsidRPr="0009028A" w:rsidRDefault="008B5836" w:rsidP="008B5836">
      <w:pPr>
        <w:pStyle w:val="Textocomentario"/>
        <w:spacing w:after="0"/>
        <w:jc w:val="both"/>
        <w:rPr>
          <w:rFonts w:ascii="Arial" w:eastAsia="Arial" w:hAnsi="Arial" w:cs="Arial"/>
          <w:lang w:val="es-AR"/>
        </w:rPr>
      </w:pPr>
      <w:r w:rsidRPr="0009028A">
        <w:rPr>
          <w:rFonts w:ascii="Arial" w:eastAsia="Arial" w:hAnsi="Arial" w:cs="Arial"/>
          <w:lang w:val="es-AR"/>
        </w:rPr>
        <w:t>A continuación, se detalla la información general de las asociadas y negocios conjuntos durante los períodos indicados:</w:t>
      </w:r>
    </w:p>
    <w:p w14:paraId="1732E35D" w14:textId="77777777" w:rsidR="000A3E80" w:rsidRPr="0009028A" w:rsidRDefault="000A3E80" w:rsidP="008B5836">
      <w:pPr>
        <w:pStyle w:val="Textocomentario"/>
        <w:spacing w:after="0"/>
        <w:jc w:val="both"/>
        <w:rPr>
          <w:rFonts w:ascii="Arial" w:eastAsia="Arial" w:hAnsi="Arial" w:cs="Arial"/>
          <w:b/>
          <w:lang w:val="es-AR"/>
        </w:rPr>
      </w:pPr>
    </w:p>
    <w:p w14:paraId="164931F1" w14:textId="77777777" w:rsidR="000A3E80" w:rsidRPr="0009028A" w:rsidRDefault="000A3E80" w:rsidP="008B5836">
      <w:pPr>
        <w:pStyle w:val="Textocomentario"/>
        <w:spacing w:after="0"/>
        <w:jc w:val="both"/>
        <w:rPr>
          <w:rFonts w:ascii="Arial" w:eastAsia="Arial" w:hAnsi="Arial" w:cs="Arial"/>
          <w:b/>
          <w:lang w:val="es-AR"/>
        </w:rPr>
      </w:pPr>
    </w:p>
    <w:tbl>
      <w:tblPr>
        <w:tblW w:w="10102" w:type="dxa"/>
        <w:tblCellMar>
          <w:left w:w="70" w:type="dxa"/>
          <w:right w:w="70" w:type="dxa"/>
        </w:tblCellMar>
        <w:tblLook w:val="04A0" w:firstRow="1" w:lastRow="0" w:firstColumn="1" w:lastColumn="0" w:noHBand="0" w:noVBand="1"/>
      </w:tblPr>
      <w:tblGrid>
        <w:gridCol w:w="1985"/>
        <w:gridCol w:w="1701"/>
        <w:gridCol w:w="992"/>
        <w:gridCol w:w="992"/>
        <w:gridCol w:w="993"/>
        <w:gridCol w:w="1134"/>
        <w:gridCol w:w="1134"/>
        <w:gridCol w:w="141"/>
        <w:gridCol w:w="889"/>
        <w:gridCol w:w="141"/>
      </w:tblGrid>
      <w:tr w:rsidR="000A3E80" w:rsidRPr="0009028A" w14:paraId="40E3759A" w14:textId="77777777" w:rsidTr="004175EB">
        <w:trPr>
          <w:gridAfter w:val="1"/>
          <w:wAfter w:w="141" w:type="dxa"/>
          <w:trHeight w:val="465"/>
        </w:trPr>
        <w:tc>
          <w:tcPr>
            <w:tcW w:w="1985" w:type="dxa"/>
            <w:shd w:val="clear" w:color="auto" w:fill="auto"/>
            <w:vAlign w:val="center"/>
            <w:hideMark/>
          </w:tcPr>
          <w:p w14:paraId="110DA526" w14:textId="77777777" w:rsidR="000A3E80" w:rsidRPr="0009028A" w:rsidRDefault="000A3E80" w:rsidP="004175EB">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Razón social asociada o negocio conjunto</w:t>
            </w:r>
          </w:p>
        </w:tc>
        <w:tc>
          <w:tcPr>
            <w:tcW w:w="1701" w:type="dxa"/>
            <w:shd w:val="clear" w:color="auto" w:fill="auto"/>
            <w:vAlign w:val="center"/>
            <w:hideMark/>
          </w:tcPr>
          <w:p w14:paraId="538557EE" w14:textId="77777777" w:rsidR="000A3E80" w:rsidRPr="0009028A" w:rsidRDefault="000A3E80" w:rsidP="004175EB">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Actividad principal</w:t>
            </w:r>
          </w:p>
        </w:tc>
        <w:tc>
          <w:tcPr>
            <w:tcW w:w="992" w:type="dxa"/>
            <w:shd w:val="clear" w:color="auto" w:fill="auto"/>
            <w:vAlign w:val="center"/>
            <w:hideMark/>
          </w:tcPr>
          <w:p w14:paraId="3D8B16FC" w14:textId="77777777" w:rsidR="000A3E80" w:rsidRPr="0009028A" w:rsidRDefault="000A3E80" w:rsidP="004175EB">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País</w:t>
            </w:r>
          </w:p>
        </w:tc>
        <w:tc>
          <w:tcPr>
            <w:tcW w:w="1985" w:type="dxa"/>
            <w:gridSpan w:val="2"/>
            <w:shd w:val="clear" w:color="auto" w:fill="auto"/>
            <w:vAlign w:val="center"/>
            <w:hideMark/>
          </w:tcPr>
          <w:p w14:paraId="1BFD8D01" w14:textId="77777777" w:rsidR="000A3E80" w:rsidRPr="0009028A" w:rsidRDefault="000A3E80" w:rsidP="004175EB">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Porción de participación y poder de voto</w:t>
            </w:r>
          </w:p>
        </w:tc>
        <w:tc>
          <w:tcPr>
            <w:tcW w:w="1134" w:type="dxa"/>
            <w:shd w:val="clear" w:color="auto" w:fill="auto"/>
            <w:vAlign w:val="center"/>
            <w:hideMark/>
          </w:tcPr>
          <w:p w14:paraId="69170F77" w14:textId="112BA572" w:rsidR="000A3E80" w:rsidRPr="0009028A" w:rsidRDefault="000A3E80" w:rsidP="004175EB">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Clasificación de la inversión</w:t>
            </w:r>
          </w:p>
        </w:tc>
        <w:tc>
          <w:tcPr>
            <w:tcW w:w="2164" w:type="dxa"/>
            <w:gridSpan w:val="3"/>
            <w:shd w:val="clear" w:color="auto" w:fill="auto"/>
            <w:vAlign w:val="center"/>
            <w:hideMark/>
          </w:tcPr>
          <w:p w14:paraId="34B93999" w14:textId="77777777" w:rsidR="000A3E80" w:rsidRPr="0009028A" w:rsidRDefault="000A3E80" w:rsidP="004175EB">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Valor en libros</w:t>
            </w:r>
          </w:p>
        </w:tc>
      </w:tr>
      <w:tr w:rsidR="00650313" w:rsidRPr="0009028A" w14:paraId="1F1F4DBA" w14:textId="77777777" w:rsidTr="0067119C">
        <w:trPr>
          <w:gridAfter w:val="1"/>
          <w:wAfter w:w="141" w:type="dxa"/>
          <w:trHeight w:val="97"/>
        </w:trPr>
        <w:tc>
          <w:tcPr>
            <w:tcW w:w="1985" w:type="dxa"/>
            <w:vMerge w:val="restart"/>
            <w:shd w:val="clear" w:color="auto" w:fill="auto"/>
            <w:noWrap/>
            <w:vAlign w:val="center"/>
            <w:hideMark/>
          </w:tcPr>
          <w:p w14:paraId="712378AC" w14:textId="77777777" w:rsidR="000A3E80" w:rsidRPr="0009028A" w:rsidRDefault="000A3E80" w:rsidP="000A3E80">
            <w:pPr>
              <w:spacing w:after="0" w:line="240" w:lineRule="auto"/>
              <w:rPr>
                <w:rFonts w:ascii="Arial" w:eastAsia="Times New Roman" w:hAnsi="Arial" w:cs="Arial"/>
                <w:b/>
                <w:bCs/>
                <w:color w:val="000000"/>
                <w:sz w:val="16"/>
                <w:szCs w:val="16"/>
                <w:lang w:eastAsia="es-CO"/>
              </w:rPr>
            </w:pPr>
            <w:r w:rsidRPr="0009028A">
              <w:rPr>
                <w:rFonts w:ascii="Arial" w:eastAsia="Times New Roman" w:hAnsi="Arial" w:cs="Arial"/>
                <w:b/>
                <w:bCs/>
                <w:color w:val="000000"/>
                <w:sz w:val="16"/>
                <w:szCs w:val="16"/>
                <w:lang w:eastAsia="es-CO"/>
              </w:rPr>
              <w:t> </w:t>
            </w:r>
          </w:p>
        </w:tc>
        <w:tc>
          <w:tcPr>
            <w:tcW w:w="1701" w:type="dxa"/>
            <w:vMerge w:val="restart"/>
            <w:shd w:val="clear" w:color="auto" w:fill="auto"/>
            <w:noWrap/>
            <w:vAlign w:val="center"/>
            <w:hideMark/>
          </w:tcPr>
          <w:p w14:paraId="78D9559E" w14:textId="77777777" w:rsidR="000A3E80" w:rsidRPr="0009028A" w:rsidRDefault="000A3E80" w:rsidP="000A3E80">
            <w:pPr>
              <w:spacing w:after="0" w:line="240" w:lineRule="auto"/>
              <w:rPr>
                <w:rFonts w:ascii="Arial" w:eastAsia="Times New Roman" w:hAnsi="Arial" w:cs="Arial"/>
                <w:b/>
                <w:bCs/>
                <w:color w:val="000000"/>
                <w:sz w:val="16"/>
                <w:szCs w:val="16"/>
                <w:lang w:eastAsia="es-CO"/>
              </w:rPr>
            </w:pPr>
            <w:r w:rsidRPr="0009028A">
              <w:rPr>
                <w:rFonts w:ascii="Arial" w:eastAsia="Times New Roman" w:hAnsi="Arial" w:cs="Arial"/>
                <w:b/>
                <w:bCs/>
                <w:color w:val="000000"/>
                <w:sz w:val="16"/>
                <w:szCs w:val="16"/>
                <w:lang w:eastAsia="es-CO"/>
              </w:rPr>
              <w:t> </w:t>
            </w:r>
          </w:p>
        </w:tc>
        <w:tc>
          <w:tcPr>
            <w:tcW w:w="992" w:type="dxa"/>
            <w:vMerge w:val="restart"/>
            <w:shd w:val="clear" w:color="auto" w:fill="auto"/>
            <w:noWrap/>
            <w:vAlign w:val="center"/>
            <w:hideMark/>
          </w:tcPr>
          <w:p w14:paraId="44B68768" w14:textId="77777777" w:rsidR="000A3E80" w:rsidRPr="0009028A" w:rsidRDefault="000A3E80" w:rsidP="000A3E80">
            <w:pPr>
              <w:spacing w:after="0" w:line="240" w:lineRule="auto"/>
              <w:rPr>
                <w:rFonts w:ascii="Arial" w:eastAsia="Times New Roman" w:hAnsi="Arial" w:cs="Arial"/>
                <w:b/>
                <w:bCs/>
                <w:color w:val="000000"/>
                <w:sz w:val="16"/>
                <w:szCs w:val="16"/>
                <w:lang w:eastAsia="es-CO"/>
              </w:rPr>
            </w:pPr>
            <w:r w:rsidRPr="0009028A">
              <w:rPr>
                <w:rFonts w:ascii="Arial" w:eastAsia="Times New Roman" w:hAnsi="Arial" w:cs="Arial"/>
                <w:b/>
                <w:bCs/>
                <w:color w:val="000000"/>
                <w:sz w:val="16"/>
                <w:szCs w:val="16"/>
                <w:lang w:eastAsia="es-CO"/>
              </w:rPr>
              <w:t> </w:t>
            </w:r>
          </w:p>
        </w:tc>
        <w:tc>
          <w:tcPr>
            <w:tcW w:w="992" w:type="dxa"/>
            <w:shd w:val="clear" w:color="auto" w:fill="auto"/>
            <w:noWrap/>
            <w:vAlign w:val="center"/>
            <w:hideMark/>
          </w:tcPr>
          <w:p w14:paraId="2975881C" w14:textId="77777777" w:rsidR="000A3E80" w:rsidRPr="0009028A" w:rsidRDefault="000A3E80" w:rsidP="000A3E80">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Marzo</w:t>
            </w:r>
          </w:p>
        </w:tc>
        <w:tc>
          <w:tcPr>
            <w:tcW w:w="993" w:type="dxa"/>
            <w:vMerge w:val="restart"/>
            <w:shd w:val="clear" w:color="auto" w:fill="auto"/>
            <w:noWrap/>
            <w:vAlign w:val="center"/>
            <w:hideMark/>
          </w:tcPr>
          <w:p w14:paraId="1CF36028" w14:textId="77777777" w:rsidR="000A3E80" w:rsidRPr="0009028A" w:rsidRDefault="000A3E80" w:rsidP="000A3E80">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Diciembre</w:t>
            </w:r>
          </w:p>
          <w:p w14:paraId="3FBCAB09" w14:textId="77777777" w:rsidR="000A3E80" w:rsidRPr="0009028A" w:rsidRDefault="000A3E80" w:rsidP="000A3E80">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2018</w:t>
            </w:r>
          </w:p>
        </w:tc>
        <w:tc>
          <w:tcPr>
            <w:tcW w:w="1134" w:type="dxa"/>
            <w:vMerge w:val="restart"/>
            <w:shd w:val="clear" w:color="auto" w:fill="auto"/>
            <w:noWrap/>
            <w:vAlign w:val="center"/>
            <w:hideMark/>
          </w:tcPr>
          <w:p w14:paraId="43FA3D34" w14:textId="77777777" w:rsidR="000A3E80" w:rsidRPr="0009028A" w:rsidRDefault="000A3E80" w:rsidP="000A3E80">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 </w:t>
            </w:r>
          </w:p>
        </w:tc>
        <w:tc>
          <w:tcPr>
            <w:tcW w:w="1134" w:type="dxa"/>
            <w:shd w:val="clear" w:color="auto" w:fill="auto"/>
            <w:noWrap/>
            <w:vAlign w:val="center"/>
            <w:hideMark/>
          </w:tcPr>
          <w:p w14:paraId="720AD1EC" w14:textId="77777777" w:rsidR="000A3E80" w:rsidRPr="0009028A" w:rsidRDefault="000A3E80" w:rsidP="000A3E80">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Marzo</w:t>
            </w:r>
          </w:p>
        </w:tc>
        <w:tc>
          <w:tcPr>
            <w:tcW w:w="1030" w:type="dxa"/>
            <w:gridSpan w:val="2"/>
            <w:shd w:val="clear" w:color="auto" w:fill="auto"/>
            <w:noWrap/>
            <w:vAlign w:val="center"/>
            <w:hideMark/>
          </w:tcPr>
          <w:p w14:paraId="2424495D" w14:textId="77777777" w:rsidR="000A3E80" w:rsidRPr="0009028A" w:rsidRDefault="000A3E80" w:rsidP="000A3E80">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Diciembre</w:t>
            </w:r>
          </w:p>
        </w:tc>
      </w:tr>
      <w:tr w:rsidR="00650313" w:rsidRPr="0009028A" w14:paraId="7CC06E56" w14:textId="77777777" w:rsidTr="0067119C">
        <w:trPr>
          <w:gridAfter w:val="1"/>
          <w:wAfter w:w="141" w:type="dxa"/>
          <w:trHeight w:val="60"/>
        </w:trPr>
        <w:tc>
          <w:tcPr>
            <w:tcW w:w="1985" w:type="dxa"/>
            <w:vMerge/>
            <w:shd w:val="clear" w:color="auto" w:fill="auto"/>
            <w:vAlign w:val="center"/>
            <w:hideMark/>
          </w:tcPr>
          <w:p w14:paraId="0EF5A35A" w14:textId="77777777" w:rsidR="000A3E80" w:rsidRPr="0009028A" w:rsidRDefault="000A3E80" w:rsidP="000A3E80">
            <w:pPr>
              <w:spacing w:after="0" w:line="240" w:lineRule="auto"/>
              <w:rPr>
                <w:rFonts w:ascii="Arial" w:eastAsia="Times New Roman" w:hAnsi="Arial" w:cs="Arial"/>
                <w:b/>
                <w:bCs/>
                <w:color w:val="000000"/>
                <w:sz w:val="16"/>
                <w:szCs w:val="16"/>
                <w:lang w:eastAsia="es-CO"/>
              </w:rPr>
            </w:pPr>
          </w:p>
        </w:tc>
        <w:tc>
          <w:tcPr>
            <w:tcW w:w="1701" w:type="dxa"/>
            <w:vMerge/>
            <w:shd w:val="clear" w:color="auto" w:fill="auto"/>
            <w:vAlign w:val="center"/>
            <w:hideMark/>
          </w:tcPr>
          <w:p w14:paraId="008871D1" w14:textId="77777777" w:rsidR="000A3E80" w:rsidRPr="0009028A" w:rsidRDefault="000A3E80" w:rsidP="000A3E80">
            <w:pPr>
              <w:spacing w:after="0" w:line="240" w:lineRule="auto"/>
              <w:rPr>
                <w:rFonts w:ascii="Arial" w:eastAsia="Times New Roman" w:hAnsi="Arial" w:cs="Arial"/>
                <w:b/>
                <w:bCs/>
                <w:color w:val="000000"/>
                <w:sz w:val="16"/>
                <w:szCs w:val="16"/>
                <w:lang w:eastAsia="es-CO"/>
              </w:rPr>
            </w:pPr>
          </w:p>
        </w:tc>
        <w:tc>
          <w:tcPr>
            <w:tcW w:w="992" w:type="dxa"/>
            <w:vMerge/>
            <w:shd w:val="clear" w:color="auto" w:fill="auto"/>
            <w:vAlign w:val="center"/>
            <w:hideMark/>
          </w:tcPr>
          <w:p w14:paraId="0D83024C" w14:textId="77777777" w:rsidR="000A3E80" w:rsidRPr="0009028A" w:rsidRDefault="000A3E80" w:rsidP="000A3E80">
            <w:pPr>
              <w:spacing w:after="0" w:line="240" w:lineRule="auto"/>
              <w:rPr>
                <w:rFonts w:ascii="Arial" w:eastAsia="Times New Roman" w:hAnsi="Arial" w:cs="Arial"/>
                <w:b/>
                <w:bCs/>
                <w:color w:val="000000"/>
                <w:sz w:val="16"/>
                <w:szCs w:val="16"/>
                <w:lang w:eastAsia="es-CO"/>
              </w:rPr>
            </w:pPr>
          </w:p>
        </w:tc>
        <w:tc>
          <w:tcPr>
            <w:tcW w:w="992" w:type="dxa"/>
            <w:shd w:val="clear" w:color="auto" w:fill="auto"/>
            <w:noWrap/>
            <w:vAlign w:val="center"/>
            <w:hideMark/>
          </w:tcPr>
          <w:p w14:paraId="75FBC6E5" w14:textId="77777777" w:rsidR="000A3E80" w:rsidRPr="0009028A" w:rsidRDefault="000A3E80" w:rsidP="000A3E80">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2019</w:t>
            </w:r>
          </w:p>
        </w:tc>
        <w:tc>
          <w:tcPr>
            <w:tcW w:w="993" w:type="dxa"/>
            <w:vMerge/>
            <w:shd w:val="clear" w:color="auto" w:fill="auto"/>
            <w:vAlign w:val="center"/>
            <w:hideMark/>
          </w:tcPr>
          <w:p w14:paraId="570A27C1" w14:textId="77777777" w:rsidR="000A3E80" w:rsidRPr="0009028A" w:rsidRDefault="000A3E80" w:rsidP="000A3E80">
            <w:pPr>
              <w:spacing w:after="0" w:line="240" w:lineRule="auto"/>
              <w:rPr>
                <w:rFonts w:ascii="Arial" w:eastAsia="Times New Roman" w:hAnsi="Arial" w:cs="Arial"/>
                <w:b/>
                <w:bCs/>
                <w:color w:val="103475"/>
                <w:sz w:val="16"/>
                <w:szCs w:val="16"/>
                <w:lang w:eastAsia="es-CO"/>
              </w:rPr>
            </w:pPr>
          </w:p>
        </w:tc>
        <w:tc>
          <w:tcPr>
            <w:tcW w:w="1134" w:type="dxa"/>
            <w:vMerge/>
            <w:shd w:val="clear" w:color="auto" w:fill="auto"/>
            <w:vAlign w:val="center"/>
            <w:hideMark/>
          </w:tcPr>
          <w:p w14:paraId="3BA3F034" w14:textId="77777777" w:rsidR="000A3E80" w:rsidRPr="0009028A" w:rsidRDefault="000A3E80" w:rsidP="000A3E80">
            <w:pPr>
              <w:spacing w:after="0" w:line="240" w:lineRule="auto"/>
              <w:rPr>
                <w:rFonts w:ascii="Arial" w:eastAsia="Times New Roman" w:hAnsi="Arial" w:cs="Arial"/>
                <w:b/>
                <w:bCs/>
                <w:color w:val="103475"/>
                <w:sz w:val="16"/>
                <w:szCs w:val="16"/>
                <w:lang w:eastAsia="es-CO"/>
              </w:rPr>
            </w:pPr>
          </w:p>
        </w:tc>
        <w:tc>
          <w:tcPr>
            <w:tcW w:w="1134" w:type="dxa"/>
            <w:shd w:val="clear" w:color="auto" w:fill="auto"/>
            <w:noWrap/>
            <w:vAlign w:val="center"/>
            <w:hideMark/>
          </w:tcPr>
          <w:p w14:paraId="1B42D39C" w14:textId="77777777" w:rsidR="000A3E80" w:rsidRPr="0009028A" w:rsidRDefault="000A3E80" w:rsidP="000A3E80">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2019</w:t>
            </w:r>
          </w:p>
        </w:tc>
        <w:tc>
          <w:tcPr>
            <w:tcW w:w="1030" w:type="dxa"/>
            <w:gridSpan w:val="2"/>
            <w:shd w:val="clear" w:color="auto" w:fill="auto"/>
            <w:noWrap/>
            <w:vAlign w:val="center"/>
            <w:hideMark/>
          </w:tcPr>
          <w:p w14:paraId="6DBCBD8B" w14:textId="77777777" w:rsidR="000A3E80" w:rsidRPr="0009028A" w:rsidRDefault="000A3E80" w:rsidP="000A3E80">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2018</w:t>
            </w:r>
          </w:p>
        </w:tc>
      </w:tr>
      <w:tr w:rsidR="000A3E80" w:rsidRPr="0009028A" w14:paraId="2A8A784B" w14:textId="77777777" w:rsidTr="00A43D62">
        <w:trPr>
          <w:trHeight w:val="300"/>
        </w:trPr>
        <w:tc>
          <w:tcPr>
            <w:tcW w:w="1985" w:type="dxa"/>
            <w:shd w:val="clear" w:color="auto" w:fill="auto"/>
            <w:noWrap/>
            <w:vAlign w:val="bottom"/>
            <w:hideMark/>
          </w:tcPr>
          <w:p w14:paraId="7D55C85C" w14:textId="77777777" w:rsidR="000A3E80" w:rsidRPr="0009028A" w:rsidRDefault="000A3E80" w:rsidP="00A43D62">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Concesión La Pintada S</w:t>
            </w:r>
            <w:r w:rsidR="005744AF" w:rsidRPr="0009028A">
              <w:rPr>
                <w:rFonts w:ascii="Arial" w:eastAsia="Times New Roman" w:hAnsi="Arial" w:cs="Arial"/>
                <w:color w:val="000000"/>
                <w:sz w:val="16"/>
                <w:szCs w:val="16"/>
                <w:lang w:eastAsia="es-CO"/>
              </w:rPr>
              <w:t>.</w:t>
            </w:r>
            <w:r w:rsidRPr="0009028A">
              <w:rPr>
                <w:rFonts w:ascii="Arial" w:eastAsia="Times New Roman" w:hAnsi="Arial" w:cs="Arial"/>
                <w:color w:val="000000"/>
                <w:sz w:val="16"/>
                <w:szCs w:val="16"/>
                <w:lang w:eastAsia="es-CO"/>
              </w:rPr>
              <w:t>A</w:t>
            </w:r>
            <w:r w:rsidR="005744AF" w:rsidRPr="0009028A">
              <w:rPr>
                <w:rFonts w:ascii="Arial" w:eastAsia="Times New Roman" w:hAnsi="Arial" w:cs="Arial"/>
                <w:color w:val="000000"/>
                <w:sz w:val="16"/>
                <w:szCs w:val="16"/>
                <w:lang w:eastAsia="es-CO"/>
              </w:rPr>
              <w:t>.</w:t>
            </w:r>
            <w:r w:rsidRPr="0009028A">
              <w:rPr>
                <w:rFonts w:ascii="Arial" w:eastAsia="Times New Roman" w:hAnsi="Arial" w:cs="Arial"/>
                <w:color w:val="000000"/>
                <w:sz w:val="16"/>
                <w:szCs w:val="16"/>
                <w:lang w:eastAsia="es-CO"/>
              </w:rPr>
              <w:t>S</w:t>
            </w:r>
            <w:r w:rsidR="005744AF" w:rsidRPr="0009028A">
              <w:rPr>
                <w:rFonts w:ascii="Arial" w:eastAsia="Times New Roman" w:hAnsi="Arial" w:cs="Arial"/>
                <w:color w:val="000000"/>
                <w:sz w:val="16"/>
                <w:szCs w:val="16"/>
                <w:lang w:eastAsia="es-CO"/>
              </w:rPr>
              <w:t>.</w:t>
            </w:r>
          </w:p>
        </w:tc>
        <w:tc>
          <w:tcPr>
            <w:tcW w:w="1701" w:type="dxa"/>
            <w:shd w:val="clear" w:color="auto" w:fill="auto"/>
            <w:noWrap/>
            <w:vAlign w:val="bottom"/>
            <w:hideMark/>
          </w:tcPr>
          <w:p w14:paraId="5EF459A5" w14:textId="77777777" w:rsidR="000A3E80" w:rsidRPr="0009028A" w:rsidRDefault="00C93A20"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Construcción</w:t>
            </w:r>
          </w:p>
        </w:tc>
        <w:tc>
          <w:tcPr>
            <w:tcW w:w="992" w:type="dxa"/>
            <w:shd w:val="clear" w:color="auto" w:fill="auto"/>
            <w:noWrap/>
            <w:vAlign w:val="bottom"/>
            <w:hideMark/>
          </w:tcPr>
          <w:p w14:paraId="5F200241" w14:textId="77777777" w:rsidR="000A3E80" w:rsidRPr="0009028A" w:rsidRDefault="000A3E80"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Colombia</w:t>
            </w:r>
          </w:p>
        </w:tc>
        <w:tc>
          <w:tcPr>
            <w:tcW w:w="992" w:type="dxa"/>
            <w:shd w:val="clear" w:color="auto" w:fill="auto"/>
            <w:noWrap/>
            <w:vAlign w:val="bottom"/>
            <w:hideMark/>
          </w:tcPr>
          <w:p w14:paraId="6A03665B"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78,85%</w:t>
            </w:r>
          </w:p>
        </w:tc>
        <w:tc>
          <w:tcPr>
            <w:tcW w:w="993" w:type="dxa"/>
            <w:shd w:val="clear" w:color="auto" w:fill="auto"/>
            <w:noWrap/>
            <w:vAlign w:val="bottom"/>
            <w:hideMark/>
          </w:tcPr>
          <w:p w14:paraId="1F7A9CBC"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78,85%</w:t>
            </w:r>
          </w:p>
        </w:tc>
        <w:tc>
          <w:tcPr>
            <w:tcW w:w="1134" w:type="dxa"/>
            <w:shd w:val="clear" w:color="auto" w:fill="auto"/>
            <w:noWrap/>
            <w:vAlign w:val="bottom"/>
            <w:hideMark/>
          </w:tcPr>
          <w:p w14:paraId="3DDB8C73"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Asociadas</w:t>
            </w:r>
          </w:p>
        </w:tc>
        <w:tc>
          <w:tcPr>
            <w:tcW w:w="1275" w:type="dxa"/>
            <w:gridSpan w:val="2"/>
            <w:shd w:val="clear" w:color="auto" w:fill="auto"/>
            <w:noWrap/>
            <w:vAlign w:val="bottom"/>
            <w:hideMark/>
          </w:tcPr>
          <w:p w14:paraId="2AA7DB70" w14:textId="77777777" w:rsidR="000A3E80" w:rsidRPr="0009028A" w:rsidRDefault="0067119C" w:rsidP="0067119C">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 </w:t>
            </w:r>
            <w:r w:rsidR="000A3E80" w:rsidRPr="0009028A">
              <w:rPr>
                <w:rFonts w:ascii="Arial" w:eastAsia="Times New Roman" w:hAnsi="Arial" w:cs="Arial"/>
                <w:color w:val="000000"/>
                <w:sz w:val="16"/>
                <w:szCs w:val="16"/>
                <w:lang w:eastAsia="es-CO"/>
              </w:rPr>
              <w:t>344.490.046</w:t>
            </w:r>
          </w:p>
        </w:tc>
        <w:tc>
          <w:tcPr>
            <w:tcW w:w="1030" w:type="dxa"/>
            <w:gridSpan w:val="2"/>
            <w:shd w:val="clear" w:color="auto" w:fill="auto"/>
            <w:noWrap/>
            <w:vAlign w:val="bottom"/>
            <w:hideMark/>
          </w:tcPr>
          <w:p w14:paraId="049A325B" w14:textId="77777777" w:rsidR="000A3E80" w:rsidRPr="0009028A" w:rsidRDefault="000A3E80" w:rsidP="0067119C">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311.829.928</w:t>
            </w:r>
          </w:p>
        </w:tc>
      </w:tr>
      <w:tr w:rsidR="000A3E80" w:rsidRPr="0009028A" w14:paraId="37697A72" w14:textId="77777777" w:rsidTr="00A43D62">
        <w:trPr>
          <w:trHeight w:val="300"/>
        </w:trPr>
        <w:tc>
          <w:tcPr>
            <w:tcW w:w="1985" w:type="dxa"/>
            <w:shd w:val="clear" w:color="auto" w:fill="auto"/>
            <w:noWrap/>
            <w:vAlign w:val="bottom"/>
            <w:hideMark/>
          </w:tcPr>
          <w:p w14:paraId="1D35A7AB" w14:textId="77777777" w:rsidR="000A3E80" w:rsidRPr="0009028A" w:rsidRDefault="000A3E80" w:rsidP="00A43D62">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Sociedad Concesionaria Operadora Aeroportuaria S.A.</w:t>
            </w:r>
          </w:p>
        </w:tc>
        <w:tc>
          <w:tcPr>
            <w:tcW w:w="1701" w:type="dxa"/>
            <w:shd w:val="clear" w:color="auto" w:fill="auto"/>
            <w:noWrap/>
            <w:vAlign w:val="bottom"/>
            <w:hideMark/>
          </w:tcPr>
          <w:p w14:paraId="2E6E1D78" w14:textId="77777777" w:rsidR="000A3E80" w:rsidRPr="0009028A" w:rsidRDefault="00C93A20"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Construcción</w:t>
            </w:r>
          </w:p>
        </w:tc>
        <w:tc>
          <w:tcPr>
            <w:tcW w:w="992" w:type="dxa"/>
            <w:shd w:val="clear" w:color="auto" w:fill="auto"/>
            <w:noWrap/>
            <w:vAlign w:val="bottom"/>
            <w:hideMark/>
          </w:tcPr>
          <w:p w14:paraId="516D4FF9" w14:textId="77777777" w:rsidR="000A3E80" w:rsidRPr="0009028A" w:rsidRDefault="000A3E80"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Colombia</w:t>
            </w:r>
          </w:p>
        </w:tc>
        <w:tc>
          <w:tcPr>
            <w:tcW w:w="992" w:type="dxa"/>
            <w:shd w:val="clear" w:color="auto" w:fill="auto"/>
            <w:noWrap/>
            <w:vAlign w:val="bottom"/>
            <w:hideMark/>
          </w:tcPr>
          <w:p w14:paraId="69A1D2F4"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35,00%</w:t>
            </w:r>
          </w:p>
        </w:tc>
        <w:tc>
          <w:tcPr>
            <w:tcW w:w="993" w:type="dxa"/>
            <w:shd w:val="clear" w:color="auto" w:fill="auto"/>
            <w:noWrap/>
            <w:vAlign w:val="bottom"/>
            <w:hideMark/>
          </w:tcPr>
          <w:p w14:paraId="0026D022"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35,00%</w:t>
            </w:r>
          </w:p>
        </w:tc>
        <w:tc>
          <w:tcPr>
            <w:tcW w:w="1134" w:type="dxa"/>
            <w:shd w:val="clear" w:color="auto" w:fill="auto"/>
            <w:noWrap/>
            <w:vAlign w:val="bottom"/>
            <w:hideMark/>
          </w:tcPr>
          <w:p w14:paraId="6C0B54A2"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Asociadas</w:t>
            </w:r>
          </w:p>
        </w:tc>
        <w:tc>
          <w:tcPr>
            <w:tcW w:w="1275" w:type="dxa"/>
            <w:gridSpan w:val="2"/>
            <w:shd w:val="clear" w:color="auto" w:fill="auto"/>
            <w:noWrap/>
            <w:vAlign w:val="bottom"/>
            <w:hideMark/>
          </w:tcPr>
          <w:p w14:paraId="09BAB21C" w14:textId="77777777" w:rsidR="000A3E80" w:rsidRPr="0009028A" w:rsidRDefault="000A3E80" w:rsidP="0067119C">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169.712.331</w:t>
            </w:r>
          </w:p>
        </w:tc>
        <w:tc>
          <w:tcPr>
            <w:tcW w:w="1030" w:type="dxa"/>
            <w:gridSpan w:val="2"/>
            <w:shd w:val="clear" w:color="auto" w:fill="auto"/>
            <w:noWrap/>
            <w:vAlign w:val="bottom"/>
            <w:hideMark/>
          </w:tcPr>
          <w:p w14:paraId="5A4F8335" w14:textId="77777777" w:rsidR="000A3E80" w:rsidRPr="0009028A" w:rsidRDefault="000A3E80" w:rsidP="0067119C">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163.219.835</w:t>
            </w:r>
          </w:p>
        </w:tc>
      </w:tr>
      <w:tr w:rsidR="000A3E80" w:rsidRPr="0009028A" w14:paraId="75E410E6" w14:textId="77777777" w:rsidTr="00A43D62">
        <w:trPr>
          <w:trHeight w:val="300"/>
        </w:trPr>
        <w:tc>
          <w:tcPr>
            <w:tcW w:w="1985" w:type="dxa"/>
            <w:shd w:val="clear" w:color="auto" w:fill="auto"/>
            <w:vAlign w:val="bottom"/>
            <w:hideMark/>
          </w:tcPr>
          <w:p w14:paraId="648B3A5C" w14:textId="77777777" w:rsidR="000A3E80" w:rsidRPr="0009028A" w:rsidRDefault="000A3E80" w:rsidP="00A43D62">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Consorcio Farallones</w:t>
            </w:r>
          </w:p>
        </w:tc>
        <w:tc>
          <w:tcPr>
            <w:tcW w:w="1701" w:type="dxa"/>
            <w:shd w:val="clear" w:color="auto" w:fill="auto"/>
            <w:vAlign w:val="bottom"/>
            <w:hideMark/>
          </w:tcPr>
          <w:p w14:paraId="4C4AB82F" w14:textId="77777777" w:rsidR="000A3E80" w:rsidRPr="0009028A" w:rsidRDefault="00C93A20"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Construcción</w:t>
            </w:r>
          </w:p>
        </w:tc>
        <w:tc>
          <w:tcPr>
            <w:tcW w:w="992" w:type="dxa"/>
            <w:shd w:val="clear" w:color="auto" w:fill="auto"/>
            <w:vAlign w:val="bottom"/>
            <w:hideMark/>
          </w:tcPr>
          <w:p w14:paraId="6988B7F7" w14:textId="77777777" w:rsidR="000A3E80" w:rsidRPr="0009028A" w:rsidRDefault="000A3E80"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Colombia</w:t>
            </w:r>
          </w:p>
        </w:tc>
        <w:tc>
          <w:tcPr>
            <w:tcW w:w="992" w:type="dxa"/>
            <w:shd w:val="clear" w:color="auto" w:fill="auto"/>
            <w:vAlign w:val="bottom"/>
            <w:hideMark/>
          </w:tcPr>
          <w:p w14:paraId="3D067737"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50,00%</w:t>
            </w:r>
          </w:p>
        </w:tc>
        <w:tc>
          <w:tcPr>
            <w:tcW w:w="993" w:type="dxa"/>
            <w:shd w:val="clear" w:color="auto" w:fill="auto"/>
            <w:vAlign w:val="bottom"/>
            <w:hideMark/>
          </w:tcPr>
          <w:p w14:paraId="3C1855D1"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50,00%</w:t>
            </w:r>
          </w:p>
        </w:tc>
        <w:tc>
          <w:tcPr>
            <w:tcW w:w="1134" w:type="dxa"/>
            <w:shd w:val="clear" w:color="auto" w:fill="auto"/>
            <w:vAlign w:val="bottom"/>
            <w:hideMark/>
          </w:tcPr>
          <w:p w14:paraId="0CA10ECB"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Negocios Conjuntos</w:t>
            </w:r>
          </w:p>
        </w:tc>
        <w:tc>
          <w:tcPr>
            <w:tcW w:w="1275" w:type="dxa"/>
            <w:gridSpan w:val="2"/>
            <w:shd w:val="clear" w:color="auto" w:fill="auto"/>
            <w:vAlign w:val="bottom"/>
            <w:hideMark/>
          </w:tcPr>
          <w:p w14:paraId="19C12963" w14:textId="77777777" w:rsidR="000A3E80" w:rsidRPr="0009028A" w:rsidRDefault="000A3E80" w:rsidP="0067119C">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69.236.152</w:t>
            </w:r>
          </w:p>
        </w:tc>
        <w:tc>
          <w:tcPr>
            <w:tcW w:w="1030" w:type="dxa"/>
            <w:gridSpan w:val="2"/>
            <w:shd w:val="clear" w:color="auto" w:fill="auto"/>
            <w:vAlign w:val="bottom"/>
            <w:hideMark/>
          </w:tcPr>
          <w:p w14:paraId="225D71D1" w14:textId="77777777" w:rsidR="000A3E80" w:rsidRPr="0009028A" w:rsidRDefault="000A3E80" w:rsidP="0067119C">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62.991.958</w:t>
            </w:r>
          </w:p>
        </w:tc>
      </w:tr>
      <w:tr w:rsidR="000A3E80" w:rsidRPr="0009028A" w14:paraId="7908D94E" w14:textId="77777777" w:rsidTr="00A43D62">
        <w:trPr>
          <w:trHeight w:val="330"/>
        </w:trPr>
        <w:tc>
          <w:tcPr>
            <w:tcW w:w="1985" w:type="dxa"/>
            <w:shd w:val="clear" w:color="auto" w:fill="auto"/>
            <w:noWrap/>
            <w:vAlign w:val="bottom"/>
            <w:hideMark/>
          </w:tcPr>
          <w:p w14:paraId="49694DAD" w14:textId="77777777" w:rsidR="000A3E80" w:rsidRPr="0009028A" w:rsidRDefault="000A3E80" w:rsidP="00A43D62">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Consorcio Constructor Nuevo Dorado - CCND</w:t>
            </w:r>
          </w:p>
        </w:tc>
        <w:tc>
          <w:tcPr>
            <w:tcW w:w="1701" w:type="dxa"/>
            <w:shd w:val="clear" w:color="auto" w:fill="auto"/>
            <w:noWrap/>
            <w:vAlign w:val="bottom"/>
            <w:hideMark/>
          </w:tcPr>
          <w:p w14:paraId="67D5C514" w14:textId="77777777" w:rsidR="000A3E80" w:rsidRPr="0009028A" w:rsidRDefault="00C93A20"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Construcción</w:t>
            </w:r>
          </w:p>
        </w:tc>
        <w:tc>
          <w:tcPr>
            <w:tcW w:w="992" w:type="dxa"/>
            <w:shd w:val="clear" w:color="auto" w:fill="auto"/>
            <w:noWrap/>
            <w:vAlign w:val="bottom"/>
            <w:hideMark/>
          </w:tcPr>
          <w:p w14:paraId="0EF68B4D" w14:textId="77777777" w:rsidR="000A3E80" w:rsidRPr="0009028A" w:rsidRDefault="000A3E80"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Colombia</w:t>
            </w:r>
          </w:p>
        </w:tc>
        <w:tc>
          <w:tcPr>
            <w:tcW w:w="992" w:type="dxa"/>
            <w:shd w:val="clear" w:color="auto" w:fill="auto"/>
            <w:noWrap/>
            <w:vAlign w:val="bottom"/>
            <w:hideMark/>
          </w:tcPr>
          <w:p w14:paraId="234AC631"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35,00%</w:t>
            </w:r>
          </w:p>
        </w:tc>
        <w:tc>
          <w:tcPr>
            <w:tcW w:w="993" w:type="dxa"/>
            <w:shd w:val="clear" w:color="auto" w:fill="auto"/>
            <w:noWrap/>
            <w:vAlign w:val="bottom"/>
            <w:hideMark/>
          </w:tcPr>
          <w:p w14:paraId="06A208A4"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35,00%</w:t>
            </w:r>
          </w:p>
        </w:tc>
        <w:tc>
          <w:tcPr>
            <w:tcW w:w="1134" w:type="dxa"/>
            <w:shd w:val="clear" w:color="auto" w:fill="auto"/>
            <w:noWrap/>
            <w:vAlign w:val="bottom"/>
            <w:hideMark/>
          </w:tcPr>
          <w:p w14:paraId="11322FF5"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Negocios Conjuntos</w:t>
            </w:r>
          </w:p>
        </w:tc>
        <w:tc>
          <w:tcPr>
            <w:tcW w:w="1275" w:type="dxa"/>
            <w:gridSpan w:val="2"/>
            <w:shd w:val="clear" w:color="auto" w:fill="auto"/>
            <w:noWrap/>
            <w:vAlign w:val="bottom"/>
            <w:hideMark/>
          </w:tcPr>
          <w:p w14:paraId="4D667C35" w14:textId="77777777" w:rsidR="000A3E80" w:rsidRPr="0009028A" w:rsidRDefault="000A3E80" w:rsidP="0067119C">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10.039.276</w:t>
            </w:r>
          </w:p>
        </w:tc>
        <w:tc>
          <w:tcPr>
            <w:tcW w:w="1030" w:type="dxa"/>
            <w:gridSpan w:val="2"/>
            <w:shd w:val="clear" w:color="auto" w:fill="auto"/>
            <w:noWrap/>
            <w:vAlign w:val="bottom"/>
            <w:hideMark/>
          </w:tcPr>
          <w:p w14:paraId="6FB7CB8D" w14:textId="77777777" w:rsidR="000A3E80" w:rsidRPr="0009028A" w:rsidRDefault="000A3E80" w:rsidP="0067119C">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11.027.899</w:t>
            </w:r>
          </w:p>
        </w:tc>
      </w:tr>
      <w:tr w:rsidR="000A3E80" w:rsidRPr="0009028A" w14:paraId="4E8FAC39" w14:textId="77777777" w:rsidTr="00A43D62">
        <w:trPr>
          <w:trHeight w:val="300"/>
        </w:trPr>
        <w:tc>
          <w:tcPr>
            <w:tcW w:w="1985" w:type="dxa"/>
            <w:shd w:val="clear" w:color="auto" w:fill="auto"/>
            <w:noWrap/>
            <w:vAlign w:val="bottom"/>
            <w:hideMark/>
          </w:tcPr>
          <w:p w14:paraId="6385738E" w14:textId="77777777" w:rsidR="000A3E80" w:rsidRPr="0009028A" w:rsidRDefault="000A3E80" w:rsidP="00A43D62">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Consorcios Imhotep </w:t>
            </w:r>
          </w:p>
        </w:tc>
        <w:tc>
          <w:tcPr>
            <w:tcW w:w="1701" w:type="dxa"/>
            <w:shd w:val="clear" w:color="auto" w:fill="auto"/>
            <w:noWrap/>
            <w:vAlign w:val="bottom"/>
            <w:hideMark/>
          </w:tcPr>
          <w:p w14:paraId="11AEEFEC" w14:textId="77777777" w:rsidR="000A3E80" w:rsidRPr="0009028A" w:rsidRDefault="00C93A20"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Construcción</w:t>
            </w:r>
          </w:p>
        </w:tc>
        <w:tc>
          <w:tcPr>
            <w:tcW w:w="992" w:type="dxa"/>
            <w:shd w:val="clear" w:color="auto" w:fill="auto"/>
            <w:noWrap/>
            <w:vAlign w:val="bottom"/>
            <w:hideMark/>
          </w:tcPr>
          <w:p w14:paraId="7F36E255" w14:textId="77777777" w:rsidR="000A3E80" w:rsidRPr="0009028A" w:rsidRDefault="000A3E80"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Colombia</w:t>
            </w:r>
          </w:p>
        </w:tc>
        <w:tc>
          <w:tcPr>
            <w:tcW w:w="992" w:type="dxa"/>
            <w:shd w:val="clear" w:color="auto" w:fill="auto"/>
            <w:noWrap/>
            <w:vAlign w:val="bottom"/>
            <w:hideMark/>
          </w:tcPr>
          <w:p w14:paraId="7795E085"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50,00%</w:t>
            </w:r>
          </w:p>
        </w:tc>
        <w:tc>
          <w:tcPr>
            <w:tcW w:w="993" w:type="dxa"/>
            <w:shd w:val="clear" w:color="auto" w:fill="auto"/>
            <w:noWrap/>
            <w:vAlign w:val="bottom"/>
            <w:hideMark/>
          </w:tcPr>
          <w:p w14:paraId="4BD34215"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50,00%</w:t>
            </w:r>
          </w:p>
        </w:tc>
        <w:tc>
          <w:tcPr>
            <w:tcW w:w="1134" w:type="dxa"/>
            <w:shd w:val="clear" w:color="auto" w:fill="auto"/>
            <w:noWrap/>
            <w:vAlign w:val="bottom"/>
            <w:hideMark/>
          </w:tcPr>
          <w:p w14:paraId="029AEB89"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Negocios Conjuntos</w:t>
            </w:r>
          </w:p>
        </w:tc>
        <w:tc>
          <w:tcPr>
            <w:tcW w:w="1275" w:type="dxa"/>
            <w:gridSpan w:val="2"/>
            <w:shd w:val="clear" w:color="auto" w:fill="auto"/>
            <w:noWrap/>
            <w:vAlign w:val="bottom"/>
            <w:hideMark/>
          </w:tcPr>
          <w:p w14:paraId="0C4A9A53" w14:textId="77777777" w:rsidR="000A3E80" w:rsidRPr="0009028A" w:rsidRDefault="000A3E80" w:rsidP="0067119C">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3.549.273</w:t>
            </w:r>
          </w:p>
        </w:tc>
        <w:tc>
          <w:tcPr>
            <w:tcW w:w="1030" w:type="dxa"/>
            <w:gridSpan w:val="2"/>
            <w:shd w:val="clear" w:color="auto" w:fill="auto"/>
            <w:noWrap/>
            <w:vAlign w:val="bottom"/>
            <w:hideMark/>
          </w:tcPr>
          <w:p w14:paraId="250F146F" w14:textId="77777777" w:rsidR="000A3E80" w:rsidRPr="0009028A" w:rsidRDefault="000A3E80" w:rsidP="0067119C">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3.549.273</w:t>
            </w:r>
          </w:p>
        </w:tc>
      </w:tr>
      <w:tr w:rsidR="000A3E80" w:rsidRPr="0009028A" w14:paraId="6797FC88" w14:textId="77777777" w:rsidTr="00A43D62">
        <w:trPr>
          <w:trHeight w:val="300"/>
        </w:trPr>
        <w:tc>
          <w:tcPr>
            <w:tcW w:w="1985" w:type="dxa"/>
            <w:shd w:val="clear" w:color="auto" w:fill="auto"/>
            <w:noWrap/>
            <w:vAlign w:val="bottom"/>
            <w:hideMark/>
          </w:tcPr>
          <w:p w14:paraId="78CEE35A" w14:textId="77777777" w:rsidR="000A3E80" w:rsidRPr="0009028A" w:rsidRDefault="000A3E80" w:rsidP="00A43D62">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Agregados Argos S</w:t>
            </w:r>
            <w:r w:rsidR="005744AF" w:rsidRPr="0009028A">
              <w:rPr>
                <w:rFonts w:ascii="Arial" w:eastAsia="Times New Roman" w:hAnsi="Arial" w:cs="Arial"/>
                <w:color w:val="000000"/>
                <w:sz w:val="16"/>
                <w:szCs w:val="16"/>
                <w:lang w:eastAsia="es-CO"/>
              </w:rPr>
              <w:t>.</w:t>
            </w:r>
            <w:r w:rsidRPr="0009028A">
              <w:rPr>
                <w:rFonts w:ascii="Arial" w:eastAsia="Times New Roman" w:hAnsi="Arial" w:cs="Arial"/>
                <w:color w:val="000000"/>
                <w:sz w:val="16"/>
                <w:szCs w:val="16"/>
                <w:lang w:eastAsia="es-CO"/>
              </w:rPr>
              <w:t>A</w:t>
            </w:r>
            <w:r w:rsidR="005744AF" w:rsidRPr="0009028A">
              <w:rPr>
                <w:rFonts w:ascii="Arial" w:eastAsia="Times New Roman" w:hAnsi="Arial" w:cs="Arial"/>
                <w:color w:val="000000"/>
                <w:sz w:val="16"/>
                <w:szCs w:val="16"/>
                <w:lang w:eastAsia="es-CO"/>
              </w:rPr>
              <w:t>.</w:t>
            </w:r>
            <w:r w:rsidRPr="0009028A">
              <w:rPr>
                <w:rFonts w:ascii="Arial" w:eastAsia="Times New Roman" w:hAnsi="Arial" w:cs="Arial"/>
                <w:color w:val="000000"/>
                <w:sz w:val="16"/>
                <w:szCs w:val="16"/>
                <w:lang w:eastAsia="es-CO"/>
              </w:rPr>
              <w:t>S</w:t>
            </w:r>
            <w:r w:rsidR="005744AF" w:rsidRPr="0009028A">
              <w:rPr>
                <w:rFonts w:ascii="Arial" w:eastAsia="Times New Roman" w:hAnsi="Arial" w:cs="Arial"/>
                <w:color w:val="000000"/>
                <w:sz w:val="16"/>
                <w:szCs w:val="16"/>
                <w:lang w:eastAsia="es-CO"/>
              </w:rPr>
              <w:t>.</w:t>
            </w:r>
          </w:p>
        </w:tc>
        <w:tc>
          <w:tcPr>
            <w:tcW w:w="1701" w:type="dxa"/>
            <w:shd w:val="clear" w:color="auto" w:fill="auto"/>
            <w:noWrap/>
            <w:vAlign w:val="bottom"/>
            <w:hideMark/>
          </w:tcPr>
          <w:p w14:paraId="33F4F7B8" w14:textId="77777777" w:rsidR="000A3E80" w:rsidRPr="0009028A" w:rsidRDefault="00C93A20"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Construcción</w:t>
            </w:r>
          </w:p>
        </w:tc>
        <w:tc>
          <w:tcPr>
            <w:tcW w:w="992" w:type="dxa"/>
            <w:shd w:val="clear" w:color="auto" w:fill="auto"/>
            <w:noWrap/>
            <w:vAlign w:val="bottom"/>
            <w:hideMark/>
          </w:tcPr>
          <w:p w14:paraId="57D029C8" w14:textId="77777777" w:rsidR="000A3E80" w:rsidRPr="0009028A" w:rsidRDefault="000A3E80"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Colombia</w:t>
            </w:r>
          </w:p>
        </w:tc>
        <w:tc>
          <w:tcPr>
            <w:tcW w:w="992" w:type="dxa"/>
            <w:shd w:val="clear" w:color="auto" w:fill="auto"/>
            <w:noWrap/>
            <w:vAlign w:val="bottom"/>
            <w:hideMark/>
          </w:tcPr>
          <w:p w14:paraId="67DFB29F"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24,00%</w:t>
            </w:r>
          </w:p>
        </w:tc>
        <w:tc>
          <w:tcPr>
            <w:tcW w:w="993" w:type="dxa"/>
            <w:shd w:val="clear" w:color="auto" w:fill="auto"/>
            <w:noWrap/>
            <w:vAlign w:val="bottom"/>
            <w:hideMark/>
          </w:tcPr>
          <w:p w14:paraId="0BD47D38"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24,00%</w:t>
            </w:r>
          </w:p>
        </w:tc>
        <w:tc>
          <w:tcPr>
            <w:tcW w:w="1134" w:type="dxa"/>
            <w:shd w:val="clear" w:color="auto" w:fill="auto"/>
            <w:noWrap/>
            <w:vAlign w:val="bottom"/>
            <w:hideMark/>
          </w:tcPr>
          <w:p w14:paraId="71D47FB1"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Asociadas</w:t>
            </w:r>
          </w:p>
        </w:tc>
        <w:tc>
          <w:tcPr>
            <w:tcW w:w="1275" w:type="dxa"/>
            <w:gridSpan w:val="2"/>
            <w:shd w:val="clear" w:color="auto" w:fill="auto"/>
            <w:noWrap/>
            <w:vAlign w:val="bottom"/>
            <w:hideMark/>
          </w:tcPr>
          <w:p w14:paraId="0033ABE8" w14:textId="77777777" w:rsidR="000A3E80" w:rsidRPr="0009028A" w:rsidRDefault="000A3E80" w:rsidP="0067119C">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2.965.375</w:t>
            </w:r>
          </w:p>
        </w:tc>
        <w:tc>
          <w:tcPr>
            <w:tcW w:w="1030" w:type="dxa"/>
            <w:gridSpan w:val="2"/>
            <w:shd w:val="clear" w:color="auto" w:fill="auto"/>
            <w:noWrap/>
            <w:vAlign w:val="bottom"/>
            <w:hideMark/>
          </w:tcPr>
          <w:p w14:paraId="59568778" w14:textId="77777777" w:rsidR="000A3E80" w:rsidRPr="0009028A" w:rsidRDefault="000A3E80" w:rsidP="0067119C">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2.795.997</w:t>
            </w:r>
          </w:p>
        </w:tc>
      </w:tr>
      <w:tr w:rsidR="000A3E80" w:rsidRPr="0009028A" w14:paraId="3498F552" w14:textId="77777777" w:rsidTr="00A43D62">
        <w:trPr>
          <w:trHeight w:val="300"/>
        </w:trPr>
        <w:tc>
          <w:tcPr>
            <w:tcW w:w="1985" w:type="dxa"/>
            <w:shd w:val="clear" w:color="auto" w:fill="auto"/>
            <w:noWrap/>
            <w:vAlign w:val="bottom"/>
            <w:hideMark/>
          </w:tcPr>
          <w:p w14:paraId="4CBFD1E2" w14:textId="77777777" w:rsidR="000A3E80" w:rsidRPr="0009028A" w:rsidRDefault="000A3E80" w:rsidP="00A43D62">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Consorcio Mantenimiento Opain </w:t>
            </w:r>
          </w:p>
        </w:tc>
        <w:tc>
          <w:tcPr>
            <w:tcW w:w="1701" w:type="dxa"/>
            <w:shd w:val="clear" w:color="auto" w:fill="auto"/>
            <w:noWrap/>
            <w:vAlign w:val="bottom"/>
            <w:hideMark/>
          </w:tcPr>
          <w:p w14:paraId="75E3BB31" w14:textId="77777777" w:rsidR="000A3E80" w:rsidRPr="0009028A" w:rsidRDefault="00C93A20"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Construcción</w:t>
            </w:r>
          </w:p>
        </w:tc>
        <w:tc>
          <w:tcPr>
            <w:tcW w:w="992" w:type="dxa"/>
            <w:shd w:val="clear" w:color="auto" w:fill="auto"/>
            <w:noWrap/>
            <w:vAlign w:val="bottom"/>
            <w:hideMark/>
          </w:tcPr>
          <w:p w14:paraId="3C913CD0" w14:textId="77777777" w:rsidR="000A3E80" w:rsidRPr="0009028A" w:rsidRDefault="000A3E80"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Colombia</w:t>
            </w:r>
          </w:p>
        </w:tc>
        <w:tc>
          <w:tcPr>
            <w:tcW w:w="992" w:type="dxa"/>
            <w:shd w:val="clear" w:color="auto" w:fill="auto"/>
            <w:noWrap/>
            <w:vAlign w:val="bottom"/>
            <w:hideMark/>
          </w:tcPr>
          <w:p w14:paraId="2AD6D4B3"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35,00%</w:t>
            </w:r>
          </w:p>
        </w:tc>
        <w:tc>
          <w:tcPr>
            <w:tcW w:w="993" w:type="dxa"/>
            <w:shd w:val="clear" w:color="auto" w:fill="auto"/>
            <w:noWrap/>
            <w:vAlign w:val="bottom"/>
            <w:hideMark/>
          </w:tcPr>
          <w:p w14:paraId="0EAAA867"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35,00%</w:t>
            </w:r>
          </w:p>
        </w:tc>
        <w:tc>
          <w:tcPr>
            <w:tcW w:w="1134" w:type="dxa"/>
            <w:shd w:val="clear" w:color="auto" w:fill="auto"/>
            <w:noWrap/>
            <w:vAlign w:val="bottom"/>
            <w:hideMark/>
          </w:tcPr>
          <w:p w14:paraId="440B34EF"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Negocios Conjuntos</w:t>
            </w:r>
          </w:p>
        </w:tc>
        <w:tc>
          <w:tcPr>
            <w:tcW w:w="1275" w:type="dxa"/>
            <w:gridSpan w:val="2"/>
            <w:shd w:val="clear" w:color="auto" w:fill="auto"/>
            <w:noWrap/>
            <w:vAlign w:val="bottom"/>
            <w:hideMark/>
          </w:tcPr>
          <w:p w14:paraId="7CFA9388" w14:textId="77777777" w:rsidR="000A3E80" w:rsidRPr="0009028A" w:rsidRDefault="000A3E80" w:rsidP="0067119C">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528.382</w:t>
            </w:r>
          </w:p>
        </w:tc>
        <w:tc>
          <w:tcPr>
            <w:tcW w:w="1030" w:type="dxa"/>
            <w:gridSpan w:val="2"/>
            <w:shd w:val="clear" w:color="auto" w:fill="auto"/>
            <w:noWrap/>
            <w:vAlign w:val="bottom"/>
            <w:hideMark/>
          </w:tcPr>
          <w:p w14:paraId="33FAB906" w14:textId="77777777" w:rsidR="000A3E80" w:rsidRPr="0009028A" w:rsidRDefault="000A3E80" w:rsidP="0067119C">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408.262</w:t>
            </w:r>
          </w:p>
        </w:tc>
      </w:tr>
      <w:tr w:rsidR="000A3E80" w:rsidRPr="0009028A" w14:paraId="20C3E22D" w14:textId="77777777" w:rsidTr="00A43D62">
        <w:trPr>
          <w:trHeight w:val="300"/>
        </w:trPr>
        <w:tc>
          <w:tcPr>
            <w:tcW w:w="1985" w:type="dxa"/>
            <w:shd w:val="clear" w:color="auto" w:fill="auto"/>
            <w:noWrap/>
            <w:vAlign w:val="bottom"/>
            <w:hideMark/>
          </w:tcPr>
          <w:p w14:paraId="6B0811F8" w14:textId="77777777" w:rsidR="000A3E80" w:rsidRPr="0009028A" w:rsidRDefault="000A3E80" w:rsidP="00A43D62">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Aerotocumen S.A</w:t>
            </w:r>
            <w:r w:rsidR="00582918" w:rsidRPr="0009028A">
              <w:rPr>
                <w:rFonts w:ascii="Arial" w:eastAsia="Times New Roman" w:hAnsi="Arial" w:cs="Arial"/>
                <w:color w:val="000000"/>
                <w:sz w:val="16"/>
                <w:szCs w:val="16"/>
                <w:lang w:eastAsia="es-CO"/>
              </w:rPr>
              <w:t>.</w:t>
            </w:r>
          </w:p>
        </w:tc>
        <w:tc>
          <w:tcPr>
            <w:tcW w:w="1701" w:type="dxa"/>
            <w:shd w:val="clear" w:color="auto" w:fill="auto"/>
            <w:noWrap/>
            <w:vAlign w:val="bottom"/>
            <w:hideMark/>
          </w:tcPr>
          <w:p w14:paraId="2FA6465D" w14:textId="77777777" w:rsidR="000A3E80" w:rsidRPr="0009028A" w:rsidRDefault="00C93A20"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Construcción</w:t>
            </w:r>
          </w:p>
        </w:tc>
        <w:tc>
          <w:tcPr>
            <w:tcW w:w="992" w:type="dxa"/>
            <w:shd w:val="clear" w:color="auto" w:fill="auto"/>
            <w:noWrap/>
            <w:vAlign w:val="bottom"/>
            <w:hideMark/>
          </w:tcPr>
          <w:p w14:paraId="18E62D96" w14:textId="77777777" w:rsidR="000A3E80" w:rsidRPr="0009028A" w:rsidRDefault="000A3E80"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Panamá</w:t>
            </w:r>
          </w:p>
        </w:tc>
        <w:tc>
          <w:tcPr>
            <w:tcW w:w="992" w:type="dxa"/>
            <w:shd w:val="clear" w:color="auto" w:fill="auto"/>
            <w:noWrap/>
            <w:vAlign w:val="bottom"/>
            <w:hideMark/>
          </w:tcPr>
          <w:p w14:paraId="516F9820"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10,00%</w:t>
            </w:r>
          </w:p>
        </w:tc>
        <w:tc>
          <w:tcPr>
            <w:tcW w:w="993" w:type="dxa"/>
            <w:shd w:val="clear" w:color="auto" w:fill="auto"/>
            <w:noWrap/>
            <w:vAlign w:val="bottom"/>
            <w:hideMark/>
          </w:tcPr>
          <w:p w14:paraId="412BEC26"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10,00%</w:t>
            </w:r>
          </w:p>
        </w:tc>
        <w:tc>
          <w:tcPr>
            <w:tcW w:w="1134" w:type="dxa"/>
            <w:shd w:val="clear" w:color="auto" w:fill="auto"/>
            <w:noWrap/>
            <w:vAlign w:val="bottom"/>
            <w:hideMark/>
          </w:tcPr>
          <w:p w14:paraId="4D0F568E"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Negocios Conjuntos</w:t>
            </w:r>
          </w:p>
        </w:tc>
        <w:tc>
          <w:tcPr>
            <w:tcW w:w="1275" w:type="dxa"/>
            <w:gridSpan w:val="2"/>
            <w:shd w:val="clear" w:color="auto" w:fill="auto"/>
            <w:noWrap/>
            <w:vAlign w:val="bottom"/>
            <w:hideMark/>
          </w:tcPr>
          <w:p w14:paraId="60785CE0" w14:textId="77777777" w:rsidR="000A3E80" w:rsidRPr="0009028A" w:rsidRDefault="000A3E80" w:rsidP="0067119C">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400.331</w:t>
            </w:r>
          </w:p>
        </w:tc>
        <w:tc>
          <w:tcPr>
            <w:tcW w:w="1030" w:type="dxa"/>
            <w:gridSpan w:val="2"/>
            <w:shd w:val="clear" w:color="auto" w:fill="auto"/>
            <w:noWrap/>
            <w:vAlign w:val="bottom"/>
            <w:hideMark/>
          </w:tcPr>
          <w:p w14:paraId="048FEEAC" w14:textId="77777777" w:rsidR="000A3E80" w:rsidRPr="0009028A" w:rsidRDefault="000A3E80" w:rsidP="0067119C">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409.783</w:t>
            </w:r>
          </w:p>
        </w:tc>
      </w:tr>
      <w:tr w:rsidR="000A3E80" w:rsidRPr="0009028A" w14:paraId="5648BFE3" w14:textId="77777777" w:rsidTr="00A43D62">
        <w:trPr>
          <w:trHeight w:val="300"/>
        </w:trPr>
        <w:tc>
          <w:tcPr>
            <w:tcW w:w="1985" w:type="dxa"/>
            <w:shd w:val="clear" w:color="auto" w:fill="auto"/>
            <w:noWrap/>
            <w:vAlign w:val="bottom"/>
            <w:hideMark/>
          </w:tcPr>
          <w:p w14:paraId="15C899D6" w14:textId="77777777" w:rsidR="000A3E80" w:rsidRPr="0009028A" w:rsidRDefault="000A3E80" w:rsidP="00A43D62">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Summa S</w:t>
            </w:r>
            <w:r w:rsidR="005744AF" w:rsidRPr="0009028A">
              <w:rPr>
                <w:rFonts w:ascii="Arial" w:eastAsia="Times New Roman" w:hAnsi="Arial" w:cs="Arial"/>
                <w:color w:val="000000"/>
                <w:sz w:val="16"/>
                <w:szCs w:val="16"/>
                <w:lang w:eastAsia="es-CO"/>
              </w:rPr>
              <w:t>.</w:t>
            </w:r>
            <w:r w:rsidRPr="0009028A">
              <w:rPr>
                <w:rFonts w:ascii="Arial" w:eastAsia="Times New Roman" w:hAnsi="Arial" w:cs="Arial"/>
                <w:color w:val="000000"/>
                <w:sz w:val="16"/>
                <w:szCs w:val="16"/>
                <w:lang w:eastAsia="es-CO"/>
              </w:rPr>
              <w:t>A</w:t>
            </w:r>
            <w:r w:rsidR="005744AF" w:rsidRPr="0009028A">
              <w:rPr>
                <w:rFonts w:ascii="Arial" w:eastAsia="Times New Roman" w:hAnsi="Arial" w:cs="Arial"/>
                <w:color w:val="000000"/>
                <w:sz w:val="16"/>
                <w:szCs w:val="16"/>
                <w:lang w:eastAsia="es-CO"/>
              </w:rPr>
              <w:t>.</w:t>
            </w:r>
            <w:r w:rsidRPr="0009028A">
              <w:rPr>
                <w:rFonts w:ascii="Arial" w:eastAsia="Times New Roman" w:hAnsi="Arial" w:cs="Arial"/>
                <w:color w:val="000000"/>
                <w:sz w:val="16"/>
                <w:szCs w:val="16"/>
                <w:lang w:eastAsia="es-CO"/>
              </w:rPr>
              <w:t>S</w:t>
            </w:r>
            <w:r w:rsidR="005744AF" w:rsidRPr="0009028A">
              <w:rPr>
                <w:rFonts w:ascii="Arial" w:eastAsia="Times New Roman" w:hAnsi="Arial" w:cs="Arial"/>
                <w:color w:val="000000"/>
                <w:sz w:val="16"/>
                <w:szCs w:val="16"/>
                <w:lang w:eastAsia="es-CO"/>
              </w:rPr>
              <w:t>.</w:t>
            </w:r>
          </w:p>
        </w:tc>
        <w:tc>
          <w:tcPr>
            <w:tcW w:w="1701" w:type="dxa"/>
            <w:shd w:val="clear" w:color="auto" w:fill="auto"/>
            <w:noWrap/>
            <w:vAlign w:val="bottom"/>
            <w:hideMark/>
          </w:tcPr>
          <w:p w14:paraId="4BC27724" w14:textId="77777777" w:rsidR="000A3E80" w:rsidRPr="0009028A" w:rsidRDefault="00C93A20"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Financiera</w:t>
            </w:r>
          </w:p>
        </w:tc>
        <w:tc>
          <w:tcPr>
            <w:tcW w:w="992" w:type="dxa"/>
            <w:shd w:val="clear" w:color="auto" w:fill="auto"/>
            <w:noWrap/>
            <w:vAlign w:val="bottom"/>
            <w:hideMark/>
          </w:tcPr>
          <w:p w14:paraId="7E617618" w14:textId="77777777" w:rsidR="000A3E80" w:rsidRPr="0009028A" w:rsidRDefault="000A3E80"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Colombia</w:t>
            </w:r>
          </w:p>
        </w:tc>
        <w:tc>
          <w:tcPr>
            <w:tcW w:w="992" w:type="dxa"/>
            <w:shd w:val="clear" w:color="auto" w:fill="auto"/>
            <w:noWrap/>
            <w:vAlign w:val="bottom"/>
            <w:hideMark/>
          </w:tcPr>
          <w:p w14:paraId="7BFC64A3"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25,00%</w:t>
            </w:r>
          </w:p>
        </w:tc>
        <w:tc>
          <w:tcPr>
            <w:tcW w:w="993" w:type="dxa"/>
            <w:shd w:val="clear" w:color="auto" w:fill="auto"/>
            <w:noWrap/>
            <w:vAlign w:val="bottom"/>
            <w:hideMark/>
          </w:tcPr>
          <w:p w14:paraId="1CADAD0A"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25,00%</w:t>
            </w:r>
          </w:p>
        </w:tc>
        <w:tc>
          <w:tcPr>
            <w:tcW w:w="1134" w:type="dxa"/>
            <w:shd w:val="clear" w:color="auto" w:fill="auto"/>
            <w:noWrap/>
            <w:vAlign w:val="bottom"/>
            <w:hideMark/>
          </w:tcPr>
          <w:p w14:paraId="4DD41ACB"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Asociadas</w:t>
            </w:r>
          </w:p>
        </w:tc>
        <w:tc>
          <w:tcPr>
            <w:tcW w:w="1275" w:type="dxa"/>
            <w:gridSpan w:val="2"/>
            <w:shd w:val="clear" w:color="auto" w:fill="auto"/>
            <w:noWrap/>
            <w:vAlign w:val="bottom"/>
            <w:hideMark/>
          </w:tcPr>
          <w:p w14:paraId="5D14C67F" w14:textId="77777777" w:rsidR="000A3E80" w:rsidRPr="0009028A" w:rsidRDefault="000A3E80" w:rsidP="0067119C">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196.147</w:t>
            </w:r>
          </w:p>
        </w:tc>
        <w:tc>
          <w:tcPr>
            <w:tcW w:w="1030" w:type="dxa"/>
            <w:gridSpan w:val="2"/>
            <w:shd w:val="clear" w:color="auto" w:fill="auto"/>
            <w:noWrap/>
            <w:vAlign w:val="bottom"/>
            <w:hideMark/>
          </w:tcPr>
          <w:p w14:paraId="010FCD6F" w14:textId="77777777" w:rsidR="000A3E80" w:rsidRPr="0009028A" w:rsidRDefault="000A3E80" w:rsidP="0067119C">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133.366</w:t>
            </w:r>
          </w:p>
        </w:tc>
      </w:tr>
      <w:tr w:rsidR="000A3E80" w:rsidRPr="0009028A" w14:paraId="28866D67" w14:textId="77777777" w:rsidTr="00A43D62">
        <w:trPr>
          <w:trHeight w:val="300"/>
        </w:trPr>
        <w:tc>
          <w:tcPr>
            <w:tcW w:w="1985" w:type="dxa"/>
            <w:shd w:val="clear" w:color="auto" w:fill="auto"/>
            <w:noWrap/>
            <w:vAlign w:val="bottom"/>
            <w:hideMark/>
          </w:tcPr>
          <w:p w14:paraId="3FF659E2" w14:textId="77777777" w:rsidR="000A3E80" w:rsidRPr="0009028A" w:rsidRDefault="000A3E80" w:rsidP="00A43D62">
            <w:pPr>
              <w:spacing w:after="0" w:line="240" w:lineRule="auto"/>
              <w:rPr>
                <w:rFonts w:ascii="Arial" w:eastAsia="Times New Roman" w:hAnsi="Arial" w:cs="Arial"/>
                <w:color w:val="000000"/>
                <w:sz w:val="16"/>
                <w:szCs w:val="16"/>
                <w:lang w:val="en-US" w:eastAsia="es-CO"/>
              </w:rPr>
            </w:pPr>
            <w:r w:rsidRPr="0009028A">
              <w:rPr>
                <w:rFonts w:ascii="Arial" w:eastAsia="Times New Roman" w:hAnsi="Arial" w:cs="Arial"/>
                <w:color w:val="000000"/>
                <w:sz w:val="16"/>
                <w:szCs w:val="16"/>
                <w:lang w:val="en-US" w:eastAsia="es-CO"/>
              </w:rPr>
              <w:t>International Airport Finance S.A.</w:t>
            </w:r>
          </w:p>
        </w:tc>
        <w:tc>
          <w:tcPr>
            <w:tcW w:w="1701" w:type="dxa"/>
            <w:shd w:val="clear" w:color="auto" w:fill="auto"/>
            <w:noWrap/>
            <w:vAlign w:val="bottom"/>
            <w:hideMark/>
          </w:tcPr>
          <w:p w14:paraId="68E3000D" w14:textId="77777777" w:rsidR="000A3E80" w:rsidRPr="0009028A" w:rsidRDefault="00C93A20"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Construcción</w:t>
            </w:r>
          </w:p>
        </w:tc>
        <w:tc>
          <w:tcPr>
            <w:tcW w:w="992" w:type="dxa"/>
            <w:shd w:val="clear" w:color="auto" w:fill="auto"/>
            <w:noWrap/>
            <w:vAlign w:val="bottom"/>
            <w:hideMark/>
          </w:tcPr>
          <w:p w14:paraId="6785E177" w14:textId="77777777" w:rsidR="000A3E80" w:rsidRPr="0009028A" w:rsidRDefault="000A3E80" w:rsidP="0067119C">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España</w:t>
            </w:r>
          </w:p>
        </w:tc>
        <w:tc>
          <w:tcPr>
            <w:tcW w:w="992" w:type="dxa"/>
            <w:shd w:val="clear" w:color="auto" w:fill="auto"/>
            <w:noWrap/>
            <w:vAlign w:val="bottom"/>
            <w:hideMark/>
          </w:tcPr>
          <w:p w14:paraId="16277DE8"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46,50%</w:t>
            </w:r>
          </w:p>
        </w:tc>
        <w:tc>
          <w:tcPr>
            <w:tcW w:w="993" w:type="dxa"/>
            <w:shd w:val="clear" w:color="auto" w:fill="auto"/>
            <w:noWrap/>
            <w:vAlign w:val="bottom"/>
            <w:hideMark/>
          </w:tcPr>
          <w:p w14:paraId="0415E16F"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0,00%</w:t>
            </w:r>
          </w:p>
        </w:tc>
        <w:tc>
          <w:tcPr>
            <w:tcW w:w="1134" w:type="dxa"/>
            <w:shd w:val="clear" w:color="auto" w:fill="auto"/>
            <w:noWrap/>
            <w:vAlign w:val="bottom"/>
            <w:hideMark/>
          </w:tcPr>
          <w:p w14:paraId="567622FC" w14:textId="77777777" w:rsidR="000A3E80" w:rsidRPr="0009028A" w:rsidRDefault="000A3E80" w:rsidP="0067119C">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Asociadas</w:t>
            </w:r>
          </w:p>
        </w:tc>
        <w:tc>
          <w:tcPr>
            <w:tcW w:w="1275" w:type="dxa"/>
            <w:gridSpan w:val="2"/>
            <w:shd w:val="clear" w:color="auto" w:fill="auto"/>
            <w:noWrap/>
            <w:vAlign w:val="bottom"/>
            <w:hideMark/>
          </w:tcPr>
          <w:p w14:paraId="0D28F837" w14:textId="77777777" w:rsidR="000A3E80" w:rsidRPr="00A010F8" w:rsidRDefault="00A43D62" w:rsidP="0067119C">
            <w:pPr>
              <w:spacing w:after="0" w:line="240" w:lineRule="auto"/>
              <w:jc w:val="right"/>
              <w:rPr>
                <w:rFonts w:ascii="Arial" w:eastAsia="Times New Roman" w:hAnsi="Arial" w:cs="Arial"/>
                <w:color w:val="000000"/>
                <w:sz w:val="16"/>
                <w:szCs w:val="16"/>
                <w:lang w:eastAsia="es-CO"/>
              </w:rPr>
            </w:pPr>
            <w:r w:rsidRPr="00A010F8">
              <w:rPr>
                <w:rFonts w:ascii="Arial" w:eastAsia="Times New Roman" w:hAnsi="Arial" w:cs="Arial"/>
                <w:color w:val="000000"/>
                <w:sz w:val="16"/>
                <w:szCs w:val="16"/>
                <w:lang w:eastAsia="es-CO"/>
              </w:rPr>
              <w:t xml:space="preserve">       </w:t>
            </w:r>
            <w:r w:rsidR="000A3E80" w:rsidRPr="00A010F8">
              <w:rPr>
                <w:rFonts w:ascii="Arial" w:eastAsia="Times New Roman" w:hAnsi="Arial" w:cs="Arial"/>
                <w:color w:val="000000"/>
                <w:sz w:val="16"/>
                <w:szCs w:val="16"/>
                <w:lang w:eastAsia="es-CO"/>
              </w:rPr>
              <w:t>168.605</w:t>
            </w:r>
          </w:p>
        </w:tc>
        <w:tc>
          <w:tcPr>
            <w:tcW w:w="1030" w:type="dxa"/>
            <w:gridSpan w:val="2"/>
            <w:shd w:val="clear" w:color="auto" w:fill="auto"/>
            <w:noWrap/>
            <w:vAlign w:val="bottom"/>
            <w:hideMark/>
          </w:tcPr>
          <w:p w14:paraId="77C70136" w14:textId="77777777" w:rsidR="000A3E80" w:rsidRPr="00A010F8" w:rsidRDefault="00A43D62" w:rsidP="0067119C">
            <w:pPr>
              <w:spacing w:after="0" w:line="240" w:lineRule="auto"/>
              <w:jc w:val="right"/>
              <w:rPr>
                <w:rFonts w:ascii="Arial" w:eastAsia="Times New Roman" w:hAnsi="Arial" w:cs="Arial"/>
                <w:color w:val="000000"/>
                <w:sz w:val="16"/>
                <w:szCs w:val="16"/>
                <w:lang w:eastAsia="es-CO"/>
              </w:rPr>
            </w:pPr>
            <w:r w:rsidRPr="00A010F8">
              <w:rPr>
                <w:rFonts w:ascii="Arial" w:eastAsia="Times New Roman" w:hAnsi="Arial" w:cs="Arial"/>
                <w:color w:val="000000"/>
                <w:sz w:val="16"/>
                <w:szCs w:val="16"/>
                <w:lang w:eastAsia="es-CO"/>
              </w:rPr>
              <w:t xml:space="preserve">                  </w:t>
            </w:r>
            <w:r w:rsidR="000A3E80" w:rsidRPr="00A010F8">
              <w:rPr>
                <w:rFonts w:ascii="Arial" w:eastAsia="Times New Roman" w:hAnsi="Arial" w:cs="Arial"/>
                <w:color w:val="000000"/>
                <w:sz w:val="16"/>
                <w:szCs w:val="16"/>
                <w:lang w:eastAsia="es-CO"/>
              </w:rPr>
              <w:t>-</w:t>
            </w:r>
          </w:p>
        </w:tc>
      </w:tr>
      <w:tr w:rsidR="00A010F8" w:rsidRPr="0009028A" w14:paraId="125B1366" w14:textId="77777777" w:rsidTr="00A43D62">
        <w:trPr>
          <w:trHeight w:val="300"/>
        </w:trPr>
        <w:tc>
          <w:tcPr>
            <w:tcW w:w="1985" w:type="dxa"/>
            <w:shd w:val="clear" w:color="auto" w:fill="auto"/>
            <w:noWrap/>
            <w:vAlign w:val="bottom"/>
          </w:tcPr>
          <w:p w14:paraId="1B204066" w14:textId="38623247" w:rsidR="00A010F8" w:rsidRPr="0009028A" w:rsidRDefault="00A010F8" w:rsidP="00A010F8">
            <w:pPr>
              <w:spacing w:after="0" w:line="240" w:lineRule="auto"/>
              <w:rPr>
                <w:rFonts w:ascii="Arial" w:eastAsia="Times New Roman" w:hAnsi="Arial" w:cs="Arial"/>
                <w:color w:val="000000"/>
                <w:sz w:val="16"/>
                <w:szCs w:val="16"/>
                <w:lang w:val="en-US" w:eastAsia="es-CO"/>
              </w:rPr>
            </w:pPr>
            <w:r w:rsidRPr="00A010F8">
              <w:rPr>
                <w:rFonts w:ascii="Arial" w:eastAsia="Times New Roman" w:hAnsi="Arial" w:cs="Arial"/>
                <w:color w:val="000000"/>
                <w:sz w:val="16"/>
                <w:szCs w:val="16"/>
                <w:lang w:val="en-US" w:eastAsia="es-CO"/>
              </w:rPr>
              <w:t>Consorcio Odinsa Mincivil Condor</w:t>
            </w:r>
          </w:p>
        </w:tc>
        <w:tc>
          <w:tcPr>
            <w:tcW w:w="1701" w:type="dxa"/>
            <w:shd w:val="clear" w:color="auto" w:fill="auto"/>
            <w:noWrap/>
            <w:vAlign w:val="bottom"/>
          </w:tcPr>
          <w:p w14:paraId="3F5348E5" w14:textId="5FEF6EE4" w:rsidR="00A010F8" w:rsidRPr="0009028A" w:rsidRDefault="00A010F8" w:rsidP="00A010F8">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Construcción</w:t>
            </w:r>
          </w:p>
        </w:tc>
        <w:tc>
          <w:tcPr>
            <w:tcW w:w="992" w:type="dxa"/>
            <w:shd w:val="clear" w:color="auto" w:fill="auto"/>
            <w:noWrap/>
            <w:vAlign w:val="bottom"/>
          </w:tcPr>
          <w:p w14:paraId="792049BC" w14:textId="7F7DFAAA" w:rsidR="00A010F8" w:rsidRPr="0009028A" w:rsidRDefault="00A010F8" w:rsidP="00A010F8">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España</w:t>
            </w:r>
          </w:p>
        </w:tc>
        <w:tc>
          <w:tcPr>
            <w:tcW w:w="992" w:type="dxa"/>
            <w:shd w:val="clear" w:color="auto" w:fill="auto"/>
            <w:noWrap/>
            <w:vAlign w:val="bottom"/>
          </w:tcPr>
          <w:p w14:paraId="66B9BB9D" w14:textId="5D734847" w:rsidR="00A010F8" w:rsidRPr="0009028A" w:rsidRDefault="00A010F8" w:rsidP="00A010F8">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35</w:t>
            </w:r>
            <w:r w:rsidRPr="0009028A">
              <w:rPr>
                <w:rFonts w:ascii="Arial" w:eastAsia="Times New Roman" w:hAnsi="Arial" w:cs="Arial"/>
                <w:color w:val="000000"/>
                <w:sz w:val="16"/>
                <w:szCs w:val="16"/>
                <w:lang w:eastAsia="es-CO"/>
              </w:rPr>
              <w:t>,</w:t>
            </w:r>
            <w:r>
              <w:rPr>
                <w:rFonts w:ascii="Arial" w:eastAsia="Times New Roman" w:hAnsi="Arial" w:cs="Arial"/>
                <w:color w:val="000000"/>
                <w:sz w:val="16"/>
                <w:szCs w:val="16"/>
                <w:lang w:eastAsia="es-CO"/>
              </w:rPr>
              <w:t>0</w:t>
            </w:r>
            <w:r w:rsidRPr="0009028A">
              <w:rPr>
                <w:rFonts w:ascii="Arial" w:eastAsia="Times New Roman" w:hAnsi="Arial" w:cs="Arial"/>
                <w:color w:val="000000"/>
                <w:sz w:val="16"/>
                <w:szCs w:val="16"/>
                <w:lang w:eastAsia="es-CO"/>
              </w:rPr>
              <w:t>0%</w:t>
            </w:r>
          </w:p>
        </w:tc>
        <w:tc>
          <w:tcPr>
            <w:tcW w:w="993" w:type="dxa"/>
            <w:shd w:val="clear" w:color="auto" w:fill="auto"/>
            <w:noWrap/>
            <w:vAlign w:val="bottom"/>
          </w:tcPr>
          <w:p w14:paraId="7E5F5BDC" w14:textId="3149E759" w:rsidR="00A010F8" w:rsidRPr="0009028A" w:rsidRDefault="00A010F8" w:rsidP="00A010F8">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35</w:t>
            </w:r>
            <w:r w:rsidRPr="0009028A">
              <w:rPr>
                <w:rFonts w:ascii="Arial" w:eastAsia="Times New Roman" w:hAnsi="Arial" w:cs="Arial"/>
                <w:color w:val="000000"/>
                <w:sz w:val="16"/>
                <w:szCs w:val="16"/>
                <w:lang w:eastAsia="es-CO"/>
              </w:rPr>
              <w:t>,00%</w:t>
            </w:r>
          </w:p>
        </w:tc>
        <w:tc>
          <w:tcPr>
            <w:tcW w:w="1134" w:type="dxa"/>
            <w:shd w:val="clear" w:color="auto" w:fill="auto"/>
            <w:noWrap/>
            <w:vAlign w:val="bottom"/>
          </w:tcPr>
          <w:p w14:paraId="2B54015B" w14:textId="60FFCA6D" w:rsidR="00A010F8" w:rsidRPr="0009028A" w:rsidRDefault="00A010F8" w:rsidP="00A010F8">
            <w:pPr>
              <w:spacing w:after="0" w:line="240" w:lineRule="auto"/>
              <w:jc w:val="center"/>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Negocios Conjuntos</w:t>
            </w:r>
          </w:p>
        </w:tc>
        <w:tc>
          <w:tcPr>
            <w:tcW w:w="1275" w:type="dxa"/>
            <w:gridSpan w:val="2"/>
            <w:shd w:val="clear" w:color="auto" w:fill="auto"/>
            <w:noWrap/>
            <w:vAlign w:val="bottom"/>
          </w:tcPr>
          <w:p w14:paraId="50C4D267" w14:textId="688B895D" w:rsidR="00A010F8" w:rsidRPr="00394D99" w:rsidRDefault="00A010F8" w:rsidP="00A010F8">
            <w:pPr>
              <w:spacing w:after="0" w:line="240" w:lineRule="auto"/>
              <w:jc w:val="right"/>
              <w:rPr>
                <w:rFonts w:ascii="Arial" w:eastAsia="Times New Roman" w:hAnsi="Arial" w:cs="Arial"/>
                <w:color w:val="000000"/>
                <w:sz w:val="16"/>
                <w:szCs w:val="16"/>
                <w:highlight w:val="lightGray"/>
                <w:u w:val="single"/>
                <w:lang w:eastAsia="es-CO"/>
              </w:rPr>
            </w:pPr>
            <w:r w:rsidRPr="00394D99">
              <w:rPr>
                <w:rFonts w:ascii="Arial" w:eastAsia="Times New Roman" w:hAnsi="Arial" w:cs="Arial"/>
                <w:color w:val="000000"/>
                <w:sz w:val="16"/>
                <w:szCs w:val="16"/>
                <w:highlight w:val="lightGray"/>
                <w:u w:val="single"/>
                <w:lang w:eastAsia="es-CO"/>
              </w:rPr>
              <w:t xml:space="preserve">       </w:t>
            </w:r>
            <w:r w:rsidR="00A165E0" w:rsidRPr="00394D99">
              <w:rPr>
                <w:rFonts w:ascii="Arial" w:eastAsia="Times New Roman" w:hAnsi="Arial" w:cs="Arial"/>
                <w:color w:val="000000"/>
                <w:sz w:val="16"/>
                <w:szCs w:val="16"/>
                <w:highlight w:val="lightGray"/>
                <w:u w:val="single"/>
                <w:lang w:eastAsia="es-CO"/>
              </w:rPr>
              <w:t xml:space="preserve">     -</w:t>
            </w:r>
          </w:p>
        </w:tc>
        <w:tc>
          <w:tcPr>
            <w:tcW w:w="1030" w:type="dxa"/>
            <w:gridSpan w:val="2"/>
            <w:shd w:val="clear" w:color="auto" w:fill="auto"/>
            <w:noWrap/>
            <w:vAlign w:val="bottom"/>
          </w:tcPr>
          <w:p w14:paraId="29C8AB29" w14:textId="7F4A4CCF" w:rsidR="00A010F8" w:rsidRPr="00394D99" w:rsidRDefault="00A010F8" w:rsidP="00A010F8">
            <w:pPr>
              <w:spacing w:after="0" w:line="240" w:lineRule="auto"/>
              <w:jc w:val="right"/>
              <w:rPr>
                <w:rFonts w:ascii="Arial" w:eastAsia="Times New Roman" w:hAnsi="Arial" w:cs="Arial"/>
                <w:color w:val="000000"/>
                <w:sz w:val="16"/>
                <w:szCs w:val="16"/>
                <w:highlight w:val="lightGray"/>
                <w:u w:val="single"/>
                <w:lang w:eastAsia="es-CO"/>
              </w:rPr>
            </w:pPr>
            <w:r w:rsidRPr="00394D99">
              <w:rPr>
                <w:rFonts w:ascii="Arial" w:eastAsia="Times New Roman" w:hAnsi="Arial" w:cs="Arial"/>
                <w:color w:val="000000"/>
                <w:sz w:val="16"/>
                <w:szCs w:val="16"/>
                <w:highlight w:val="lightGray"/>
                <w:u w:val="single"/>
                <w:lang w:eastAsia="es-CO"/>
              </w:rPr>
              <w:t xml:space="preserve">                  100.362</w:t>
            </w:r>
          </w:p>
        </w:tc>
      </w:tr>
      <w:tr w:rsidR="00A010F8" w:rsidRPr="0009028A" w14:paraId="6A86F866" w14:textId="77777777" w:rsidTr="0067119C">
        <w:trPr>
          <w:trHeight w:val="315"/>
        </w:trPr>
        <w:tc>
          <w:tcPr>
            <w:tcW w:w="3686" w:type="dxa"/>
            <w:gridSpan w:val="2"/>
            <w:shd w:val="clear" w:color="auto" w:fill="auto"/>
            <w:noWrap/>
            <w:vAlign w:val="bottom"/>
            <w:hideMark/>
          </w:tcPr>
          <w:p w14:paraId="481FDAC4" w14:textId="77777777" w:rsidR="00A010F8" w:rsidRPr="0009028A" w:rsidRDefault="00A010F8" w:rsidP="00A010F8">
            <w:pPr>
              <w:spacing w:after="0" w:line="240" w:lineRule="auto"/>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Total inversiones en asociadas y negocios conjuntos</w:t>
            </w:r>
          </w:p>
        </w:tc>
        <w:tc>
          <w:tcPr>
            <w:tcW w:w="992" w:type="dxa"/>
            <w:shd w:val="clear" w:color="auto" w:fill="auto"/>
            <w:noWrap/>
            <w:vAlign w:val="bottom"/>
            <w:hideMark/>
          </w:tcPr>
          <w:p w14:paraId="09185C96" w14:textId="77777777" w:rsidR="00A010F8" w:rsidRPr="0009028A" w:rsidRDefault="00A010F8" w:rsidP="00A010F8">
            <w:pPr>
              <w:spacing w:after="0" w:line="240" w:lineRule="auto"/>
              <w:rPr>
                <w:rFonts w:ascii="Arial" w:eastAsia="Times New Roman" w:hAnsi="Arial" w:cs="Arial"/>
                <w:b/>
                <w:bCs/>
                <w:color w:val="103475"/>
                <w:sz w:val="16"/>
                <w:szCs w:val="16"/>
                <w:lang w:eastAsia="es-CO"/>
              </w:rPr>
            </w:pPr>
          </w:p>
        </w:tc>
        <w:tc>
          <w:tcPr>
            <w:tcW w:w="992" w:type="dxa"/>
            <w:shd w:val="clear" w:color="auto" w:fill="auto"/>
            <w:noWrap/>
            <w:vAlign w:val="center"/>
            <w:hideMark/>
          </w:tcPr>
          <w:p w14:paraId="06A48FA2" w14:textId="77777777" w:rsidR="00A010F8" w:rsidRPr="0009028A" w:rsidRDefault="00A010F8" w:rsidP="00A010F8">
            <w:pPr>
              <w:spacing w:after="0" w:line="240" w:lineRule="auto"/>
              <w:jc w:val="center"/>
              <w:rPr>
                <w:rFonts w:ascii="Arial" w:eastAsia="Times New Roman" w:hAnsi="Arial" w:cs="Arial"/>
                <w:b/>
                <w:bCs/>
                <w:color w:val="103475"/>
                <w:sz w:val="16"/>
                <w:szCs w:val="16"/>
                <w:lang w:eastAsia="es-CO"/>
              </w:rPr>
            </w:pPr>
          </w:p>
        </w:tc>
        <w:tc>
          <w:tcPr>
            <w:tcW w:w="993" w:type="dxa"/>
            <w:shd w:val="clear" w:color="auto" w:fill="auto"/>
            <w:noWrap/>
            <w:vAlign w:val="center"/>
            <w:hideMark/>
          </w:tcPr>
          <w:p w14:paraId="7226E29C" w14:textId="77777777" w:rsidR="00A010F8" w:rsidRPr="0009028A" w:rsidRDefault="00A010F8" w:rsidP="00A010F8">
            <w:pPr>
              <w:spacing w:after="0" w:line="240" w:lineRule="auto"/>
              <w:jc w:val="center"/>
              <w:rPr>
                <w:rFonts w:ascii="Arial" w:eastAsia="Times New Roman" w:hAnsi="Arial" w:cs="Arial"/>
                <w:b/>
                <w:bCs/>
                <w:color w:val="103475"/>
                <w:sz w:val="16"/>
                <w:szCs w:val="16"/>
                <w:lang w:eastAsia="es-CO"/>
              </w:rPr>
            </w:pPr>
          </w:p>
        </w:tc>
        <w:tc>
          <w:tcPr>
            <w:tcW w:w="1134" w:type="dxa"/>
            <w:shd w:val="clear" w:color="auto" w:fill="auto"/>
            <w:noWrap/>
            <w:vAlign w:val="center"/>
            <w:hideMark/>
          </w:tcPr>
          <w:p w14:paraId="58D073AE" w14:textId="77777777" w:rsidR="00A010F8" w:rsidRPr="0009028A" w:rsidRDefault="00A010F8" w:rsidP="00A010F8">
            <w:pPr>
              <w:spacing w:after="0" w:line="240" w:lineRule="auto"/>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 </w:t>
            </w:r>
          </w:p>
        </w:tc>
        <w:tc>
          <w:tcPr>
            <w:tcW w:w="1275" w:type="dxa"/>
            <w:gridSpan w:val="2"/>
            <w:shd w:val="clear" w:color="auto" w:fill="auto"/>
            <w:noWrap/>
            <w:vAlign w:val="bottom"/>
            <w:hideMark/>
          </w:tcPr>
          <w:p w14:paraId="4FF2C189" w14:textId="77777777" w:rsidR="00A010F8" w:rsidRPr="0009028A" w:rsidRDefault="00A010F8" w:rsidP="00A010F8">
            <w:pPr>
              <w:spacing w:after="0" w:line="240" w:lineRule="auto"/>
              <w:jc w:val="right"/>
              <w:rPr>
                <w:rFonts w:ascii="Arial" w:eastAsia="Times New Roman" w:hAnsi="Arial" w:cs="Arial"/>
                <w:b/>
                <w:bCs/>
                <w:color w:val="103475"/>
                <w:sz w:val="16"/>
                <w:szCs w:val="16"/>
                <w:u w:val="double"/>
                <w:lang w:eastAsia="es-CO"/>
              </w:rPr>
            </w:pPr>
            <w:r w:rsidRPr="0009028A">
              <w:rPr>
                <w:rFonts w:ascii="Arial" w:eastAsia="Times New Roman" w:hAnsi="Arial" w:cs="Arial"/>
                <w:b/>
                <w:bCs/>
                <w:color w:val="103475"/>
                <w:sz w:val="16"/>
                <w:szCs w:val="16"/>
                <w:lang w:eastAsia="es-CO"/>
              </w:rPr>
              <w:t>$</w:t>
            </w:r>
            <w:r w:rsidRPr="0009028A">
              <w:rPr>
                <w:rFonts w:ascii="Arial" w:eastAsia="Times New Roman" w:hAnsi="Arial" w:cs="Arial"/>
                <w:b/>
                <w:bCs/>
                <w:color w:val="103475"/>
                <w:sz w:val="16"/>
                <w:szCs w:val="16"/>
                <w:u w:val="double"/>
                <w:lang w:eastAsia="es-CO"/>
              </w:rPr>
              <w:t xml:space="preserve"> 601.285.918</w:t>
            </w:r>
          </w:p>
        </w:tc>
        <w:tc>
          <w:tcPr>
            <w:tcW w:w="1030" w:type="dxa"/>
            <w:gridSpan w:val="2"/>
            <w:shd w:val="clear" w:color="auto" w:fill="auto"/>
            <w:noWrap/>
            <w:vAlign w:val="bottom"/>
            <w:hideMark/>
          </w:tcPr>
          <w:p w14:paraId="2EF7911E" w14:textId="3BDC5D79" w:rsidR="00A010F8" w:rsidRPr="0009028A" w:rsidRDefault="00A010F8" w:rsidP="00A010F8">
            <w:pPr>
              <w:spacing w:after="0" w:line="240" w:lineRule="auto"/>
              <w:jc w:val="right"/>
              <w:rPr>
                <w:rFonts w:ascii="Arial" w:eastAsia="Times New Roman" w:hAnsi="Arial" w:cs="Arial"/>
                <w:b/>
                <w:bCs/>
                <w:color w:val="103475"/>
                <w:sz w:val="16"/>
                <w:szCs w:val="16"/>
                <w:u w:val="double"/>
                <w:lang w:eastAsia="es-CO"/>
              </w:rPr>
            </w:pPr>
            <w:r w:rsidRPr="00D945D7">
              <w:rPr>
                <w:rFonts w:ascii="Arial" w:eastAsia="Times New Roman" w:hAnsi="Arial" w:cs="Arial"/>
                <w:b/>
                <w:bCs/>
                <w:color w:val="103475"/>
                <w:sz w:val="16"/>
                <w:szCs w:val="16"/>
                <w:highlight w:val="lightGray"/>
                <w:u w:val="double"/>
                <w:lang w:eastAsia="es-CO"/>
              </w:rPr>
              <w:t>556.</w:t>
            </w:r>
            <w:r w:rsidR="00394D99" w:rsidRPr="00D945D7">
              <w:rPr>
                <w:rFonts w:ascii="Arial" w:eastAsia="Times New Roman" w:hAnsi="Arial" w:cs="Arial"/>
                <w:b/>
                <w:bCs/>
                <w:color w:val="103475"/>
                <w:sz w:val="16"/>
                <w:szCs w:val="16"/>
                <w:highlight w:val="lightGray"/>
                <w:u w:val="double"/>
                <w:lang w:eastAsia="es-CO"/>
              </w:rPr>
              <w:t>4</w:t>
            </w:r>
            <w:r w:rsidRPr="00D945D7">
              <w:rPr>
                <w:rFonts w:ascii="Arial" w:eastAsia="Times New Roman" w:hAnsi="Arial" w:cs="Arial"/>
                <w:b/>
                <w:bCs/>
                <w:color w:val="103475"/>
                <w:sz w:val="16"/>
                <w:szCs w:val="16"/>
                <w:highlight w:val="lightGray"/>
                <w:u w:val="double"/>
                <w:lang w:eastAsia="es-CO"/>
              </w:rPr>
              <w:t>66.</w:t>
            </w:r>
            <w:r w:rsidR="00394D99" w:rsidRPr="00D945D7">
              <w:rPr>
                <w:rFonts w:ascii="Arial" w:eastAsia="Times New Roman" w:hAnsi="Arial" w:cs="Arial"/>
                <w:b/>
                <w:bCs/>
                <w:color w:val="103475"/>
                <w:sz w:val="16"/>
                <w:szCs w:val="16"/>
                <w:highlight w:val="lightGray"/>
                <w:u w:val="double"/>
                <w:lang w:eastAsia="es-CO"/>
              </w:rPr>
              <w:t>663</w:t>
            </w:r>
          </w:p>
        </w:tc>
      </w:tr>
    </w:tbl>
    <w:p w14:paraId="56F44C5A" w14:textId="77777777" w:rsidR="000A3E80" w:rsidRPr="0009028A" w:rsidRDefault="000A3E80" w:rsidP="008B5836">
      <w:pPr>
        <w:pStyle w:val="Textocomentario"/>
        <w:spacing w:after="0"/>
        <w:jc w:val="both"/>
        <w:rPr>
          <w:rFonts w:ascii="Arial" w:eastAsia="Arial" w:hAnsi="Arial" w:cs="Arial"/>
          <w:b/>
          <w:lang w:val="es-AR"/>
        </w:rPr>
      </w:pPr>
    </w:p>
    <w:p w14:paraId="33033C33" w14:textId="65D16526" w:rsidR="008B5836" w:rsidRPr="002D21EB" w:rsidRDefault="00560263" w:rsidP="002D21EB">
      <w:pPr>
        <w:pStyle w:val="Prrafodelista"/>
        <w:spacing w:after="0"/>
        <w:ind w:left="0"/>
        <w:jc w:val="both"/>
        <w:rPr>
          <w:rFonts w:ascii="Arial" w:eastAsia="Arial" w:hAnsi="Arial" w:cs="Arial"/>
          <w:spacing w:val="1"/>
          <w:position w:val="-1"/>
          <w:sz w:val="20"/>
          <w:szCs w:val="20"/>
          <w:lang w:val="es-AR"/>
        </w:rPr>
      </w:pPr>
      <w:r w:rsidRPr="0009028A">
        <w:rPr>
          <w:rFonts w:ascii="Arial" w:eastAsia="Arial" w:hAnsi="Arial" w:cs="Arial"/>
          <w:spacing w:val="1"/>
          <w:position w:val="-1"/>
          <w:sz w:val="20"/>
          <w:szCs w:val="20"/>
          <w:lang w:val="es-AR"/>
        </w:rPr>
        <w:t>Todas las inversiones en asociadas y negocios conjuntos se contabilizan al costo</w:t>
      </w:r>
      <w:r w:rsidR="0045306F" w:rsidRPr="0009028A">
        <w:rPr>
          <w:rFonts w:ascii="Arial" w:eastAsia="Arial" w:hAnsi="Arial" w:cs="Arial"/>
          <w:spacing w:val="1"/>
          <w:position w:val="-1"/>
          <w:sz w:val="20"/>
          <w:szCs w:val="20"/>
          <w:lang w:val="es-AR"/>
        </w:rPr>
        <w:t xml:space="preserve">, para un total de inversión en </w:t>
      </w:r>
      <w:r w:rsidR="00073FE9" w:rsidRPr="0009028A">
        <w:rPr>
          <w:rFonts w:ascii="Arial" w:eastAsia="Arial" w:hAnsi="Arial" w:cs="Arial"/>
          <w:spacing w:val="1"/>
          <w:position w:val="-1"/>
          <w:sz w:val="20"/>
          <w:szCs w:val="20"/>
          <w:lang w:val="es-AR"/>
        </w:rPr>
        <w:t>la</w:t>
      </w:r>
      <w:r w:rsidR="0045306F" w:rsidRPr="0009028A">
        <w:rPr>
          <w:rFonts w:ascii="Arial" w:eastAsia="Arial" w:hAnsi="Arial" w:cs="Arial"/>
          <w:spacing w:val="1"/>
          <w:position w:val="-1"/>
          <w:sz w:val="20"/>
          <w:szCs w:val="20"/>
          <w:lang w:val="es-AR"/>
        </w:rPr>
        <w:t xml:space="preserve"> </w:t>
      </w:r>
      <w:r w:rsidR="005744AF" w:rsidRPr="0009028A">
        <w:rPr>
          <w:rFonts w:ascii="Arial" w:eastAsia="Arial" w:hAnsi="Arial" w:cs="Arial"/>
          <w:spacing w:val="1"/>
          <w:position w:val="-1"/>
          <w:sz w:val="20"/>
          <w:szCs w:val="20"/>
          <w:lang w:val="es-AR"/>
        </w:rPr>
        <w:t xml:space="preserve">Compañía </w:t>
      </w:r>
      <w:r w:rsidR="0045306F" w:rsidRPr="0009028A">
        <w:rPr>
          <w:rFonts w:ascii="Arial" w:eastAsia="Arial" w:hAnsi="Arial" w:cs="Arial"/>
          <w:spacing w:val="1"/>
          <w:position w:val="-1"/>
          <w:sz w:val="20"/>
          <w:szCs w:val="20"/>
          <w:lang w:val="es-AR"/>
        </w:rPr>
        <w:t>de $</w:t>
      </w:r>
      <w:r w:rsidR="00073FE9" w:rsidRPr="0009028A">
        <w:rPr>
          <w:rFonts w:ascii="Arial" w:eastAsia="Arial" w:hAnsi="Arial" w:cs="Arial"/>
          <w:spacing w:val="1"/>
          <w:position w:val="-1"/>
          <w:sz w:val="20"/>
          <w:szCs w:val="20"/>
          <w:lang w:val="es-AR"/>
        </w:rPr>
        <w:t>601.285.918 (2018</w:t>
      </w:r>
      <w:r w:rsidR="0045306F" w:rsidRPr="0009028A">
        <w:rPr>
          <w:rFonts w:ascii="Arial" w:eastAsia="Arial" w:hAnsi="Arial" w:cs="Arial"/>
          <w:spacing w:val="1"/>
          <w:position w:val="-1"/>
          <w:sz w:val="20"/>
          <w:szCs w:val="20"/>
          <w:lang w:val="es-AR"/>
        </w:rPr>
        <w:t xml:space="preserve"> $</w:t>
      </w:r>
      <w:r w:rsidR="00073FE9" w:rsidRPr="0009028A">
        <w:rPr>
          <w:rFonts w:ascii="Arial" w:eastAsia="Arial" w:hAnsi="Arial" w:cs="Arial"/>
          <w:spacing w:val="1"/>
          <w:position w:val="-1"/>
          <w:sz w:val="20"/>
          <w:szCs w:val="20"/>
          <w:lang w:val="es-AR"/>
        </w:rPr>
        <w:t>556.366.301)</w:t>
      </w:r>
    </w:p>
    <w:p w14:paraId="1E294978" w14:textId="77777777" w:rsidR="000B44E0" w:rsidRPr="0009028A" w:rsidRDefault="000B44E0" w:rsidP="008B5836">
      <w:pPr>
        <w:pStyle w:val="Textocomentario"/>
        <w:spacing w:after="0"/>
        <w:jc w:val="both"/>
        <w:rPr>
          <w:rFonts w:ascii="Arial" w:eastAsia="Arial" w:hAnsi="Arial" w:cs="Arial"/>
          <w:b/>
          <w:lang w:val="es-AR"/>
        </w:rPr>
      </w:pPr>
    </w:p>
    <w:p w14:paraId="26FC5FFE" w14:textId="7FAC7735" w:rsidR="008B5836" w:rsidRPr="0009028A" w:rsidRDefault="00835D2D" w:rsidP="009B5911">
      <w:pPr>
        <w:pStyle w:val="Ttulo2"/>
        <w:spacing w:afterAutospacing="0"/>
        <w:rPr>
          <w:rFonts w:ascii="Arial" w:hAnsi="Arial" w:cs="Arial"/>
        </w:rPr>
      </w:pPr>
      <w:bookmarkStart w:id="292" w:name="_Toc506991923"/>
      <w:bookmarkStart w:id="293" w:name="_Toc8735101"/>
      <w:r w:rsidRPr="0009028A">
        <w:rPr>
          <w:rFonts w:ascii="Arial" w:hAnsi="Arial" w:cs="Arial"/>
        </w:rPr>
        <w:t>1</w:t>
      </w:r>
      <w:r w:rsidR="00964E83">
        <w:rPr>
          <w:rFonts w:ascii="Arial" w:hAnsi="Arial" w:cs="Arial"/>
        </w:rPr>
        <w:t>1</w:t>
      </w:r>
      <w:r w:rsidR="008B5836" w:rsidRPr="0009028A">
        <w:rPr>
          <w:rFonts w:ascii="Arial" w:hAnsi="Arial" w:cs="Arial"/>
        </w:rPr>
        <w:t>.2 Objeto social de las asociadas y negocios conjuntos y naturaleza de la relación</w:t>
      </w:r>
      <w:bookmarkEnd w:id="292"/>
      <w:bookmarkEnd w:id="293"/>
    </w:p>
    <w:p w14:paraId="3AFB5D01" w14:textId="77777777" w:rsidR="008B5836" w:rsidRPr="0009028A" w:rsidRDefault="008B5836" w:rsidP="008B5836">
      <w:pPr>
        <w:pStyle w:val="Textocomentario"/>
        <w:spacing w:after="0"/>
        <w:jc w:val="both"/>
        <w:rPr>
          <w:rFonts w:ascii="Arial" w:eastAsia="Arial" w:hAnsi="Arial" w:cs="Arial"/>
          <w:b/>
          <w:highlight w:val="yellow"/>
          <w:lang w:val="es-AR"/>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060"/>
        <w:gridCol w:w="1086"/>
        <w:gridCol w:w="6765"/>
      </w:tblGrid>
      <w:tr w:rsidR="00BD7869" w:rsidRPr="0009028A" w14:paraId="498A2E0A" w14:textId="77777777" w:rsidTr="00A076C1">
        <w:trPr>
          <w:trHeight w:val="315"/>
          <w:tblHeader/>
        </w:trPr>
        <w:tc>
          <w:tcPr>
            <w:tcW w:w="1039" w:type="pct"/>
            <w:shd w:val="clear" w:color="auto" w:fill="auto"/>
            <w:vAlign w:val="center"/>
            <w:hideMark/>
          </w:tcPr>
          <w:p w14:paraId="582BBF03" w14:textId="77777777" w:rsidR="00BD7869" w:rsidRPr="0009028A" w:rsidRDefault="003B18AB" w:rsidP="00762104">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Sociedad</w:t>
            </w:r>
          </w:p>
        </w:tc>
        <w:tc>
          <w:tcPr>
            <w:tcW w:w="548" w:type="pct"/>
            <w:shd w:val="clear" w:color="auto" w:fill="auto"/>
            <w:vAlign w:val="center"/>
            <w:hideMark/>
          </w:tcPr>
          <w:p w14:paraId="214BB327" w14:textId="77777777" w:rsidR="00BD7869" w:rsidRPr="0009028A" w:rsidRDefault="00BD7869" w:rsidP="00762104">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Tipo</w:t>
            </w:r>
          </w:p>
        </w:tc>
        <w:tc>
          <w:tcPr>
            <w:tcW w:w="3413" w:type="pct"/>
            <w:shd w:val="clear" w:color="auto" w:fill="auto"/>
            <w:vAlign w:val="center"/>
            <w:hideMark/>
          </w:tcPr>
          <w:p w14:paraId="7024A992" w14:textId="77777777" w:rsidR="00BD7869" w:rsidRPr="0009028A" w:rsidRDefault="000A3D91" w:rsidP="00762104">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Actividad Principal</w:t>
            </w:r>
          </w:p>
        </w:tc>
      </w:tr>
      <w:tr w:rsidR="003B18AB" w:rsidRPr="0009028A" w14:paraId="264ADD22" w14:textId="77777777" w:rsidTr="00A076C1">
        <w:trPr>
          <w:trHeight w:val="1035"/>
        </w:trPr>
        <w:tc>
          <w:tcPr>
            <w:tcW w:w="1039" w:type="pct"/>
            <w:shd w:val="clear" w:color="auto" w:fill="auto"/>
            <w:vAlign w:val="center"/>
          </w:tcPr>
          <w:p w14:paraId="551513F7" w14:textId="77777777" w:rsidR="003B18AB" w:rsidRPr="0009028A" w:rsidRDefault="003B18AB" w:rsidP="003B18AB">
            <w:pPr>
              <w:spacing w:after="0" w:line="276"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Concesión La Pintada S</w:t>
            </w:r>
            <w:r w:rsidR="005744AF" w:rsidRPr="0009028A">
              <w:rPr>
                <w:rFonts w:ascii="Arial" w:eastAsia="Times New Roman" w:hAnsi="Arial" w:cs="Arial"/>
                <w:color w:val="000000"/>
                <w:sz w:val="18"/>
                <w:szCs w:val="18"/>
                <w:lang w:eastAsia="es-CO"/>
              </w:rPr>
              <w:t>.</w:t>
            </w:r>
            <w:r w:rsidRPr="0009028A">
              <w:rPr>
                <w:rFonts w:ascii="Arial" w:eastAsia="Times New Roman" w:hAnsi="Arial" w:cs="Arial"/>
                <w:color w:val="000000"/>
                <w:sz w:val="18"/>
                <w:szCs w:val="18"/>
                <w:lang w:eastAsia="es-CO"/>
              </w:rPr>
              <w:t>A</w:t>
            </w:r>
            <w:r w:rsidR="005744AF" w:rsidRPr="0009028A">
              <w:rPr>
                <w:rFonts w:ascii="Arial" w:eastAsia="Times New Roman" w:hAnsi="Arial" w:cs="Arial"/>
                <w:color w:val="000000"/>
                <w:sz w:val="18"/>
                <w:szCs w:val="18"/>
                <w:lang w:eastAsia="es-CO"/>
              </w:rPr>
              <w:t>.</w:t>
            </w:r>
            <w:r w:rsidRPr="0009028A">
              <w:rPr>
                <w:rFonts w:ascii="Arial" w:eastAsia="Times New Roman" w:hAnsi="Arial" w:cs="Arial"/>
                <w:color w:val="000000"/>
                <w:sz w:val="18"/>
                <w:szCs w:val="18"/>
                <w:lang w:eastAsia="es-CO"/>
              </w:rPr>
              <w:t>S</w:t>
            </w:r>
            <w:r w:rsidR="005744AF" w:rsidRPr="0009028A">
              <w:rPr>
                <w:rFonts w:ascii="Arial" w:eastAsia="Times New Roman" w:hAnsi="Arial" w:cs="Arial"/>
                <w:color w:val="000000"/>
                <w:sz w:val="18"/>
                <w:szCs w:val="18"/>
                <w:lang w:eastAsia="es-CO"/>
              </w:rPr>
              <w:t>.</w:t>
            </w:r>
          </w:p>
        </w:tc>
        <w:tc>
          <w:tcPr>
            <w:tcW w:w="548" w:type="pct"/>
            <w:shd w:val="clear" w:color="auto" w:fill="auto"/>
            <w:vAlign w:val="center"/>
          </w:tcPr>
          <w:p w14:paraId="24ABDEDF" w14:textId="77777777" w:rsidR="003B18AB" w:rsidRPr="0009028A" w:rsidRDefault="003B18AB" w:rsidP="003B18AB">
            <w:pPr>
              <w:spacing w:after="0" w:line="276" w:lineRule="auto"/>
              <w:jc w:val="center"/>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Asociada</w:t>
            </w:r>
          </w:p>
        </w:tc>
        <w:tc>
          <w:tcPr>
            <w:tcW w:w="3413" w:type="pct"/>
            <w:shd w:val="clear" w:color="auto" w:fill="auto"/>
            <w:vAlign w:val="center"/>
          </w:tcPr>
          <w:p w14:paraId="7091D951" w14:textId="77777777" w:rsidR="003B18AB" w:rsidRPr="0009028A" w:rsidRDefault="003B18AB" w:rsidP="003B18AB">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Sociedad Concesionaria encargada de ejecutar el proyecto vial denominado Autopista Conexión Pacifico 2 mediante el contrato de concesión No. 006 del 2014.</w:t>
            </w:r>
          </w:p>
        </w:tc>
      </w:tr>
      <w:tr w:rsidR="003B18AB" w:rsidRPr="0009028A" w14:paraId="099D50B9" w14:textId="77777777" w:rsidTr="00A076C1">
        <w:trPr>
          <w:trHeight w:val="1035"/>
        </w:trPr>
        <w:tc>
          <w:tcPr>
            <w:tcW w:w="1039" w:type="pct"/>
            <w:shd w:val="clear" w:color="auto" w:fill="auto"/>
            <w:vAlign w:val="center"/>
          </w:tcPr>
          <w:p w14:paraId="211219A0" w14:textId="77777777" w:rsidR="003B18AB" w:rsidRPr="0009028A" w:rsidRDefault="003B18AB" w:rsidP="003B18AB">
            <w:pPr>
              <w:spacing w:after="0" w:line="276"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Sociedad Concesionaria Operadora Aeroportuaria S.A.</w:t>
            </w:r>
          </w:p>
        </w:tc>
        <w:tc>
          <w:tcPr>
            <w:tcW w:w="548" w:type="pct"/>
            <w:shd w:val="clear" w:color="auto" w:fill="auto"/>
            <w:vAlign w:val="center"/>
          </w:tcPr>
          <w:p w14:paraId="4E6DD269" w14:textId="77777777" w:rsidR="003B18AB" w:rsidRPr="0009028A" w:rsidRDefault="003B18AB" w:rsidP="003B18AB">
            <w:pPr>
              <w:spacing w:after="0" w:line="276" w:lineRule="auto"/>
              <w:jc w:val="center"/>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Asociada</w:t>
            </w:r>
          </w:p>
        </w:tc>
        <w:tc>
          <w:tcPr>
            <w:tcW w:w="3413" w:type="pct"/>
            <w:shd w:val="clear" w:color="auto" w:fill="auto"/>
            <w:vAlign w:val="center"/>
          </w:tcPr>
          <w:p w14:paraId="662DE454" w14:textId="77777777" w:rsidR="003B18AB" w:rsidRPr="0009028A" w:rsidRDefault="003B18AB" w:rsidP="003B18AB">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Sociedad Concesionaria encargada de Administrar, modernizar, operar y explotar comercial y mantener el Aeropuerto El Dorado Luis Carlos Galán Sarmiento con el contrato No.6000169 del 12 de septiembre de 2006</w:t>
            </w:r>
            <w:r w:rsidR="00485DEA" w:rsidRPr="0009028A">
              <w:rPr>
                <w:rFonts w:ascii="Arial" w:eastAsia="Times New Roman" w:hAnsi="Arial" w:cs="Arial"/>
                <w:color w:val="000000"/>
                <w:sz w:val="18"/>
                <w:szCs w:val="18"/>
                <w:lang w:val="es-ES" w:eastAsia="es-419"/>
              </w:rPr>
              <w:t>.</w:t>
            </w:r>
          </w:p>
        </w:tc>
      </w:tr>
      <w:tr w:rsidR="003B18AB" w:rsidRPr="0009028A" w14:paraId="46CA499E" w14:textId="77777777" w:rsidTr="00A076C1">
        <w:trPr>
          <w:trHeight w:val="1035"/>
        </w:trPr>
        <w:tc>
          <w:tcPr>
            <w:tcW w:w="1039" w:type="pct"/>
            <w:shd w:val="clear" w:color="auto" w:fill="auto"/>
            <w:vAlign w:val="center"/>
          </w:tcPr>
          <w:p w14:paraId="732E7364" w14:textId="77777777" w:rsidR="003B18AB" w:rsidRPr="0009028A" w:rsidRDefault="003B18AB" w:rsidP="003B18AB">
            <w:pPr>
              <w:spacing w:after="0" w:line="276"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val="es-ES" w:eastAsia="es-419"/>
              </w:rPr>
              <w:t>Consorcio Farallones</w:t>
            </w:r>
          </w:p>
        </w:tc>
        <w:tc>
          <w:tcPr>
            <w:tcW w:w="548" w:type="pct"/>
            <w:shd w:val="clear" w:color="auto" w:fill="auto"/>
            <w:vAlign w:val="center"/>
          </w:tcPr>
          <w:p w14:paraId="580DA748" w14:textId="77777777" w:rsidR="003B18AB" w:rsidRPr="0009028A" w:rsidRDefault="003B18AB" w:rsidP="003B18AB">
            <w:pPr>
              <w:spacing w:after="0" w:line="276" w:lineRule="auto"/>
              <w:jc w:val="center"/>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Negocio conjunto</w:t>
            </w:r>
          </w:p>
        </w:tc>
        <w:tc>
          <w:tcPr>
            <w:tcW w:w="3413" w:type="pct"/>
            <w:shd w:val="clear" w:color="auto" w:fill="auto"/>
            <w:vAlign w:val="center"/>
          </w:tcPr>
          <w:p w14:paraId="1ED75AFC" w14:textId="77777777" w:rsidR="003B18AB" w:rsidRPr="0009028A" w:rsidRDefault="003B18AB" w:rsidP="003B18AB">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Encargados del diseño, rehabilitación y construcción de la vía la pintada- Bolombolo, obras que incluyen intersecciones, puentes, 37 km de doble calzada. 3 km de vía sencilla y 2.56 km de túnel.</w:t>
            </w:r>
          </w:p>
        </w:tc>
      </w:tr>
      <w:tr w:rsidR="003B18AB" w:rsidRPr="0009028A" w14:paraId="38EF2C1C" w14:textId="77777777" w:rsidTr="00A076C1">
        <w:trPr>
          <w:trHeight w:val="1035"/>
        </w:trPr>
        <w:tc>
          <w:tcPr>
            <w:tcW w:w="1039" w:type="pct"/>
            <w:shd w:val="clear" w:color="auto" w:fill="auto"/>
            <w:vAlign w:val="center"/>
          </w:tcPr>
          <w:p w14:paraId="59770498" w14:textId="77777777" w:rsidR="003B18AB" w:rsidRPr="0009028A" w:rsidRDefault="003B18AB" w:rsidP="003B18AB">
            <w:pPr>
              <w:spacing w:after="0" w:line="276"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Consorcio Constructor Nuevo Dorado - CCND</w:t>
            </w:r>
          </w:p>
        </w:tc>
        <w:tc>
          <w:tcPr>
            <w:tcW w:w="548" w:type="pct"/>
            <w:shd w:val="clear" w:color="auto" w:fill="auto"/>
            <w:vAlign w:val="center"/>
          </w:tcPr>
          <w:p w14:paraId="45F81F06" w14:textId="77777777" w:rsidR="003B18AB" w:rsidRPr="0009028A" w:rsidRDefault="003B18AB" w:rsidP="003B18AB">
            <w:pPr>
              <w:spacing w:after="0" w:line="276" w:lineRule="auto"/>
              <w:jc w:val="center"/>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Negocio conjunto</w:t>
            </w:r>
          </w:p>
        </w:tc>
        <w:tc>
          <w:tcPr>
            <w:tcW w:w="3413" w:type="pct"/>
            <w:shd w:val="clear" w:color="auto" w:fill="auto"/>
            <w:vAlign w:val="center"/>
          </w:tcPr>
          <w:p w14:paraId="5ACB00EB" w14:textId="77777777" w:rsidR="003B18AB" w:rsidRPr="0009028A" w:rsidRDefault="003B18AB" w:rsidP="003B18AB">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Consorcio encargado de la modernización y expansión del Aeropuerto Internacional el Dorado</w:t>
            </w:r>
            <w:r w:rsidR="00485DEA" w:rsidRPr="0009028A">
              <w:rPr>
                <w:rFonts w:ascii="Arial" w:eastAsia="Times New Roman" w:hAnsi="Arial" w:cs="Arial"/>
                <w:color w:val="000000"/>
                <w:sz w:val="18"/>
                <w:szCs w:val="18"/>
                <w:lang w:val="es-ES" w:eastAsia="es-419"/>
              </w:rPr>
              <w:t>.</w:t>
            </w:r>
          </w:p>
        </w:tc>
      </w:tr>
      <w:tr w:rsidR="003B18AB" w:rsidRPr="0009028A" w14:paraId="68BC1B40" w14:textId="77777777" w:rsidTr="00A076C1">
        <w:trPr>
          <w:trHeight w:val="1035"/>
        </w:trPr>
        <w:tc>
          <w:tcPr>
            <w:tcW w:w="1039" w:type="pct"/>
            <w:shd w:val="clear" w:color="auto" w:fill="auto"/>
            <w:vAlign w:val="center"/>
          </w:tcPr>
          <w:p w14:paraId="4A7C07DC" w14:textId="77777777" w:rsidR="003B18AB" w:rsidRPr="0009028A" w:rsidRDefault="003B18AB" w:rsidP="003B18AB">
            <w:pPr>
              <w:spacing w:after="0" w:line="276" w:lineRule="auto"/>
              <w:rPr>
                <w:rFonts w:ascii="Arial" w:eastAsia="Times New Roman" w:hAnsi="Arial" w:cs="Arial"/>
                <w:color w:val="000000"/>
                <w:sz w:val="18"/>
                <w:szCs w:val="18"/>
                <w:lang w:val="es-419" w:eastAsia="es-419"/>
              </w:rPr>
            </w:pPr>
            <w:r w:rsidRPr="0009028A">
              <w:rPr>
                <w:rFonts w:ascii="Arial" w:eastAsia="Times New Roman" w:hAnsi="Arial" w:cs="Arial"/>
                <w:color w:val="000000"/>
                <w:sz w:val="18"/>
                <w:szCs w:val="18"/>
                <w:lang w:eastAsia="es-CO"/>
              </w:rPr>
              <w:t>Consorcios Imhotep</w:t>
            </w:r>
          </w:p>
        </w:tc>
        <w:tc>
          <w:tcPr>
            <w:tcW w:w="548" w:type="pct"/>
            <w:shd w:val="clear" w:color="auto" w:fill="auto"/>
            <w:vAlign w:val="center"/>
          </w:tcPr>
          <w:p w14:paraId="13466D06" w14:textId="77777777" w:rsidR="003B18AB" w:rsidRPr="0009028A" w:rsidRDefault="003B18AB" w:rsidP="003B18AB">
            <w:pPr>
              <w:spacing w:after="0" w:line="276" w:lineRule="auto"/>
              <w:jc w:val="center"/>
              <w:rPr>
                <w:rFonts w:ascii="Arial" w:eastAsia="Times New Roman" w:hAnsi="Arial" w:cs="Arial"/>
                <w:color w:val="000000"/>
                <w:sz w:val="18"/>
                <w:szCs w:val="18"/>
                <w:lang w:val="es-419" w:eastAsia="es-419"/>
              </w:rPr>
            </w:pPr>
            <w:r w:rsidRPr="0009028A">
              <w:rPr>
                <w:rFonts w:ascii="Arial" w:eastAsia="Times New Roman" w:hAnsi="Arial" w:cs="Arial"/>
                <w:color w:val="000000"/>
                <w:sz w:val="18"/>
                <w:szCs w:val="18"/>
                <w:lang w:val="es-ES" w:eastAsia="es-419"/>
              </w:rPr>
              <w:t>Negocio conjunto</w:t>
            </w:r>
          </w:p>
        </w:tc>
        <w:tc>
          <w:tcPr>
            <w:tcW w:w="3413" w:type="pct"/>
            <w:shd w:val="clear" w:color="auto" w:fill="auto"/>
            <w:vAlign w:val="center"/>
          </w:tcPr>
          <w:p w14:paraId="0FD13A74" w14:textId="77777777" w:rsidR="003B18AB" w:rsidRPr="0009028A" w:rsidRDefault="003B18AB" w:rsidP="003B18AB">
            <w:pPr>
              <w:spacing w:after="0" w:line="276" w:lineRule="auto"/>
              <w:rPr>
                <w:rFonts w:ascii="Arial" w:eastAsia="Times New Roman" w:hAnsi="Arial" w:cs="Arial"/>
                <w:color w:val="000000"/>
                <w:sz w:val="18"/>
                <w:szCs w:val="18"/>
                <w:lang w:val="es-419" w:eastAsia="es-419"/>
              </w:rPr>
            </w:pPr>
            <w:r w:rsidRPr="0009028A">
              <w:rPr>
                <w:rFonts w:ascii="Arial" w:eastAsia="Times New Roman" w:hAnsi="Arial" w:cs="Arial"/>
                <w:color w:val="000000"/>
                <w:sz w:val="18"/>
                <w:szCs w:val="18"/>
                <w:lang w:val="es-ES" w:eastAsia="es-419"/>
              </w:rPr>
              <w:t>Construcción de todo tipo de estructuras en concreto reforzado o metálicas para puente y edificios, cuya construcción sea solicitada en invitaciones directas, licitaciones públicas o privadas.</w:t>
            </w:r>
          </w:p>
        </w:tc>
      </w:tr>
      <w:tr w:rsidR="003B18AB" w:rsidRPr="0009028A" w14:paraId="22F668CF" w14:textId="77777777" w:rsidTr="00A076C1">
        <w:trPr>
          <w:trHeight w:val="525"/>
        </w:trPr>
        <w:tc>
          <w:tcPr>
            <w:tcW w:w="1039" w:type="pct"/>
            <w:shd w:val="clear" w:color="auto" w:fill="auto"/>
            <w:vAlign w:val="center"/>
          </w:tcPr>
          <w:p w14:paraId="136E5F69" w14:textId="77777777" w:rsidR="003B18AB" w:rsidRPr="0009028A" w:rsidRDefault="003B18AB" w:rsidP="003B18AB">
            <w:pPr>
              <w:spacing w:after="0" w:line="276"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Agregados Argos S</w:t>
            </w:r>
            <w:r w:rsidR="00485DEA" w:rsidRPr="0009028A">
              <w:rPr>
                <w:rFonts w:ascii="Arial" w:eastAsia="Times New Roman" w:hAnsi="Arial" w:cs="Arial"/>
                <w:color w:val="000000"/>
                <w:sz w:val="18"/>
                <w:szCs w:val="18"/>
                <w:lang w:eastAsia="es-CO"/>
              </w:rPr>
              <w:t>.</w:t>
            </w:r>
            <w:r w:rsidRPr="0009028A">
              <w:rPr>
                <w:rFonts w:ascii="Arial" w:eastAsia="Times New Roman" w:hAnsi="Arial" w:cs="Arial"/>
                <w:color w:val="000000"/>
                <w:sz w:val="18"/>
                <w:szCs w:val="18"/>
                <w:lang w:eastAsia="es-CO"/>
              </w:rPr>
              <w:t>A</w:t>
            </w:r>
            <w:r w:rsidR="00485DEA" w:rsidRPr="0009028A">
              <w:rPr>
                <w:rFonts w:ascii="Arial" w:eastAsia="Times New Roman" w:hAnsi="Arial" w:cs="Arial"/>
                <w:color w:val="000000"/>
                <w:sz w:val="18"/>
                <w:szCs w:val="18"/>
                <w:lang w:eastAsia="es-CO"/>
              </w:rPr>
              <w:t>.</w:t>
            </w:r>
            <w:r w:rsidRPr="0009028A">
              <w:rPr>
                <w:rFonts w:ascii="Arial" w:eastAsia="Times New Roman" w:hAnsi="Arial" w:cs="Arial"/>
                <w:color w:val="000000"/>
                <w:sz w:val="18"/>
                <w:szCs w:val="18"/>
                <w:lang w:eastAsia="es-CO"/>
              </w:rPr>
              <w:t>S</w:t>
            </w:r>
            <w:r w:rsidR="00485DEA" w:rsidRPr="0009028A">
              <w:rPr>
                <w:rFonts w:ascii="Arial" w:eastAsia="Times New Roman" w:hAnsi="Arial" w:cs="Arial"/>
                <w:color w:val="000000"/>
                <w:sz w:val="18"/>
                <w:szCs w:val="18"/>
                <w:lang w:eastAsia="es-CO"/>
              </w:rPr>
              <w:t>.</w:t>
            </w:r>
          </w:p>
        </w:tc>
        <w:tc>
          <w:tcPr>
            <w:tcW w:w="548" w:type="pct"/>
            <w:shd w:val="clear" w:color="auto" w:fill="auto"/>
            <w:vAlign w:val="center"/>
          </w:tcPr>
          <w:p w14:paraId="0C4F0DF9" w14:textId="77777777" w:rsidR="003B18AB" w:rsidRPr="0009028A" w:rsidRDefault="003B18AB" w:rsidP="003B18AB">
            <w:pPr>
              <w:spacing w:after="0" w:line="276" w:lineRule="auto"/>
              <w:jc w:val="center"/>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Asociada</w:t>
            </w:r>
          </w:p>
        </w:tc>
        <w:tc>
          <w:tcPr>
            <w:tcW w:w="3413" w:type="pct"/>
            <w:shd w:val="clear" w:color="auto" w:fill="auto"/>
            <w:vAlign w:val="center"/>
          </w:tcPr>
          <w:p w14:paraId="4FD7C03B" w14:textId="77777777" w:rsidR="003B18AB" w:rsidRPr="0009028A" w:rsidRDefault="003B18AB" w:rsidP="003B18AB">
            <w:pPr>
              <w:spacing w:after="0" w:line="276" w:lineRule="auto"/>
              <w:rPr>
                <w:rFonts w:ascii="Arial" w:eastAsia="Arial" w:hAnsi="Arial" w:cs="Arial"/>
                <w:sz w:val="18"/>
                <w:szCs w:val="18"/>
                <w:lang w:val="es-AR"/>
              </w:rPr>
            </w:pPr>
            <w:r w:rsidRPr="0009028A">
              <w:rPr>
                <w:rFonts w:ascii="Arial" w:eastAsia="Times New Roman" w:hAnsi="Arial" w:cs="Arial"/>
                <w:color w:val="000000"/>
                <w:sz w:val="18"/>
                <w:szCs w:val="18"/>
                <w:lang w:val="es-ES" w:eastAsia="es-419"/>
              </w:rPr>
              <w:t>Extracción de piedra, arena, arcillas comunes, yeso y anhidrita, así como comercio al por mayor de materiales de construcción, artículos de ferretería, pinturas, productos de vidrio, equipo y materiales de fontanería y calefacción.</w:t>
            </w:r>
          </w:p>
        </w:tc>
      </w:tr>
      <w:tr w:rsidR="003B18AB" w:rsidRPr="0009028A" w14:paraId="41DAE23A" w14:textId="77777777" w:rsidTr="00A076C1">
        <w:trPr>
          <w:trHeight w:val="525"/>
        </w:trPr>
        <w:tc>
          <w:tcPr>
            <w:tcW w:w="1039" w:type="pct"/>
            <w:shd w:val="clear" w:color="auto" w:fill="auto"/>
            <w:vAlign w:val="center"/>
          </w:tcPr>
          <w:p w14:paraId="621F8AB7" w14:textId="77777777" w:rsidR="003B18AB" w:rsidRPr="0009028A" w:rsidRDefault="003B18AB" w:rsidP="003B18AB">
            <w:pPr>
              <w:spacing w:after="0" w:line="276"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Consorcio Mantenimiento Opain </w:t>
            </w:r>
          </w:p>
        </w:tc>
        <w:tc>
          <w:tcPr>
            <w:tcW w:w="548" w:type="pct"/>
            <w:shd w:val="clear" w:color="auto" w:fill="auto"/>
            <w:vAlign w:val="center"/>
          </w:tcPr>
          <w:p w14:paraId="6F196D30" w14:textId="77777777" w:rsidR="003B18AB" w:rsidRPr="0009028A" w:rsidRDefault="003B18AB" w:rsidP="003B18AB">
            <w:pPr>
              <w:spacing w:after="0" w:line="276" w:lineRule="auto"/>
              <w:jc w:val="center"/>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Negocio conjunto</w:t>
            </w:r>
          </w:p>
        </w:tc>
        <w:tc>
          <w:tcPr>
            <w:tcW w:w="3413" w:type="pct"/>
            <w:shd w:val="clear" w:color="auto" w:fill="auto"/>
            <w:vAlign w:val="center"/>
          </w:tcPr>
          <w:p w14:paraId="3D7EBB0E" w14:textId="77777777" w:rsidR="003B18AB" w:rsidRPr="0009028A" w:rsidRDefault="003B18AB" w:rsidP="003B18AB">
            <w:pPr>
              <w:spacing w:after="0" w:line="276" w:lineRule="auto"/>
              <w:rPr>
                <w:rFonts w:ascii="Arial" w:eastAsia="Arial" w:hAnsi="Arial" w:cs="Arial"/>
                <w:sz w:val="18"/>
                <w:szCs w:val="18"/>
                <w:lang w:val="es-AR"/>
              </w:rPr>
            </w:pPr>
            <w:r w:rsidRPr="0009028A">
              <w:rPr>
                <w:rFonts w:ascii="Arial" w:eastAsia="Times New Roman" w:hAnsi="Arial" w:cs="Arial"/>
                <w:color w:val="000000"/>
                <w:sz w:val="18"/>
                <w:szCs w:val="18"/>
                <w:lang w:val="es-ES" w:eastAsia="es-419"/>
              </w:rPr>
              <w:t>Servicios de mantenimiento de las obras que hacen parte de la etapa de modernización y expansión del Aeropuerto Internacional el Dorado, así como las obras y servicios complementarios</w:t>
            </w:r>
            <w:r w:rsidR="00485DEA" w:rsidRPr="0009028A">
              <w:rPr>
                <w:rFonts w:ascii="Arial" w:eastAsia="Times New Roman" w:hAnsi="Arial" w:cs="Arial"/>
                <w:color w:val="000000"/>
                <w:sz w:val="18"/>
                <w:szCs w:val="18"/>
                <w:lang w:val="es-ES" w:eastAsia="es-419"/>
              </w:rPr>
              <w:t>.</w:t>
            </w:r>
          </w:p>
        </w:tc>
      </w:tr>
      <w:tr w:rsidR="003B18AB" w:rsidRPr="0009028A" w14:paraId="7B9079A9" w14:textId="77777777" w:rsidTr="00A076C1">
        <w:trPr>
          <w:trHeight w:val="525"/>
        </w:trPr>
        <w:tc>
          <w:tcPr>
            <w:tcW w:w="1039" w:type="pct"/>
            <w:shd w:val="clear" w:color="auto" w:fill="auto"/>
            <w:vAlign w:val="center"/>
          </w:tcPr>
          <w:p w14:paraId="05259242" w14:textId="77777777" w:rsidR="003B18AB" w:rsidRPr="0009028A" w:rsidRDefault="003B18AB" w:rsidP="003B18AB">
            <w:pPr>
              <w:spacing w:after="0" w:line="276"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Aerotocumen S.A.</w:t>
            </w:r>
          </w:p>
        </w:tc>
        <w:tc>
          <w:tcPr>
            <w:tcW w:w="548" w:type="pct"/>
            <w:shd w:val="clear" w:color="auto" w:fill="auto"/>
            <w:vAlign w:val="center"/>
          </w:tcPr>
          <w:p w14:paraId="0D689086" w14:textId="77777777" w:rsidR="003B18AB" w:rsidRPr="0009028A" w:rsidRDefault="003B18AB" w:rsidP="003B18AB">
            <w:pPr>
              <w:spacing w:after="0" w:line="276" w:lineRule="auto"/>
              <w:jc w:val="center"/>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Negocio conjunto</w:t>
            </w:r>
          </w:p>
        </w:tc>
        <w:tc>
          <w:tcPr>
            <w:tcW w:w="3413" w:type="pct"/>
            <w:shd w:val="clear" w:color="auto" w:fill="auto"/>
            <w:vAlign w:val="center"/>
          </w:tcPr>
          <w:p w14:paraId="7F7D0E09" w14:textId="77777777" w:rsidR="003B18AB" w:rsidRPr="0009028A" w:rsidRDefault="003B18AB" w:rsidP="003B18AB">
            <w:pPr>
              <w:spacing w:after="0" w:line="276" w:lineRule="auto"/>
              <w:rPr>
                <w:rFonts w:ascii="Arial" w:eastAsia="Arial" w:hAnsi="Arial" w:cs="Arial"/>
                <w:sz w:val="18"/>
                <w:szCs w:val="18"/>
                <w:lang w:val="es-AR"/>
              </w:rPr>
            </w:pPr>
            <w:r w:rsidRPr="0009028A">
              <w:rPr>
                <w:rFonts w:ascii="Arial" w:eastAsia="Times New Roman" w:hAnsi="Arial" w:cs="Arial"/>
                <w:color w:val="000000"/>
                <w:sz w:val="18"/>
                <w:szCs w:val="18"/>
                <w:lang w:val="es-ES" w:eastAsia="es-419"/>
              </w:rPr>
              <w:t xml:space="preserve">República de Panamá, para incorporar mejoras en la construcción de la terminal del muelle norte y al sistema de abastecimiento de combustible y para la ampliación de la plataforma principal y nuevas calles de rodaje en el aeropuerto internacional de Tocumen. </w:t>
            </w:r>
          </w:p>
        </w:tc>
      </w:tr>
      <w:tr w:rsidR="003B18AB" w:rsidRPr="0009028A" w14:paraId="18C103A2" w14:textId="77777777" w:rsidTr="00A076C1">
        <w:trPr>
          <w:trHeight w:val="525"/>
        </w:trPr>
        <w:tc>
          <w:tcPr>
            <w:tcW w:w="1039" w:type="pct"/>
            <w:shd w:val="clear" w:color="auto" w:fill="auto"/>
            <w:vAlign w:val="center"/>
          </w:tcPr>
          <w:p w14:paraId="7098351D" w14:textId="77777777" w:rsidR="003B18AB" w:rsidRPr="0009028A" w:rsidRDefault="003B18AB" w:rsidP="003B18AB">
            <w:pPr>
              <w:spacing w:after="0" w:line="276" w:lineRule="auto"/>
              <w:rPr>
                <w:rFonts w:ascii="Arial" w:eastAsia="Times New Roman" w:hAnsi="Arial" w:cs="Arial"/>
                <w:color w:val="000000"/>
                <w:sz w:val="18"/>
                <w:szCs w:val="18"/>
                <w:lang w:val="es-419" w:eastAsia="es-419"/>
              </w:rPr>
            </w:pPr>
            <w:r w:rsidRPr="0009028A">
              <w:rPr>
                <w:rFonts w:ascii="Arial" w:eastAsia="Times New Roman" w:hAnsi="Arial" w:cs="Arial"/>
                <w:color w:val="000000"/>
                <w:sz w:val="18"/>
                <w:szCs w:val="18"/>
                <w:lang w:eastAsia="es-CO"/>
              </w:rPr>
              <w:t>Summa S</w:t>
            </w:r>
            <w:r w:rsidR="00485DEA" w:rsidRPr="0009028A">
              <w:rPr>
                <w:rFonts w:ascii="Arial" w:eastAsia="Times New Roman" w:hAnsi="Arial" w:cs="Arial"/>
                <w:color w:val="000000"/>
                <w:sz w:val="18"/>
                <w:szCs w:val="18"/>
                <w:lang w:eastAsia="es-CO"/>
              </w:rPr>
              <w:t>.</w:t>
            </w:r>
            <w:r w:rsidRPr="0009028A">
              <w:rPr>
                <w:rFonts w:ascii="Arial" w:eastAsia="Times New Roman" w:hAnsi="Arial" w:cs="Arial"/>
                <w:color w:val="000000"/>
                <w:sz w:val="18"/>
                <w:szCs w:val="18"/>
                <w:lang w:eastAsia="es-CO"/>
              </w:rPr>
              <w:t>A</w:t>
            </w:r>
            <w:r w:rsidR="00485DEA" w:rsidRPr="0009028A">
              <w:rPr>
                <w:rFonts w:ascii="Arial" w:eastAsia="Times New Roman" w:hAnsi="Arial" w:cs="Arial"/>
                <w:color w:val="000000"/>
                <w:sz w:val="18"/>
                <w:szCs w:val="18"/>
                <w:lang w:eastAsia="es-CO"/>
              </w:rPr>
              <w:t>.</w:t>
            </w:r>
            <w:r w:rsidRPr="0009028A">
              <w:rPr>
                <w:rFonts w:ascii="Arial" w:eastAsia="Times New Roman" w:hAnsi="Arial" w:cs="Arial"/>
                <w:color w:val="000000"/>
                <w:sz w:val="18"/>
                <w:szCs w:val="18"/>
                <w:lang w:eastAsia="es-CO"/>
              </w:rPr>
              <w:t>S</w:t>
            </w:r>
            <w:r w:rsidR="00485DEA" w:rsidRPr="0009028A">
              <w:rPr>
                <w:rFonts w:ascii="Arial" w:eastAsia="Times New Roman" w:hAnsi="Arial" w:cs="Arial"/>
                <w:color w:val="000000"/>
                <w:sz w:val="18"/>
                <w:szCs w:val="18"/>
                <w:lang w:eastAsia="es-CO"/>
              </w:rPr>
              <w:t>.</w:t>
            </w:r>
          </w:p>
        </w:tc>
        <w:tc>
          <w:tcPr>
            <w:tcW w:w="548" w:type="pct"/>
            <w:shd w:val="clear" w:color="auto" w:fill="auto"/>
            <w:vAlign w:val="center"/>
          </w:tcPr>
          <w:p w14:paraId="1A3A88F5" w14:textId="77777777" w:rsidR="003B18AB" w:rsidRPr="0009028A" w:rsidRDefault="003B18AB" w:rsidP="003B18AB">
            <w:pPr>
              <w:spacing w:after="0" w:line="276" w:lineRule="auto"/>
              <w:jc w:val="center"/>
              <w:rPr>
                <w:rFonts w:ascii="Arial" w:eastAsia="Times New Roman" w:hAnsi="Arial" w:cs="Arial"/>
                <w:color w:val="000000"/>
                <w:sz w:val="18"/>
                <w:szCs w:val="18"/>
                <w:lang w:val="es-419" w:eastAsia="es-419"/>
              </w:rPr>
            </w:pPr>
            <w:r w:rsidRPr="0009028A">
              <w:rPr>
                <w:rFonts w:ascii="Arial" w:eastAsia="Times New Roman" w:hAnsi="Arial" w:cs="Arial"/>
                <w:color w:val="000000"/>
                <w:sz w:val="18"/>
                <w:szCs w:val="18"/>
                <w:lang w:val="es-ES" w:eastAsia="es-419"/>
              </w:rPr>
              <w:t>Asociada</w:t>
            </w:r>
          </w:p>
        </w:tc>
        <w:tc>
          <w:tcPr>
            <w:tcW w:w="3413" w:type="pct"/>
            <w:shd w:val="clear" w:color="auto" w:fill="auto"/>
            <w:vAlign w:val="center"/>
          </w:tcPr>
          <w:p w14:paraId="52A4D660" w14:textId="77777777" w:rsidR="003B18AB" w:rsidRPr="0009028A" w:rsidRDefault="003B18AB" w:rsidP="003B18AB">
            <w:pPr>
              <w:spacing w:after="0" w:line="276" w:lineRule="auto"/>
              <w:rPr>
                <w:rFonts w:ascii="Arial" w:eastAsia="Times New Roman" w:hAnsi="Arial" w:cs="Arial"/>
                <w:color w:val="000000"/>
                <w:sz w:val="18"/>
                <w:szCs w:val="18"/>
                <w:lang w:val="es-419" w:eastAsia="es-419"/>
              </w:rPr>
            </w:pPr>
            <w:r w:rsidRPr="0009028A">
              <w:rPr>
                <w:rFonts w:ascii="Arial" w:eastAsia="Arial" w:hAnsi="Arial" w:cs="Arial"/>
                <w:sz w:val="18"/>
                <w:szCs w:val="18"/>
                <w:lang w:val="es-AR"/>
              </w:rPr>
              <w:t>Prestación en Colombia y en el exterior de servicios empresariales especializados a las empresas vinculadas al Grupo Empresarial Argos o a terceros, en cualquier área que pueda crear valor para sus clientes; la prestación de servicios de consultoría o interventoría en cualquiera de los negocios de las sociedades que conforman el Grupo Empresarial Argos o a terceros</w:t>
            </w:r>
            <w:r w:rsidR="00485DEA" w:rsidRPr="0009028A">
              <w:rPr>
                <w:rFonts w:ascii="Arial" w:eastAsia="Arial" w:hAnsi="Arial" w:cs="Arial"/>
                <w:sz w:val="18"/>
                <w:szCs w:val="18"/>
                <w:lang w:val="es-AR"/>
              </w:rPr>
              <w:t>.</w:t>
            </w:r>
          </w:p>
        </w:tc>
      </w:tr>
      <w:tr w:rsidR="003B18AB" w:rsidRPr="0009028A" w14:paraId="69E4BC02" w14:textId="77777777" w:rsidTr="00A076C1">
        <w:trPr>
          <w:trHeight w:val="780"/>
        </w:trPr>
        <w:tc>
          <w:tcPr>
            <w:tcW w:w="1039" w:type="pct"/>
            <w:shd w:val="clear" w:color="auto" w:fill="auto"/>
            <w:vAlign w:val="center"/>
          </w:tcPr>
          <w:p w14:paraId="3FB520C3" w14:textId="77777777" w:rsidR="003B18AB" w:rsidRPr="0009028A" w:rsidRDefault="003B18AB" w:rsidP="003B18AB">
            <w:pPr>
              <w:spacing w:after="0" w:line="276" w:lineRule="auto"/>
              <w:rPr>
                <w:rFonts w:ascii="Arial" w:eastAsia="Times New Roman" w:hAnsi="Arial" w:cs="Arial"/>
                <w:color w:val="000000"/>
                <w:sz w:val="18"/>
                <w:szCs w:val="18"/>
                <w:lang w:val="en-US" w:eastAsia="es-CO"/>
              </w:rPr>
            </w:pPr>
            <w:r w:rsidRPr="0009028A">
              <w:rPr>
                <w:rFonts w:ascii="Arial" w:eastAsia="Times New Roman" w:hAnsi="Arial" w:cs="Arial"/>
                <w:color w:val="000000"/>
                <w:sz w:val="18"/>
                <w:szCs w:val="18"/>
                <w:lang w:val="en-US" w:eastAsia="es-CO"/>
              </w:rPr>
              <w:t>International Airport Finance S.A.</w:t>
            </w:r>
          </w:p>
        </w:tc>
        <w:tc>
          <w:tcPr>
            <w:tcW w:w="548" w:type="pct"/>
            <w:shd w:val="clear" w:color="auto" w:fill="auto"/>
            <w:vAlign w:val="center"/>
          </w:tcPr>
          <w:p w14:paraId="22B6BA8C" w14:textId="77777777" w:rsidR="003B18AB" w:rsidRPr="0009028A" w:rsidRDefault="003B18AB" w:rsidP="003B18AB">
            <w:pPr>
              <w:spacing w:after="0" w:line="276" w:lineRule="auto"/>
              <w:jc w:val="center"/>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 xml:space="preserve">Asociada </w:t>
            </w:r>
          </w:p>
        </w:tc>
        <w:tc>
          <w:tcPr>
            <w:tcW w:w="3413" w:type="pct"/>
            <w:shd w:val="clear" w:color="auto" w:fill="auto"/>
            <w:vAlign w:val="center"/>
          </w:tcPr>
          <w:p w14:paraId="571F614D" w14:textId="77777777" w:rsidR="003B18AB" w:rsidRPr="0009028A" w:rsidRDefault="003B18AB" w:rsidP="003B18AB">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Constituida en la Madrid España con objeto social de otras actividades crediticias</w:t>
            </w:r>
            <w:r w:rsidR="00485DEA" w:rsidRPr="0009028A">
              <w:rPr>
                <w:rFonts w:ascii="Arial" w:eastAsia="Times New Roman" w:hAnsi="Arial" w:cs="Arial"/>
                <w:color w:val="000000"/>
                <w:sz w:val="18"/>
                <w:szCs w:val="18"/>
                <w:lang w:val="es-ES" w:eastAsia="es-419"/>
              </w:rPr>
              <w:t>.</w:t>
            </w:r>
          </w:p>
        </w:tc>
      </w:tr>
      <w:tr w:rsidR="003B18AB" w:rsidRPr="0009028A" w14:paraId="78C0AB74" w14:textId="77777777" w:rsidTr="00A076C1">
        <w:trPr>
          <w:trHeight w:val="780"/>
        </w:trPr>
        <w:tc>
          <w:tcPr>
            <w:tcW w:w="1039" w:type="pct"/>
            <w:shd w:val="clear" w:color="auto" w:fill="auto"/>
            <w:vAlign w:val="center"/>
            <w:hideMark/>
          </w:tcPr>
          <w:p w14:paraId="070D8E4B" w14:textId="77777777" w:rsidR="003B18AB" w:rsidRPr="0009028A" w:rsidRDefault="003B18AB" w:rsidP="003B18AB">
            <w:pPr>
              <w:spacing w:after="0" w:line="276" w:lineRule="auto"/>
              <w:rPr>
                <w:rFonts w:ascii="Arial" w:eastAsia="Times New Roman" w:hAnsi="Arial" w:cs="Arial"/>
                <w:color w:val="000000"/>
                <w:sz w:val="18"/>
                <w:szCs w:val="18"/>
                <w:lang w:val="es-419" w:eastAsia="es-419"/>
              </w:rPr>
            </w:pPr>
            <w:r w:rsidRPr="0009028A">
              <w:rPr>
                <w:rFonts w:ascii="Arial" w:eastAsia="Times New Roman" w:hAnsi="Arial" w:cs="Arial"/>
                <w:color w:val="000000"/>
                <w:sz w:val="18"/>
                <w:szCs w:val="18"/>
                <w:lang w:eastAsia="es-CO"/>
              </w:rPr>
              <w:t xml:space="preserve">Consorcio Odinsa Mincivil </w:t>
            </w:r>
            <w:r w:rsidR="00485DEA" w:rsidRPr="0009028A">
              <w:rPr>
                <w:rFonts w:ascii="Arial" w:eastAsia="Times New Roman" w:hAnsi="Arial" w:cs="Arial"/>
                <w:color w:val="000000"/>
                <w:sz w:val="18"/>
                <w:szCs w:val="18"/>
                <w:lang w:eastAsia="es-CO"/>
              </w:rPr>
              <w:t>Cóndor</w:t>
            </w:r>
          </w:p>
        </w:tc>
        <w:tc>
          <w:tcPr>
            <w:tcW w:w="548" w:type="pct"/>
            <w:shd w:val="clear" w:color="auto" w:fill="auto"/>
            <w:vAlign w:val="center"/>
            <w:hideMark/>
          </w:tcPr>
          <w:p w14:paraId="2E188680" w14:textId="77777777" w:rsidR="003B18AB" w:rsidRPr="0009028A" w:rsidRDefault="003B18AB" w:rsidP="003B18AB">
            <w:pPr>
              <w:spacing w:after="0" w:line="276" w:lineRule="auto"/>
              <w:jc w:val="center"/>
              <w:rPr>
                <w:rFonts w:ascii="Arial" w:eastAsia="Times New Roman" w:hAnsi="Arial" w:cs="Arial"/>
                <w:color w:val="000000"/>
                <w:sz w:val="18"/>
                <w:szCs w:val="18"/>
                <w:lang w:val="es-419" w:eastAsia="es-419"/>
              </w:rPr>
            </w:pPr>
            <w:r w:rsidRPr="0009028A">
              <w:rPr>
                <w:rFonts w:ascii="Arial" w:eastAsia="Times New Roman" w:hAnsi="Arial" w:cs="Arial"/>
                <w:color w:val="000000"/>
                <w:sz w:val="18"/>
                <w:szCs w:val="18"/>
                <w:lang w:val="es-ES" w:eastAsia="es-419"/>
              </w:rPr>
              <w:t>Negocio conjunto</w:t>
            </w:r>
          </w:p>
        </w:tc>
        <w:tc>
          <w:tcPr>
            <w:tcW w:w="3413" w:type="pct"/>
            <w:shd w:val="clear" w:color="auto" w:fill="auto"/>
            <w:vAlign w:val="center"/>
            <w:hideMark/>
          </w:tcPr>
          <w:p w14:paraId="7DEC9943" w14:textId="77777777" w:rsidR="003B18AB" w:rsidRPr="0009028A" w:rsidRDefault="003B18AB" w:rsidP="003B18AB">
            <w:pPr>
              <w:spacing w:after="0" w:line="276" w:lineRule="auto"/>
              <w:rPr>
                <w:rFonts w:ascii="Arial" w:eastAsia="Times New Roman" w:hAnsi="Arial" w:cs="Arial"/>
                <w:color w:val="000000"/>
                <w:sz w:val="18"/>
                <w:szCs w:val="18"/>
                <w:lang w:val="es-419" w:eastAsia="es-419"/>
              </w:rPr>
            </w:pPr>
            <w:r w:rsidRPr="0009028A">
              <w:rPr>
                <w:rFonts w:ascii="Arial" w:eastAsia="Times New Roman" w:hAnsi="Arial" w:cs="Arial"/>
                <w:color w:val="000000"/>
                <w:sz w:val="18"/>
                <w:szCs w:val="18"/>
                <w:lang w:val="es-ES" w:eastAsia="es-419"/>
              </w:rPr>
              <w:t xml:space="preserve">Mejoramiento del terreno de la zona de mantenimiento y construcción de las plataformas de carga para el nuevo edificio </w:t>
            </w:r>
            <w:r w:rsidR="00485DEA" w:rsidRPr="0009028A">
              <w:rPr>
                <w:rFonts w:ascii="Arial" w:eastAsia="Times New Roman" w:hAnsi="Arial" w:cs="Arial"/>
                <w:color w:val="000000"/>
                <w:sz w:val="18"/>
                <w:szCs w:val="18"/>
                <w:lang w:val="es-ES" w:eastAsia="es-419"/>
              </w:rPr>
              <w:t xml:space="preserve">terminal </w:t>
            </w:r>
            <w:r w:rsidRPr="0009028A">
              <w:rPr>
                <w:rFonts w:ascii="Arial" w:eastAsia="Times New Roman" w:hAnsi="Arial" w:cs="Arial"/>
                <w:color w:val="000000"/>
                <w:sz w:val="18"/>
                <w:szCs w:val="18"/>
                <w:lang w:val="es-ES" w:eastAsia="es-419"/>
              </w:rPr>
              <w:t>de carga Fase I del Aeropuerto Internacional el Dorado</w:t>
            </w:r>
            <w:r w:rsidR="00485DEA" w:rsidRPr="0009028A">
              <w:rPr>
                <w:rFonts w:ascii="Arial" w:eastAsia="Times New Roman" w:hAnsi="Arial" w:cs="Arial"/>
                <w:color w:val="000000"/>
                <w:sz w:val="18"/>
                <w:szCs w:val="18"/>
                <w:lang w:val="es-ES" w:eastAsia="es-419"/>
              </w:rPr>
              <w:t>.</w:t>
            </w:r>
          </w:p>
        </w:tc>
      </w:tr>
    </w:tbl>
    <w:p w14:paraId="127E74C2" w14:textId="77777777" w:rsidR="00BD7869" w:rsidRPr="0009028A" w:rsidRDefault="00BD7869" w:rsidP="008B5836">
      <w:pPr>
        <w:pStyle w:val="Textocomentario"/>
        <w:spacing w:after="0"/>
        <w:jc w:val="both"/>
        <w:rPr>
          <w:rFonts w:ascii="Arial" w:eastAsia="Arial" w:hAnsi="Arial" w:cs="Arial"/>
          <w:b/>
          <w:highlight w:val="yellow"/>
          <w:lang w:val="es-AR"/>
        </w:rPr>
      </w:pPr>
    </w:p>
    <w:p w14:paraId="1851F472" w14:textId="77777777" w:rsidR="000B44E0" w:rsidRPr="0009028A" w:rsidRDefault="000B44E0" w:rsidP="008B5836">
      <w:pPr>
        <w:pStyle w:val="Textocomentario"/>
        <w:spacing w:after="0"/>
        <w:jc w:val="both"/>
        <w:rPr>
          <w:rFonts w:ascii="Arial" w:eastAsia="Arial" w:hAnsi="Arial" w:cs="Arial"/>
          <w:b/>
          <w:highlight w:val="yellow"/>
          <w:lang w:val="es-AR"/>
        </w:rPr>
      </w:pPr>
    </w:p>
    <w:p w14:paraId="076C4A26" w14:textId="6737A818" w:rsidR="00560263" w:rsidRPr="0009028A" w:rsidRDefault="006411C1" w:rsidP="009B5911">
      <w:pPr>
        <w:pStyle w:val="Ttulo2"/>
        <w:spacing w:afterAutospacing="0"/>
        <w:rPr>
          <w:rFonts w:ascii="Arial" w:hAnsi="Arial" w:cs="Arial"/>
        </w:rPr>
      </w:pPr>
      <w:bookmarkStart w:id="294" w:name="_Toc506991924"/>
      <w:bookmarkStart w:id="295" w:name="_Toc8735102"/>
      <w:r>
        <w:rPr>
          <w:rFonts w:ascii="Arial" w:hAnsi="Arial" w:cs="Arial"/>
        </w:rPr>
        <w:t>1</w:t>
      </w:r>
      <w:r w:rsidR="00964E83">
        <w:rPr>
          <w:rFonts w:ascii="Arial" w:hAnsi="Arial" w:cs="Arial"/>
        </w:rPr>
        <w:t>1</w:t>
      </w:r>
      <w:r w:rsidR="00560263" w:rsidRPr="0009028A">
        <w:rPr>
          <w:rFonts w:ascii="Arial" w:hAnsi="Arial" w:cs="Arial"/>
        </w:rPr>
        <w:t>.3 Cambios en la participación de propiedad en asociadas y negocios conjuntos</w:t>
      </w:r>
      <w:bookmarkEnd w:id="294"/>
      <w:bookmarkEnd w:id="295"/>
    </w:p>
    <w:p w14:paraId="606549C0" w14:textId="77777777" w:rsidR="00560263" w:rsidRPr="0009028A" w:rsidRDefault="00560263" w:rsidP="00560263">
      <w:pPr>
        <w:autoSpaceDE w:val="0"/>
        <w:autoSpaceDN w:val="0"/>
        <w:adjustRightInd w:val="0"/>
        <w:spacing w:after="0" w:line="201" w:lineRule="atLeast"/>
        <w:jc w:val="both"/>
        <w:rPr>
          <w:rFonts w:ascii="Arial" w:eastAsia="Arial" w:hAnsi="Arial" w:cs="Arial"/>
          <w:sz w:val="16"/>
          <w:szCs w:val="16"/>
          <w:lang w:val="es-AR"/>
        </w:rPr>
      </w:pPr>
    </w:p>
    <w:p w14:paraId="28CB4290" w14:textId="77777777" w:rsidR="00656587" w:rsidRPr="0009028A" w:rsidRDefault="00656587" w:rsidP="00073FE9">
      <w:pPr>
        <w:spacing w:after="0"/>
        <w:jc w:val="both"/>
        <w:rPr>
          <w:rFonts w:ascii="Arial" w:eastAsia="Arial" w:hAnsi="Arial" w:cs="Arial"/>
          <w:color w:val="002060"/>
          <w:sz w:val="20"/>
          <w:szCs w:val="20"/>
        </w:rPr>
      </w:pPr>
      <w:r w:rsidRPr="0009028A">
        <w:rPr>
          <w:rFonts w:ascii="Arial" w:eastAsia="Arial" w:hAnsi="Arial" w:cs="Arial"/>
          <w:b/>
          <w:color w:val="002060"/>
          <w:sz w:val="20"/>
          <w:szCs w:val="20"/>
          <w:lang w:val="es-ES"/>
        </w:rPr>
        <w:t xml:space="preserve">International Airport Finance S.A.: </w:t>
      </w:r>
      <w:r w:rsidRPr="0009028A">
        <w:rPr>
          <w:rFonts w:ascii="Arial" w:eastAsia="Arial" w:hAnsi="Arial" w:cs="Arial"/>
          <w:sz w:val="20"/>
          <w:szCs w:val="20"/>
          <w:lang w:val="es-ES"/>
        </w:rPr>
        <w:t>Durante el primer trimestre se realizó</w:t>
      </w:r>
      <w:r w:rsidR="000B44E0" w:rsidRPr="0009028A">
        <w:rPr>
          <w:rFonts w:ascii="Arial" w:eastAsia="Arial" w:hAnsi="Arial" w:cs="Arial"/>
          <w:sz w:val="20"/>
          <w:szCs w:val="20"/>
          <w:lang w:val="es-ES"/>
        </w:rPr>
        <w:t xml:space="preserve"> la</w:t>
      </w:r>
      <w:r w:rsidRPr="0009028A">
        <w:rPr>
          <w:rFonts w:ascii="Arial" w:eastAsia="Arial" w:hAnsi="Arial" w:cs="Arial"/>
          <w:sz w:val="20"/>
          <w:szCs w:val="20"/>
          <w:lang w:val="es-ES"/>
        </w:rPr>
        <w:t xml:space="preserve"> inversión</w:t>
      </w:r>
      <w:r w:rsidR="000B44E0" w:rsidRPr="0009028A">
        <w:rPr>
          <w:rFonts w:ascii="Arial" w:eastAsia="Arial" w:hAnsi="Arial" w:cs="Arial"/>
          <w:sz w:val="20"/>
          <w:szCs w:val="20"/>
          <w:lang w:val="es-ES"/>
        </w:rPr>
        <w:t>.</w:t>
      </w:r>
      <w:r w:rsidRPr="0009028A">
        <w:rPr>
          <w:rFonts w:ascii="Arial" w:eastAsia="Arial" w:hAnsi="Arial" w:cs="Arial"/>
          <w:sz w:val="20"/>
          <w:szCs w:val="20"/>
          <w:lang w:val="es-ES"/>
        </w:rPr>
        <w:t xml:space="preserve"> </w:t>
      </w:r>
    </w:p>
    <w:p w14:paraId="18C552CD" w14:textId="77777777" w:rsidR="00656587" w:rsidRPr="0009028A" w:rsidRDefault="00656587" w:rsidP="00073FE9">
      <w:pPr>
        <w:spacing w:after="0"/>
        <w:jc w:val="both"/>
        <w:rPr>
          <w:rFonts w:ascii="Arial" w:eastAsia="Arial" w:hAnsi="Arial" w:cs="Arial"/>
          <w:b/>
          <w:color w:val="002060"/>
          <w:sz w:val="20"/>
          <w:szCs w:val="20"/>
          <w:lang w:val="es-ES"/>
        </w:rPr>
      </w:pPr>
    </w:p>
    <w:p w14:paraId="650636B2" w14:textId="77777777" w:rsidR="00073FE9" w:rsidRPr="0009028A" w:rsidRDefault="00073FE9" w:rsidP="00073FE9">
      <w:pPr>
        <w:spacing w:after="0"/>
        <w:jc w:val="both"/>
        <w:rPr>
          <w:rFonts w:ascii="Arial" w:eastAsia="Arial" w:hAnsi="Arial" w:cs="Arial"/>
          <w:sz w:val="20"/>
          <w:szCs w:val="20"/>
          <w:lang w:val="es-ES"/>
        </w:rPr>
      </w:pPr>
      <w:r w:rsidRPr="0009028A">
        <w:rPr>
          <w:rFonts w:ascii="Arial" w:eastAsia="Arial" w:hAnsi="Arial" w:cs="Arial"/>
          <w:b/>
          <w:color w:val="002060"/>
          <w:sz w:val="20"/>
          <w:szCs w:val="20"/>
          <w:lang w:val="es-ES"/>
        </w:rPr>
        <w:t>Concesión La Pintada S</w:t>
      </w:r>
      <w:r w:rsidR="005744AF" w:rsidRPr="0009028A">
        <w:rPr>
          <w:rFonts w:ascii="Arial" w:eastAsia="Arial" w:hAnsi="Arial" w:cs="Arial"/>
          <w:b/>
          <w:color w:val="002060"/>
          <w:sz w:val="20"/>
          <w:szCs w:val="20"/>
          <w:lang w:val="es-ES"/>
        </w:rPr>
        <w:t>.</w:t>
      </w:r>
      <w:r w:rsidRPr="0009028A">
        <w:rPr>
          <w:rFonts w:ascii="Arial" w:eastAsia="Arial" w:hAnsi="Arial" w:cs="Arial"/>
          <w:b/>
          <w:color w:val="002060"/>
          <w:sz w:val="20"/>
          <w:szCs w:val="20"/>
          <w:lang w:val="es-ES"/>
        </w:rPr>
        <w:t>A</w:t>
      </w:r>
      <w:r w:rsidR="005744AF" w:rsidRPr="0009028A">
        <w:rPr>
          <w:rFonts w:ascii="Arial" w:eastAsia="Arial" w:hAnsi="Arial" w:cs="Arial"/>
          <w:b/>
          <w:color w:val="002060"/>
          <w:sz w:val="20"/>
          <w:szCs w:val="20"/>
          <w:lang w:val="es-ES"/>
        </w:rPr>
        <w:t>.</w:t>
      </w:r>
      <w:r w:rsidRPr="0009028A">
        <w:rPr>
          <w:rFonts w:ascii="Arial" w:eastAsia="Arial" w:hAnsi="Arial" w:cs="Arial"/>
          <w:b/>
          <w:color w:val="002060"/>
          <w:sz w:val="20"/>
          <w:szCs w:val="20"/>
          <w:lang w:val="es-ES"/>
        </w:rPr>
        <w:t>S</w:t>
      </w:r>
      <w:r w:rsidR="005744AF" w:rsidRPr="0009028A">
        <w:rPr>
          <w:rFonts w:ascii="Arial" w:eastAsia="Arial" w:hAnsi="Arial" w:cs="Arial"/>
          <w:b/>
          <w:color w:val="002060"/>
          <w:sz w:val="20"/>
          <w:szCs w:val="20"/>
          <w:lang w:val="es-ES"/>
        </w:rPr>
        <w:t>.</w:t>
      </w:r>
      <w:r w:rsidRPr="0009028A">
        <w:rPr>
          <w:rFonts w:ascii="Arial" w:eastAsia="Arial" w:hAnsi="Arial" w:cs="Arial"/>
          <w:b/>
          <w:color w:val="002060"/>
          <w:sz w:val="20"/>
          <w:szCs w:val="20"/>
          <w:lang w:val="es-ES"/>
        </w:rPr>
        <w:t>:</w:t>
      </w:r>
      <w:r w:rsidRPr="0009028A">
        <w:rPr>
          <w:rFonts w:ascii="Arial" w:eastAsia="Arial" w:hAnsi="Arial" w:cs="Arial"/>
          <w:sz w:val="20"/>
          <w:szCs w:val="20"/>
          <w:lang w:val="es-ES"/>
        </w:rPr>
        <w:t xml:space="preserve"> En el primer trimestre del año 2019, se efectuó un a</w:t>
      </w:r>
      <w:r w:rsidR="007E6E24" w:rsidRPr="0009028A">
        <w:rPr>
          <w:rFonts w:ascii="Arial" w:eastAsia="Arial" w:hAnsi="Arial" w:cs="Arial"/>
          <w:sz w:val="20"/>
          <w:szCs w:val="20"/>
          <w:lang w:val="es-ES"/>
        </w:rPr>
        <w:t>porte de equity por $32.565.05</w:t>
      </w:r>
      <w:r w:rsidRPr="0009028A">
        <w:rPr>
          <w:rFonts w:ascii="Arial" w:eastAsia="Arial" w:hAnsi="Arial" w:cs="Arial"/>
          <w:sz w:val="20"/>
          <w:szCs w:val="20"/>
          <w:lang w:val="es-ES"/>
        </w:rPr>
        <w:t>0, el cual no gener</w:t>
      </w:r>
      <w:r w:rsidR="00656587" w:rsidRPr="0009028A">
        <w:rPr>
          <w:rFonts w:ascii="Arial" w:eastAsia="Arial" w:hAnsi="Arial" w:cs="Arial"/>
          <w:sz w:val="20"/>
          <w:szCs w:val="20"/>
          <w:lang w:val="es-ES"/>
        </w:rPr>
        <w:t>ó</w:t>
      </w:r>
      <w:r w:rsidRPr="0009028A">
        <w:rPr>
          <w:rFonts w:ascii="Arial" w:eastAsia="Arial" w:hAnsi="Arial" w:cs="Arial"/>
          <w:sz w:val="20"/>
          <w:szCs w:val="20"/>
          <w:lang w:val="es-ES"/>
        </w:rPr>
        <w:t xml:space="preserve"> cambio en la participación de la asociada.</w:t>
      </w:r>
    </w:p>
    <w:p w14:paraId="3A6D3BA8" w14:textId="77777777" w:rsidR="00073FE9" w:rsidRPr="0009028A" w:rsidRDefault="00073FE9" w:rsidP="00073FE9">
      <w:pPr>
        <w:spacing w:after="0"/>
        <w:jc w:val="both"/>
        <w:rPr>
          <w:rFonts w:ascii="Arial" w:eastAsia="Arial" w:hAnsi="Arial" w:cs="Arial"/>
          <w:sz w:val="20"/>
          <w:szCs w:val="20"/>
          <w:lang w:val="es-ES"/>
        </w:rPr>
      </w:pPr>
    </w:p>
    <w:p w14:paraId="0B967294" w14:textId="77777777" w:rsidR="00560263" w:rsidRPr="0009028A" w:rsidRDefault="00D35AA9" w:rsidP="00560263">
      <w:pPr>
        <w:spacing w:after="0"/>
        <w:jc w:val="both"/>
        <w:rPr>
          <w:rFonts w:ascii="Arial" w:hAnsi="Arial" w:cs="Arial"/>
          <w:sz w:val="20"/>
          <w:szCs w:val="20"/>
          <w:lang w:val="es-ES"/>
        </w:rPr>
      </w:pPr>
      <w:r w:rsidRPr="0009028A">
        <w:rPr>
          <w:rFonts w:ascii="Arial" w:eastAsia="Arial" w:hAnsi="Arial" w:cs="Arial"/>
          <w:b/>
          <w:color w:val="002060"/>
          <w:sz w:val="20"/>
          <w:szCs w:val="20"/>
          <w:lang w:val="es-ES"/>
        </w:rPr>
        <w:t>Consorcio Constructor Nuevo Dorado:</w:t>
      </w:r>
      <w:r w:rsidR="00450300" w:rsidRPr="0009028A">
        <w:rPr>
          <w:rFonts w:ascii="Arial" w:eastAsia="Arial" w:hAnsi="Arial" w:cs="Arial"/>
          <w:sz w:val="20"/>
          <w:szCs w:val="20"/>
          <w:lang w:val="es-ES"/>
        </w:rPr>
        <w:t xml:space="preserve"> </w:t>
      </w:r>
      <w:r w:rsidR="0042557A" w:rsidRPr="0009028A">
        <w:rPr>
          <w:rFonts w:ascii="Arial" w:hAnsi="Arial" w:cs="Arial"/>
          <w:sz w:val="20"/>
          <w:szCs w:val="20"/>
          <w:lang w:val="es-ES"/>
        </w:rPr>
        <w:t>No se presentan cambios en la participación. En ma</w:t>
      </w:r>
      <w:r w:rsidR="00073FE9" w:rsidRPr="0009028A">
        <w:rPr>
          <w:rFonts w:ascii="Arial" w:hAnsi="Arial" w:cs="Arial"/>
          <w:sz w:val="20"/>
          <w:szCs w:val="20"/>
          <w:lang w:val="es-ES"/>
        </w:rPr>
        <w:t>rzo 2019</w:t>
      </w:r>
      <w:r w:rsidR="0042557A" w:rsidRPr="0009028A">
        <w:rPr>
          <w:rFonts w:ascii="Arial" w:hAnsi="Arial" w:cs="Arial"/>
          <w:sz w:val="20"/>
          <w:szCs w:val="20"/>
          <w:lang w:val="es-ES"/>
        </w:rPr>
        <w:t>, se recibió una restituc</w:t>
      </w:r>
      <w:r w:rsidR="003118EC" w:rsidRPr="0009028A">
        <w:rPr>
          <w:rFonts w:ascii="Arial" w:hAnsi="Arial" w:cs="Arial"/>
          <w:sz w:val="20"/>
          <w:szCs w:val="20"/>
          <w:lang w:val="es-ES"/>
        </w:rPr>
        <w:t>ión de aportes por $</w:t>
      </w:r>
      <w:r w:rsidR="00073FE9" w:rsidRPr="0009028A">
        <w:rPr>
          <w:rFonts w:ascii="Arial" w:hAnsi="Arial" w:cs="Arial"/>
          <w:sz w:val="20"/>
          <w:szCs w:val="20"/>
          <w:lang w:val="es-ES"/>
        </w:rPr>
        <w:t>3.500.000</w:t>
      </w:r>
      <w:r w:rsidR="007E6E24" w:rsidRPr="0009028A">
        <w:rPr>
          <w:rFonts w:ascii="Arial" w:hAnsi="Arial" w:cs="Arial"/>
          <w:sz w:val="20"/>
          <w:szCs w:val="20"/>
          <w:lang w:val="es-ES"/>
        </w:rPr>
        <w:t>.</w:t>
      </w:r>
    </w:p>
    <w:p w14:paraId="5C4388C6" w14:textId="77777777" w:rsidR="008F1B3D" w:rsidRPr="0009028A" w:rsidRDefault="008F1B3D" w:rsidP="008B5836">
      <w:pPr>
        <w:spacing w:after="0"/>
        <w:jc w:val="both"/>
        <w:rPr>
          <w:rFonts w:ascii="Arial" w:eastAsia="Arial" w:hAnsi="Arial" w:cs="Arial"/>
          <w:sz w:val="20"/>
          <w:szCs w:val="20"/>
          <w:highlight w:val="yellow"/>
          <w:lang w:val="es-ES"/>
        </w:rPr>
      </w:pPr>
    </w:p>
    <w:p w14:paraId="25E2F809" w14:textId="6079AFCB" w:rsidR="008B5836" w:rsidRPr="0009028A" w:rsidRDefault="00835D2D" w:rsidP="009B5911">
      <w:pPr>
        <w:pStyle w:val="Ttulo2"/>
        <w:spacing w:afterAutospacing="0"/>
        <w:rPr>
          <w:rFonts w:ascii="Arial" w:hAnsi="Arial" w:cs="Arial"/>
        </w:rPr>
      </w:pPr>
      <w:bookmarkStart w:id="296" w:name="_Toc506991925"/>
      <w:bookmarkStart w:id="297" w:name="_Toc8735103"/>
      <w:r w:rsidRPr="0009028A">
        <w:rPr>
          <w:rFonts w:ascii="Arial" w:hAnsi="Arial" w:cs="Arial"/>
        </w:rPr>
        <w:t>1</w:t>
      </w:r>
      <w:r w:rsidR="00964E83">
        <w:rPr>
          <w:rFonts w:ascii="Arial" w:hAnsi="Arial" w:cs="Arial"/>
        </w:rPr>
        <w:t>1</w:t>
      </w:r>
      <w:r w:rsidR="008B5836" w:rsidRPr="0009028A">
        <w:rPr>
          <w:rFonts w:ascii="Arial" w:hAnsi="Arial" w:cs="Arial"/>
        </w:rPr>
        <w:t>.4 Información financiera resumida</w:t>
      </w:r>
      <w:bookmarkEnd w:id="296"/>
      <w:bookmarkEnd w:id="297"/>
    </w:p>
    <w:p w14:paraId="0F523E86" w14:textId="77777777" w:rsidR="008B5836" w:rsidRPr="0009028A" w:rsidRDefault="008B5836" w:rsidP="008B5836">
      <w:pPr>
        <w:spacing w:after="0"/>
        <w:jc w:val="both"/>
        <w:rPr>
          <w:rFonts w:ascii="Arial" w:hAnsi="Arial" w:cs="Arial"/>
          <w:color w:val="000000"/>
          <w:sz w:val="16"/>
          <w:szCs w:val="16"/>
          <w:lang w:val="es-ES"/>
        </w:rPr>
      </w:pPr>
    </w:p>
    <w:p w14:paraId="61355892" w14:textId="77777777" w:rsidR="008B5836" w:rsidRPr="0009028A" w:rsidRDefault="008B5836" w:rsidP="008B5836">
      <w:pPr>
        <w:spacing w:after="0"/>
        <w:jc w:val="both"/>
        <w:rPr>
          <w:rFonts w:ascii="Arial" w:hAnsi="Arial" w:cs="Arial"/>
          <w:color w:val="000000"/>
          <w:sz w:val="20"/>
          <w:szCs w:val="20"/>
          <w:lang w:val="es-ES"/>
        </w:rPr>
      </w:pPr>
      <w:r w:rsidRPr="0009028A">
        <w:rPr>
          <w:rFonts w:ascii="Arial" w:hAnsi="Arial" w:cs="Arial"/>
          <w:color w:val="000000"/>
          <w:sz w:val="20"/>
          <w:szCs w:val="20"/>
          <w:lang w:val="es-ES"/>
        </w:rPr>
        <w:t>La información financiera resumida incluida en las siguientes tablas representa los valores presentados en los estados financieros de las asociadas o negocios conjuntos más significativos para la Compañía, preparados de acuerdo con las Normas Internacionales de Información Financiera.</w:t>
      </w:r>
    </w:p>
    <w:p w14:paraId="5693B43A" w14:textId="77777777" w:rsidR="00AC3C6A" w:rsidRPr="0009028A" w:rsidRDefault="00AC3C6A" w:rsidP="00393EB0">
      <w:pPr>
        <w:jc w:val="both"/>
        <w:rPr>
          <w:rFonts w:ascii="Arial" w:hAnsi="Arial" w:cs="Arial"/>
          <w:color w:val="000000"/>
          <w:sz w:val="20"/>
          <w:szCs w:val="20"/>
          <w:highlight w:val="yellow"/>
          <w:lang w:val="es-ES"/>
        </w:rPr>
      </w:pPr>
    </w:p>
    <w:tbl>
      <w:tblPr>
        <w:tblW w:w="0" w:type="auto"/>
        <w:tblCellMar>
          <w:left w:w="70" w:type="dxa"/>
          <w:right w:w="70" w:type="dxa"/>
        </w:tblCellMar>
        <w:tblLook w:val="04A0" w:firstRow="1" w:lastRow="0" w:firstColumn="1" w:lastColumn="0" w:noHBand="0" w:noVBand="1"/>
      </w:tblPr>
      <w:tblGrid>
        <w:gridCol w:w="3828"/>
        <w:gridCol w:w="1559"/>
        <w:gridCol w:w="1559"/>
        <w:gridCol w:w="1418"/>
        <w:gridCol w:w="1556"/>
      </w:tblGrid>
      <w:tr w:rsidR="00650313" w:rsidRPr="0009028A" w14:paraId="75838D17" w14:textId="77777777" w:rsidTr="0067119C">
        <w:trPr>
          <w:trHeight w:val="68"/>
        </w:trPr>
        <w:tc>
          <w:tcPr>
            <w:tcW w:w="3828" w:type="dxa"/>
            <w:shd w:val="clear" w:color="auto" w:fill="auto"/>
            <w:vAlign w:val="center"/>
            <w:hideMark/>
          </w:tcPr>
          <w:p w14:paraId="7B75F114" w14:textId="77777777" w:rsidR="00650313" w:rsidRPr="0009028A" w:rsidRDefault="00650313" w:rsidP="00650313">
            <w:pPr>
              <w:spacing w:after="0" w:line="240" w:lineRule="auto"/>
              <w:rPr>
                <w:rFonts w:ascii="Arial" w:eastAsia="Times New Roman" w:hAnsi="Arial" w:cs="Arial"/>
                <w:b/>
                <w:bCs/>
                <w:color w:val="000000"/>
                <w:sz w:val="18"/>
                <w:szCs w:val="18"/>
                <w:lang w:eastAsia="es-CO"/>
              </w:rPr>
            </w:pPr>
            <w:r w:rsidRPr="0009028A">
              <w:rPr>
                <w:rFonts w:ascii="Arial" w:eastAsia="Times New Roman" w:hAnsi="Arial" w:cs="Arial"/>
                <w:b/>
                <w:bCs/>
                <w:color w:val="000000"/>
                <w:sz w:val="18"/>
                <w:szCs w:val="18"/>
                <w:lang w:eastAsia="es-CO"/>
              </w:rPr>
              <w:t> </w:t>
            </w:r>
          </w:p>
        </w:tc>
        <w:tc>
          <w:tcPr>
            <w:tcW w:w="1559" w:type="dxa"/>
            <w:shd w:val="clear" w:color="auto" w:fill="auto"/>
            <w:vAlign w:val="center"/>
            <w:hideMark/>
          </w:tcPr>
          <w:p w14:paraId="76AE8E90" w14:textId="77777777" w:rsidR="00650313" w:rsidRPr="0009028A" w:rsidRDefault="00650313" w:rsidP="00650313">
            <w:pPr>
              <w:spacing w:after="0" w:line="240" w:lineRule="auto"/>
              <w:jc w:val="center"/>
              <w:rPr>
                <w:rFonts w:ascii="Arial" w:eastAsia="Times New Roman" w:hAnsi="Arial" w:cs="Arial"/>
                <w:b/>
                <w:bCs/>
                <w:color w:val="000000"/>
                <w:sz w:val="18"/>
                <w:szCs w:val="20"/>
                <w:lang w:eastAsia="es-CO"/>
              </w:rPr>
            </w:pPr>
            <w:r w:rsidRPr="0009028A">
              <w:rPr>
                <w:rFonts w:ascii="Arial" w:eastAsia="Times New Roman" w:hAnsi="Arial" w:cs="Arial"/>
                <w:b/>
                <w:bCs/>
                <w:color w:val="000000"/>
                <w:sz w:val="18"/>
                <w:szCs w:val="20"/>
                <w:lang w:eastAsia="es-CO"/>
              </w:rPr>
              <w:t>Concesión La Pintada S.A.S.</w:t>
            </w:r>
          </w:p>
        </w:tc>
        <w:tc>
          <w:tcPr>
            <w:tcW w:w="1559" w:type="dxa"/>
            <w:shd w:val="clear" w:color="auto" w:fill="auto"/>
            <w:vAlign w:val="center"/>
            <w:hideMark/>
          </w:tcPr>
          <w:p w14:paraId="21A025B9" w14:textId="77777777" w:rsidR="00650313" w:rsidRPr="0009028A" w:rsidRDefault="00650313" w:rsidP="00650313">
            <w:pPr>
              <w:spacing w:after="0" w:line="240" w:lineRule="auto"/>
              <w:jc w:val="center"/>
              <w:rPr>
                <w:rFonts w:ascii="Arial" w:eastAsia="Times New Roman" w:hAnsi="Arial" w:cs="Arial"/>
                <w:b/>
                <w:bCs/>
                <w:color w:val="000000"/>
                <w:sz w:val="18"/>
                <w:szCs w:val="20"/>
                <w:lang w:eastAsia="es-CO"/>
              </w:rPr>
            </w:pPr>
            <w:r w:rsidRPr="0009028A">
              <w:rPr>
                <w:rFonts w:ascii="Arial" w:eastAsia="Times New Roman" w:hAnsi="Arial" w:cs="Arial"/>
                <w:b/>
                <w:bCs/>
                <w:color w:val="000000"/>
                <w:sz w:val="18"/>
                <w:szCs w:val="20"/>
                <w:lang w:eastAsia="es-CO"/>
              </w:rPr>
              <w:t>Sociedad Concesionaria Operadora Aeroportuaria S.A.</w:t>
            </w:r>
          </w:p>
        </w:tc>
        <w:tc>
          <w:tcPr>
            <w:tcW w:w="1418" w:type="dxa"/>
            <w:shd w:val="clear" w:color="auto" w:fill="auto"/>
            <w:vAlign w:val="center"/>
            <w:hideMark/>
          </w:tcPr>
          <w:p w14:paraId="17D3E3FB" w14:textId="77777777" w:rsidR="00650313" w:rsidRPr="0009028A" w:rsidRDefault="00650313" w:rsidP="00650313">
            <w:pPr>
              <w:spacing w:after="0" w:line="240" w:lineRule="auto"/>
              <w:jc w:val="center"/>
              <w:rPr>
                <w:rFonts w:ascii="Arial" w:eastAsia="Times New Roman" w:hAnsi="Arial" w:cs="Arial"/>
                <w:b/>
                <w:bCs/>
                <w:color w:val="000000"/>
                <w:sz w:val="18"/>
                <w:szCs w:val="20"/>
                <w:lang w:eastAsia="es-CO"/>
              </w:rPr>
            </w:pPr>
            <w:r w:rsidRPr="0009028A">
              <w:rPr>
                <w:rFonts w:ascii="Arial" w:eastAsia="Times New Roman" w:hAnsi="Arial" w:cs="Arial"/>
                <w:b/>
                <w:bCs/>
                <w:color w:val="000000"/>
                <w:sz w:val="18"/>
                <w:szCs w:val="20"/>
                <w:lang w:eastAsia="es-CO"/>
              </w:rPr>
              <w:t>Consorcio Farallones</w:t>
            </w:r>
          </w:p>
        </w:tc>
        <w:tc>
          <w:tcPr>
            <w:tcW w:w="1556" w:type="dxa"/>
            <w:shd w:val="clear" w:color="auto" w:fill="auto"/>
            <w:vAlign w:val="center"/>
            <w:hideMark/>
          </w:tcPr>
          <w:p w14:paraId="36DDC962" w14:textId="77777777" w:rsidR="00650313" w:rsidRPr="0009028A" w:rsidRDefault="00650313" w:rsidP="00650313">
            <w:pPr>
              <w:spacing w:after="0" w:line="240" w:lineRule="auto"/>
              <w:jc w:val="center"/>
              <w:rPr>
                <w:rFonts w:ascii="Arial" w:eastAsia="Times New Roman" w:hAnsi="Arial" w:cs="Arial"/>
                <w:b/>
                <w:bCs/>
                <w:color w:val="000000"/>
                <w:sz w:val="18"/>
                <w:szCs w:val="20"/>
                <w:lang w:eastAsia="es-CO"/>
              </w:rPr>
            </w:pPr>
            <w:r w:rsidRPr="0009028A">
              <w:rPr>
                <w:rFonts w:ascii="Arial" w:eastAsia="Times New Roman" w:hAnsi="Arial" w:cs="Arial"/>
                <w:b/>
                <w:bCs/>
                <w:color w:val="000000"/>
                <w:sz w:val="18"/>
                <w:szCs w:val="20"/>
                <w:lang w:eastAsia="es-CO"/>
              </w:rPr>
              <w:t>Otras Asociadas y Negocios Conjuntos</w:t>
            </w:r>
          </w:p>
        </w:tc>
      </w:tr>
      <w:tr w:rsidR="00650313" w:rsidRPr="0009028A" w14:paraId="4B341248" w14:textId="77777777" w:rsidTr="0067119C">
        <w:trPr>
          <w:trHeight w:val="68"/>
        </w:trPr>
        <w:tc>
          <w:tcPr>
            <w:tcW w:w="3828" w:type="dxa"/>
            <w:shd w:val="clear" w:color="auto" w:fill="auto"/>
            <w:vAlign w:val="center"/>
            <w:hideMark/>
          </w:tcPr>
          <w:p w14:paraId="52C8990D" w14:textId="77777777" w:rsidR="00650313" w:rsidRPr="0009028A" w:rsidRDefault="00650313" w:rsidP="00650313">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Marzo de 2019</w:t>
            </w:r>
          </w:p>
        </w:tc>
        <w:tc>
          <w:tcPr>
            <w:tcW w:w="1559" w:type="dxa"/>
            <w:shd w:val="clear" w:color="auto" w:fill="auto"/>
            <w:vAlign w:val="center"/>
            <w:hideMark/>
          </w:tcPr>
          <w:p w14:paraId="74A45E90" w14:textId="77777777" w:rsidR="00650313" w:rsidRPr="0009028A" w:rsidRDefault="00650313" w:rsidP="00650313">
            <w:pPr>
              <w:spacing w:after="0" w:line="240" w:lineRule="auto"/>
              <w:jc w:val="right"/>
              <w:rPr>
                <w:rFonts w:ascii="Arial" w:eastAsia="Times New Roman" w:hAnsi="Arial" w:cs="Arial"/>
                <w:color w:val="000000"/>
                <w:sz w:val="18"/>
                <w:szCs w:val="18"/>
                <w:lang w:eastAsia="es-CO"/>
              </w:rPr>
            </w:pPr>
          </w:p>
        </w:tc>
        <w:tc>
          <w:tcPr>
            <w:tcW w:w="1559" w:type="dxa"/>
            <w:shd w:val="clear" w:color="auto" w:fill="auto"/>
            <w:vAlign w:val="center"/>
            <w:hideMark/>
          </w:tcPr>
          <w:p w14:paraId="60CCA828" w14:textId="77777777" w:rsidR="00650313" w:rsidRPr="0009028A" w:rsidRDefault="00650313" w:rsidP="00650313">
            <w:pPr>
              <w:spacing w:after="0" w:line="240" w:lineRule="auto"/>
              <w:jc w:val="right"/>
              <w:rPr>
                <w:rFonts w:ascii="Arial" w:eastAsia="Times New Roman" w:hAnsi="Arial" w:cs="Arial"/>
                <w:color w:val="000000"/>
                <w:sz w:val="18"/>
                <w:szCs w:val="18"/>
                <w:lang w:eastAsia="es-CO"/>
              </w:rPr>
            </w:pPr>
          </w:p>
        </w:tc>
        <w:tc>
          <w:tcPr>
            <w:tcW w:w="1418" w:type="dxa"/>
            <w:shd w:val="clear" w:color="auto" w:fill="auto"/>
            <w:vAlign w:val="center"/>
            <w:hideMark/>
          </w:tcPr>
          <w:p w14:paraId="265BEB76" w14:textId="77777777" w:rsidR="00650313" w:rsidRPr="0009028A" w:rsidRDefault="00650313" w:rsidP="00650313">
            <w:pPr>
              <w:spacing w:after="0" w:line="240" w:lineRule="auto"/>
              <w:jc w:val="right"/>
              <w:rPr>
                <w:rFonts w:ascii="Arial" w:eastAsia="Times New Roman" w:hAnsi="Arial" w:cs="Arial"/>
                <w:color w:val="000000"/>
                <w:sz w:val="18"/>
                <w:szCs w:val="18"/>
                <w:lang w:eastAsia="es-CO"/>
              </w:rPr>
            </w:pPr>
          </w:p>
        </w:tc>
        <w:tc>
          <w:tcPr>
            <w:tcW w:w="1556" w:type="dxa"/>
            <w:shd w:val="clear" w:color="auto" w:fill="auto"/>
            <w:vAlign w:val="center"/>
            <w:hideMark/>
          </w:tcPr>
          <w:p w14:paraId="2F64DB0B" w14:textId="77777777" w:rsidR="00650313" w:rsidRPr="0009028A" w:rsidRDefault="00650313" w:rsidP="00650313">
            <w:pPr>
              <w:spacing w:after="0" w:line="240" w:lineRule="auto"/>
              <w:jc w:val="right"/>
              <w:rPr>
                <w:rFonts w:ascii="Arial" w:eastAsia="Times New Roman" w:hAnsi="Arial" w:cs="Arial"/>
                <w:color w:val="000000"/>
                <w:sz w:val="18"/>
                <w:szCs w:val="18"/>
                <w:lang w:eastAsia="es-CO"/>
              </w:rPr>
            </w:pPr>
          </w:p>
        </w:tc>
      </w:tr>
      <w:tr w:rsidR="00650313" w:rsidRPr="0009028A" w14:paraId="2ADEE240" w14:textId="77777777" w:rsidTr="0067119C">
        <w:trPr>
          <w:trHeight w:val="68"/>
        </w:trPr>
        <w:tc>
          <w:tcPr>
            <w:tcW w:w="3828" w:type="dxa"/>
            <w:shd w:val="clear" w:color="auto" w:fill="auto"/>
            <w:vAlign w:val="center"/>
            <w:hideMark/>
          </w:tcPr>
          <w:p w14:paraId="27AE3378" w14:textId="77777777" w:rsidR="00650313" w:rsidRPr="0009028A" w:rsidRDefault="006B2613" w:rsidP="00650313">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Activos corrientes</w:t>
            </w:r>
          </w:p>
        </w:tc>
        <w:tc>
          <w:tcPr>
            <w:tcW w:w="1559" w:type="dxa"/>
            <w:shd w:val="clear" w:color="auto" w:fill="auto"/>
            <w:vAlign w:val="center"/>
            <w:hideMark/>
          </w:tcPr>
          <w:p w14:paraId="60F937DE" w14:textId="77777777" w:rsidR="00650313" w:rsidRPr="0009028A" w:rsidRDefault="0067119C" w:rsidP="00650313">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      </w:t>
            </w:r>
            <w:r w:rsidR="00650313" w:rsidRPr="0009028A">
              <w:rPr>
                <w:rFonts w:ascii="Arial" w:eastAsia="Times New Roman" w:hAnsi="Arial" w:cs="Arial"/>
                <w:color w:val="000000"/>
                <w:sz w:val="18"/>
                <w:szCs w:val="18"/>
                <w:lang w:eastAsia="es-CO"/>
              </w:rPr>
              <w:t>158.035.001</w:t>
            </w:r>
          </w:p>
        </w:tc>
        <w:tc>
          <w:tcPr>
            <w:tcW w:w="1559" w:type="dxa"/>
            <w:shd w:val="clear" w:color="auto" w:fill="auto"/>
            <w:vAlign w:val="center"/>
            <w:hideMark/>
          </w:tcPr>
          <w:p w14:paraId="53E11F1B" w14:textId="77777777" w:rsidR="00650313" w:rsidRPr="0009028A" w:rsidRDefault="00650313" w:rsidP="00650313">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722.273.781</w:t>
            </w:r>
          </w:p>
        </w:tc>
        <w:tc>
          <w:tcPr>
            <w:tcW w:w="1418" w:type="dxa"/>
            <w:shd w:val="clear" w:color="auto" w:fill="auto"/>
            <w:vAlign w:val="center"/>
            <w:hideMark/>
          </w:tcPr>
          <w:p w14:paraId="7E733861" w14:textId="77777777" w:rsidR="00650313" w:rsidRPr="0009028A" w:rsidRDefault="00650313" w:rsidP="00650313">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254.866.033</w:t>
            </w:r>
          </w:p>
        </w:tc>
        <w:tc>
          <w:tcPr>
            <w:tcW w:w="1556" w:type="dxa"/>
            <w:shd w:val="clear" w:color="auto" w:fill="auto"/>
            <w:vAlign w:val="center"/>
            <w:hideMark/>
          </w:tcPr>
          <w:p w14:paraId="2546DED2" w14:textId="77777777" w:rsidR="00650313" w:rsidRPr="0009028A" w:rsidRDefault="00650313" w:rsidP="00650313">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121.165.625</w:t>
            </w:r>
          </w:p>
        </w:tc>
      </w:tr>
      <w:tr w:rsidR="00650313" w:rsidRPr="0009028A" w14:paraId="56ADE684" w14:textId="77777777" w:rsidTr="0067119C">
        <w:trPr>
          <w:trHeight w:val="68"/>
        </w:trPr>
        <w:tc>
          <w:tcPr>
            <w:tcW w:w="3828" w:type="dxa"/>
            <w:shd w:val="clear" w:color="auto" w:fill="auto"/>
            <w:vAlign w:val="center"/>
            <w:hideMark/>
          </w:tcPr>
          <w:p w14:paraId="439A816C" w14:textId="77777777" w:rsidR="00650313" w:rsidRPr="0009028A" w:rsidRDefault="00650313" w:rsidP="00650313">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Activos no corrientes</w:t>
            </w:r>
          </w:p>
        </w:tc>
        <w:tc>
          <w:tcPr>
            <w:tcW w:w="1559" w:type="dxa"/>
            <w:shd w:val="clear" w:color="auto" w:fill="auto"/>
            <w:vAlign w:val="center"/>
            <w:hideMark/>
          </w:tcPr>
          <w:p w14:paraId="1963F3B7" w14:textId="77777777" w:rsidR="00650313" w:rsidRPr="0009028A" w:rsidRDefault="00650313" w:rsidP="00650313">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1.327.685.430</w:t>
            </w:r>
          </w:p>
        </w:tc>
        <w:tc>
          <w:tcPr>
            <w:tcW w:w="1559" w:type="dxa"/>
            <w:shd w:val="clear" w:color="auto" w:fill="auto"/>
            <w:vAlign w:val="center"/>
            <w:hideMark/>
          </w:tcPr>
          <w:p w14:paraId="2A89610A" w14:textId="77777777" w:rsidR="00650313" w:rsidRPr="0009028A" w:rsidRDefault="00650313" w:rsidP="00650313">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1.706.058.836</w:t>
            </w:r>
          </w:p>
        </w:tc>
        <w:tc>
          <w:tcPr>
            <w:tcW w:w="1418" w:type="dxa"/>
            <w:shd w:val="clear" w:color="auto" w:fill="auto"/>
            <w:vAlign w:val="center"/>
            <w:hideMark/>
          </w:tcPr>
          <w:p w14:paraId="735C80E4" w14:textId="402A255C" w:rsidR="00650313" w:rsidRPr="0009028A" w:rsidRDefault="00650313" w:rsidP="00650313">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61.424.993</w:t>
            </w:r>
          </w:p>
        </w:tc>
        <w:tc>
          <w:tcPr>
            <w:tcW w:w="1556" w:type="dxa"/>
            <w:shd w:val="clear" w:color="auto" w:fill="auto"/>
            <w:vAlign w:val="center"/>
            <w:hideMark/>
          </w:tcPr>
          <w:p w14:paraId="3EC996E0" w14:textId="7E72C1A2" w:rsidR="00650313" w:rsidRPr="0009028A" w:rsidRDefault="00650313" w:rsidP="00650313">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85.024.634</w:t>
            </w:r>
          </w:p>
        </w:tc>
      </w:tr>
      <w:tr w:rsidR="00650313" w:rsidRPr="0009028A" w14:paraId="1EF3790F" w14:textId="77777777" w:rsidTr="0067119C">
        <w:trPr>
          <w:trHeight w:val="68"/>
        </w:trPr>
        <w:tc>
          <w:tcPr>
            <w:tcW w:w="3828" w:type="dxa"/>
            <w:shd w:val="clear" w:color="auto" w:fill="auto"/>
            <w:vAlign w:val="center"/>
            <w:hideMark/>
          </w:tcPr>
          <w:p w14:paraId="6871394E" w14:textId="77777777" w:rsidR="00650313" w:rsidRPr="0009028A" w:rsidRDefault="00650313" w:rsidP="00650313">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Total de activos</w:t>
            </w:r>
          </w:p>
        </w:tc>
        <w:tc>
          <w:tcPr>
            <w:tcW w:w="1559" w:type="dxa"/>
            <w:shd w:val="clear" w:color="auto" w:fill="auto"/>
            <w:vAlign w:val="center"/>
            <w:hideMark/>
          </w:tcPr>
          <w:p w14:paraId="5AB05FFE" w14:textId="77777777" w:rsidR="00650313" w:rsidRPr="0009028A" w:rsidRDefault="00650313" w:rsidP="00650313">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1.485.720.431</w:t>
            </w:r>
          </w:p>
        </w:tc>
        <w:tc>
          <w:tcPr>
            <w:tcW w:w="1559" w:type="dxa"/>
            <w:shd w:val="clear" w:color="auto" w:fill="auto"/>
            <w:vAlign w:val="center"/>
            <w:hideMark/>
          </w:tcPr>
          <w:p w14:paraId="3B5F7A60" w14:textId="77777777" w:rsidR="00650313" w:rsidRPr="0009028A" w:rsidRDefault="00650313" w:rsidP="00650313">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2.428.332.617</w:t>
            </w:r>
          </w:p>
        </w:tc>
        <w:tc>
          <w:tcPr>
            <w:tcW w:w="1418" w:type="dxa"/>
            <w:shd w:val="clear" w:color="auto" w:fill="auto"/>
            <w:vAlign w:val="center"/>
            <w:hideMark/>
          </w:tcPr>
          <w:p w14:paraId="58E68C51" w14:textId="77777777" w:rsidR="00650313" w:rsidRPr="0009028A" w:rsidRDefault="00650313" w:rsidP="00650313">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316.291.026</w:t>
            </w:r>
          </w:p>
        </w:tc>
        <w:tc>
          <w:tcPr>
            <w:tcW w:w="1556" w:type="dxa"/>
            <w:shd w:val="clear" w:color="auto" w:fill="auto"/>
            <w:vAlign w:val="center"/>
            <w:hideMark/>
          </w:tcPr>
          <w:p w14:paraId="1FA1D84B" w14:textId="77777777" w:rsidR="00650313" w:rsidRPr="0009028A" w:rsidRDefault="00650313" w:rsidP="00650313">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206.190.259</w:t>
            </w:r>
          </w:p>
        </w:tc>
      </w:tr>
      <w:tr w:rsidR="00650313" w:rsidRPr="0009028A" w14:paraId="0C09EE15" w14:textId="77777777" w:rsidTr="0067119C">
        <w:trPr>
          <w:trHeight w:val="68"/>
        </w:trPr>
        <w:tc>
          <w:tcPr>
            <w:tcW w:w="3828" w:type="dxa"/>
            <w:shd w:val="clear" w:color="auto" w:fill="auto"/>
            <w:vAlign w:val="center"/>
            <w:hideMark/>
          </w:tcPr>
          <w:p w14:paraId="7D77F6AF" w14:textId="77777777" w:rsidR="00650313" w:rsidRPr="0009028A" w:rsidRDefault="006B2613" w:rsidP="00650313">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Pasivos corrientes</w:t>
            </w:r>
          </w:p>
        </w:tc>
        <w:tc>
          <w:tcPr>
            <w:tcW w:w="1559" w:type="dxa"/>
            <w:shd w:val="clear" w:color="auto" w:fill="auto"/>
            <w:vAlign w:val="center"/>
            <w:hideMark/>
          </w:tcPr>
          <w:p w14:paraId="7E3F874A" w14:textId="77777777" w:rsidR="00650313" w:rsidRPr="0009028A" w:rsidRDefault="00650313" w:rsidP="00650313">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144</w:t>
            </w:r>
            <w:r w:rsidR="0067119C" w:rsidRPr="0009028A">
              <w:rPr>
                <w:rFonts w:ascii="Arial" w:eastAsia="Times New Roman" w:hAnsi="Arial" w:cs="Arial"/>
                <w:color w:val="000000"/>
                <w:sz w:val="18"/>
                <w:szCs w:val="18"/>
                <w:lang w:eastAsia="es-CO"/>
              </w:rPr>
              <w:t>.</w:t>
            </w:r>
            <w:r w:rsidRPr="0009028A">
              <w:rPr>
                <w:rFonts w:ascii="Arial" w:eastAsia="Times New Roman" w:hAnsi="Arial" w:cs="Arial"/>
                <w:color w:val="000000"/>
                <w:sz w:val="18"/>
                <w:szCs w:val="18"/>
                <w:lang w:eastAsia="es-CO"/>
              </w:rPr>
              <w:t>793</w:t>
            </w:r>
            <w:r w:rsidR="0067119C" w:rsidRPr="0009028A">
              <w:rPr>
                <w:rFonts w:ascii="Arial" w:eastAsia="Times New Roman" w:hAnsi="Arial" w:cs="Arial"/>
                <w:color w:val="000000"/>
                <w:sz w:val="18"/>
                <w:szCs w:val="18"/>
                <w:lang w:eastAsia="es-CO"/>
              </w:rPr>
              <w:t>.</w:t>
            </w:r>
            <w:r w:rsidRPr="0009028A">
              <w:rPr>
                <w:rFonts w:ascii="Arial" w:eastAsia="Times New Roman" w:hAnsi="Arial" w:cs="Arial"/>
                <w:color w:val="000000"/>
                <w:sz w:val="18"/>
                <w:szCs w:val="18"/>
                <w:lang w:eastAsia="es-CO"/>
              </w:rPr>
              <w:t>444</w:t>
            </w:r>
          </w:p>
        </w:tc>
        <w:tc>
          <w:tcPr>
            <w:tcW w:w="1559" w:type="dxa"/>
            <w:shd w:val="clear" w:color="auto" w:fill="auto"/>
            <w:vAlign w:val="center"/>
            <w:hideMark/>
          </w:tcPr>
          <w:p w14:paraId="66361B7D" w14:textId="77777777" w:rsidR="00650313" w:rsidRPr="0009028A" w:rsidRDefault="00650313" w:rsidP="00650313">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574.939.489</w:t>
            </w:r>
          </w:p>
        </w:tc>
        <w:tc>
          <w:tcPr>
            <w:tcW w:w="1418" w:type="dxa"/>
            <w:shd w:val="clear" w:color="auto" w:fill="auto"/>
            <w:vAlign w:val="center"/>
            <w:hideMark/>
          </w:tcPr>
          <w:p w14:paraId="44C9831F" w14:textId="77777777" w:rsidR="00650313" w:rsidRPr="0009028A" w:rsidRDefault="00650313" w:rsidP="00650313">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190.267.982</w:t>
            </w:r>
          </w:p>
        </w:tc>
        <w:tc>
          <w:tcPr>
            <w:tcW w:w="1556" w:type="dxa"/>
            <w:shd w:val="clear" w:color="auto" w:fill="auto"/>
            <w:vAlign w:val="center"/>
            <w:hideMark/>
          </w:tcPr>
          <w:p w14:paraId="01B807A5" w14:textId="77777777" w:rsidR="00650313" w:rsidRPr="0009028A" w:rsidRDefault="00650313" w:rsidP="00650313">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121.284.240</w:t>
            </w:r>
          </w:p>
        </w:tc>
      </w:tr>
      <w:tr w:rsidR="00650313" w:rsidRPr="0009028A" w14:paraId="1474D313" w14:textId="77777777" w:rsidTr="0067119C">
        <w:trPr>
          <w:trHeight w:val="68"/>
        </w:trPr>
        <w:tc>
          <w:tcPr>
            <w:tcW w:w="3828" w:type="dxa"/>
            <w:shd w:val="clear" w:color="auto" w:fill="auto"/>
            <w:vAlign w:val="center"/>
            <w:hideMark/>
          </w:tcPr>
          <w:p w14:paraId="73FF4464" w14:textId="77777777" w:rsidR="00650313" w:rsidRPr="0009028A" w:rsidRDefault="00650313" w:rsidP="00650313">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Pasivos no corrientes</w:t>
            </w:r>
          </w:p>
        </w:tc>
        <w:tc>
          <w:tcPr>
            <w:tcW w:w="1559" w:type="dxa"/>
            <w:shd w:val="clear" w:color="auto" w:fill="auto"/>
            <w:vAlign w:val="center"/>
            <w:hideMark/>
          </w:tcPr>
          <w:p w14:paraId="22EF99F8" w14:textId="77777777" w:rsidR="00650313" w:rsidRPr="0009028A" w:rsidRDefault="00650313" w:rsidP="00650313">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966</w:t>
            </w:r>
            <w:r w:rsidR="0067119C" w:rsidRPr="0009028A">
              <w:rPr>
                <w:rFonts w:ascii="Arial" w:eastAsia="Times New Roman" w:hAnsi="Arial" w:cs="Arial"/>
                <w:color w:val="000000"/>
                <w:sz w:val="18"/>
                <w:szCs w:val="18"/>
                <w:u w:val="single"/>
                <w:lang w:eastAsia="es-CO"/>
              </w:rPr>
              <w:t>.</w:t>
            </w:r>
            <w:r w:rsidRPr="0009028A">
              <w:rPr>
                <w:rFonts w:ascii="Arial" w:eastAsia="Times New Roman" w:hAnsi="Arial" w:cs="Arial"/>
                <w:color w:val="000000"/>
                <w:sz w:val="18"/>
                <w:szCs w:val="18"/>
                <w:u w:val="single"/>
                <w:lang w:eastAsia="es-CO"/>
              </w:rPr>
              <w:t>729</w:t>
            </w:r>
            <w:r w:rsidR="0067119C" w:rsidRPr="0009028A">
              <w:rPr>
                <w:rFonts w:ascii="Arial" w:eastAsia="Times New Roman" w:hAnsi="Arial" w:cs="Arial"/>
                <w:color w:val="000000"/>
                <w:sz w:val="18"/>
                <w:szCs w:val="18"/>
                <w:u w:val="single"/>
                <w:lang w:eastAsia="es-CO"/>
              </w:rPr>
              <w:t>.</w:t>
            </w:r>
            <w:r w:rsidRPr="0009028A">
              <w:rPr>
                <w:rFonts w:ascii="Arial" w:eastAsia="Times New Roman" w:hAnsi="Arial" w:cs="Arial"/>
                <w:color w:val="000000"/>
                <w:sz w:val="18"/>
                <w:szCs w:val="18"/>
                <w:u w:val="single"/>
                <w:lang w:eastAsia="es-CO"/>
              </w:rPr>
              <w:t>059</w:t>
            </w:r>
          </w:p>
        </w:tc>
        <w:tc>
          <w:tcPr>
            <w:tcW w:w="1559" w:type="dxa"/>
            <w:shd w:val="clear" w:color="auto" w:fill="auto"/>
            <w:vAlign w:val="center"/>
            <w:hideMark/>
          </w:tcPr>
          <w:p w14:paraId="5CF28E24" w14:textId="77777777" w:rsidR="00650313" w:rsidRPr="0009028A" w:rsidRDefault="00650313" w:rsidP="00650313">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1.381.015.911</w:t>
            </w:r>
          </w:p>
        </w:tc>
        <w:tc>
          <w:tcPr>
            <w:tcW w:w="1418" w:type="dxa"/>
            <w:shd w:val="clear" w:color="auto" w:fill="auto"/>
            <w:vAlign w:val="center"/>
            <w:hideMark/>
          </w:tcPr>
          <w:p w14:paraId="6043ED1E" w14:textId="7F418443" w:rsidR="00650313" w:rsidRPr="0009028A" w:rsidRDefault="00650313" w:rsidP="00650313">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32.253.505</w:t>
            </w:r>
          </w:p>
        </w:tc>
        <w:tc>
          <w:tcPr>
            <w:tcW w:w="1556" w:type="dxa"/>
            <w:shd w:val="clear" w:color="auto" w:fill="auto"/>
            <w:vAlign w:val="center"/>
            <w:hideMark/>
          </w:tcPr>
          <w:p w14:paraId="28EC8346" w14:textId="210C6140" w:rsidR="00650313" w:rsidRPr="0009028A" w:rsidRDefault="00650313" w:rsidP="00650313">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35.507.137</w:t>
            </w:r>
          </w:p>
        </w:tc>
      </w:tr>
      <w:tr w:rsidR="00650313" w:rsidRPr="0009028A" w14:paraId="5A894ECE" w14:textId="77777777" w:rsidTr="0067119C">
        <w:trPr>
          <w:trHeight w:val="68"/>
        </w:trPr>
        <w:tc>
          <w:tcPr>
            <w:tcW w:w="3828" w:type="dxa"/>
            <w:shd w:val="clear" w:color="auto" w:fill="auto"/>
            <w:vAlign w:val="center"/>
            <w:hideMark/>
          </w:tcPr>
          <w:p w14:paraId="60D22DAF" w14:textId="77777777" w:rsidR="00650313" w:rsidRPr="0009028A" w:rsidRDefault="00650313" w:rsidP="00650313">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Total de pasivo</w:t>
            </w:r>
          </w:p>
        </w:tc>
        <w:tc>
          <w:tcPr>
            <w:tcW w:w="1559" w:type="dxa"/>
            <w:shd w:val="clear" w:color="auto" w:fill="auto"/>
            <w:vAlign w:val="center"/>
            <w:hideMark/>
          </w:tcPr>
          <w:p w14:paraId="7A2F6BBC" w14:textId="77777777" w:rsidR="00650313" w:rsidRPr="0009028A" w:rsidRDefault="0067119C" w:rsidP="00650313">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lang w:eastAsia="es-CO"/>
              </w:rPr>
              <w:t xml:space="preserve">$  </w:t>
            </w:r>
            <w:r w:rsidRPr="0009028A">
              <w:rPr>
                <w:rFonts w:ascii="Arial" w:eastAsia="Times New Roman" w:hAnsi="Arial" w:cs="Arial"/>
                <w:b/>
                <w:bCs/>
                <w:color w:val="103475"/>
                <w:sz w:val="18"/>
                <w:szCs w:val="18"/>
                <w:u w:val="double"/>
                <w:lang w:eastAsia="es-CO"/>
              </w:rPr>
              <w:t xml:space="preserve"> </w:t>
            </w:r>
            <w:r w:rsidR="00650313" w:rsidRPr="0009028A">
              <w:rPr>
                <w:rFonts w:ascii="Arial" w:eastAsia="Times New Roman" w:hAnsi="Arial" w:cs="Arial"/>
                <w:b/>
                <w:bCs/>
                <w:color w:val="103475"/>
                <w:sz w:val="18"/>
                <w:szCs w:val="18"/>
                <w:u w:val="double"/>
                <w:lang w:eastAsia="es-CO"/>
              </w:rPr>
              <w:t>1.111.522.503</w:t>
            </w:r>
          </w:p>
        </w:tc>
        <w:tc>
          <w:tcPr>
            <w:tcW w:w="1559" w:type="dxa"/>
            <w:shd w:val="clear" w:color="auto" w:fill="auto"/>
            <w:vAlign w:val="center"/>
            <w:hideMark/>
          </w:tcPr>
          <w:p w14:paraId="08451159" w14:textId="77777777" w:rsidR="00650313" w:rsidRPr="0009028A" w:rsidRDefault="00650313" w:rsidP="00650313">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1.955.955.400</w:t>
            </w:r>
          </w:p>
        </w:tc>
        <w:tc>
          <w:tcPr>
            <w:tcW w:w="1418" w:type="dxa"/>
            <w:shd w:val="clear" w:color="auto" w:fill="auto"/>
            <w:vAlign w:val="center"/>
            <w:hideMark/>
          </w:tcPr>
          <w:p w14:paraId="5CB73528" w14:textId="77777777" w:rsidR="00650313" w:rsidRPr="0009028A" w:rsidRDefault="00650313" w:rsidP="00650313">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222.521.487</w:t>
            </w:r>
          </w:p>
        </w:tc>
        <w:tc>
          <w:tcPr>
            <w:tcW w:w="1556" w:type="dxa"/>
            <w:shd w:val="clear" w:color="auto" w:fill="auto"/>
            <w:vAlign w:val="center"/>
            <w:hideMark/>
          </w:tcPr>
          <w:p w14:paraId="7B7F37B7" w14:textId="77777777" w:rsidR="00650313" w:rsidRPr="0009028A" w:rsidRDefault="00650313" w:rsidP="00650313">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156.791.377</w:t>
            </w:r>
          </w:p>
        </w:tc>
      </w:tr>
      <w:tr w:rsidR="00650313" w:rsidRPr="0009028A" w14:paraId="22E4680A" w14:textId="77777777" w:rsidTr="0067119C">
        <w:trPr>
          <w:trHeight w:val="68"/>
        </w:trPr>
        <w:tc>
          <w:tcPr>
            <w:tcW w:w="3828" w:type="dxa"/>
            <w:shd w:val="clear" w:color="auto" w:fill="auto"/>
            <w:vAlign w:val="center"/>
            <w:hideMark/>
          </w:tcPr>
          <w:p w14:paraId="60A12141" w14:textId="77777777" w:rsidR="00650313" w:rsidRPr="0009028A" w:rsidRDefault="00650313" w:rsidP="00650313">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Patrimonio</w:t>
            </w:r>
          </w:p>
        </w:tc>
        <w:tc>
          <w:tcPr>
            <w:tcW w:w="1559" w:type="dxa"/>
            <w:shd w:val="clear" w:color="auto" w:fill="auto"/>
            <w:vAlign w:val="center"/>
            <w:hideMark/>
          </w:tcPr>
          <w:p w14:paraId="2085B473" w14:textId="77777777" w:rsidR="00650313" w:rsidRPr="0009028A" w:rsidRDefault="0067119C" w:rsidP="00650313">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lang w:eastAsia="es-CO"/>
              </w:rPr>
              <w:t xml:space="preserve">$   </w:t>
            </w:r>
            <w:r w:rsidRPr="0009028A">
              <w:rPr>
                <w:rFonts w:ascii="Arial" w:eastAsia="Times New Roman" w:hAnsi="Arial" w:cs="Arial"/>
                <w:b/>
                <w:bCs/>
                <w:color w:val="103475"/>
                <w:sz w:val="18"/>
                <w:szCs w:val="18"/>
                <w:u w:val="double"/>
                <w:lang w:eastAsia="es-CO"/>
              </w:rPr>
              <w:t xml:space="preserve">   </w:t>
            </w:r>
            <w:r w:rsidR="00650313" w:rsidRPr="0009028A">
              <w:rPr>
                <w:rFonts w:ascii="Arial" w:eastAsia="Times New Roman" w:hAnsi="Arial" w:cs="Arial"/>
                <w:b/>
                <w:bCs/>
                <w:color w:val="103475"/>
                <w:sz w:val="18"/>
                <w:szCs w:val="18"/>
                <w:u w:val="double"/>
                <w:lang w:eastAsia="es-CO"/>
              </w:rPr>
              <w:t>374.197.928</w:t>
            </w:r>
          </w:p>
        </w:tc>
        <w:tc>
          <w:tcPr>
            <w:tcW w:w="1559" w:type="dxa"/>
            <w:shd w:val="clear" w:color="auto" w:fill="auto"/>
            <w:vAlign w:val="center"/>
            <w:hideMark/>
          </w:tcPr>
          <w:p w14:paraId="44686097" w14:textId="0E6FEA1C" w:rsidR="00650313" w:rsidRPr="0009028A" w:rsidRDefault="00650313" w:rsidP="00650313">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472.377.217</w:t>
            </w:r>
          </w:p>
        </w:tc>
        <w:tc>
          <w:tcPr>
            <w:tcW w:w="1418" w:type="dxa"/>
            <w:shd w:val="clear" w:color="auto" w:fill="auto"/>
            <w:vAlign w:val="center"/>
            <w:hideMark/>
          </w:tcPr>
          <w:p w14:paraId="734E5F43" w14:textId="0006E48A" w:rsidR="00650313" w:rsidRPr="0009028A" w:rsidRDefault="00650313" w:rsidP="00650313">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93.769.539</w:t>
            </w:r>
          </w:p>
        </w:tc>
        <w:tc>
          <w:tcPr>
            <w:tcW w:w="1556" w:type="dxa"/>
            <w:shd w:val="clear" w:color="auto" w:fill="auto"/>
            <w:vAlign w:val="center"/>
            <w:hideMark/>
          </w:tcPr>
          <w:p w14:paraId="20A98873" w14:textId="209B880A" w:rsidR="00650313" w:rsidRPr="0009028A" w:rsidRDefault="00650313" w:rsidP="00650313">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49.398.882</w:t>
            </w:r>
          </w:p>
        </w:tc>
      </w:tr>
      <w:tr w:rsidR="00650313" w:rsidRPr="0009028A" w14:paraId="6DF18030" w14:textId="77777777" w:rsidTr="0067119C">
        <w:trPr>
          <w:trHeight w:val="68"/>
        </w:trPr>
        <w:tc>
          <w:tcPr>
            <w:tcW w:w="3828" w:type="dxa"/>
            <w:shd w:val="clear" w:color="auto" w:fill="auto"/>
            <w:vAlign w:val="center"/>
            <w:hideMark/>
          </w:tcPr>
          <w:p w14:paraId="2F780D51" w14:textId="77777777" w:rsidR="00650313" w:rsidRPr="0009028A" w:rsidRDefault="00650313" w:rsidP="00650313">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Ingreso de actividades ordinarias</w:t>
            </w:r>
          </w:p>
        </w:tc>
        <w:tc>
          <w:tcPr>
            <w:tcW w:w="1559" w:type="dxa"/>
            <w:shd w:val="clear" w:color="auto" w:fill="auto"/>
            <w:vAlign w:val="center"/>
            <w:hideMark/>
          </w:tcPr>
          <w:p w14:paraId="2BA3B36B" w14:textId="77777777" w:rsidR="00650313" w:rsidRPr="0009028A" w:rsidRDefault="00650313" w:rsidP="00650313">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129.946.572</w:t>
            </w:r>
          </w:p>
        </w:tc>
        <w:tc>
          <w:tcPr>
            <w:tcW w:w="1559" w:type="dxa"/>
            <w:shd w:val="clear" w:color="auto" w:fill="auto"/>
            <w:vAlign w:val="center"/>
            <w:hideMark/>
          </w:tcPr>
          <w:p w14:paraId="4226E54A" w14:textId="77777777" w:rsidR="00650313" w:rsidRPr="0009028A" w:rsidRDefault="00650313" w:rsidP="00650313">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263.134.582</w:t>
            </w:r>
          </w:p>
        </w:tc>
        <w:tc>
          <w:tcPr>
            <w:tcW w:w="1418" w:type="dxa"/>
            <w:shd w:val="clear" w:color="auto" w:fill="auto"/>
            <w:vAlign w:val="center"/>
            <w:hideMark/>
          </w:tcPr>
          <w:p w14:paraId="6937246B" w14:textId="77777777" w:rsidR="00650313" w:rsidRPr="0009028A" w:rsidRDefault="00650313" w:rsidP="00650313">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126.326.212</w:t>
            </w:r>
          </w:p>
        </w:tc>
        <w:tc>
          <w:tcPr>
            <w:tcW w:w="1556" w:type="dxa"/>
            <w:shd w:val="clear" w:color="auto" w:fill="auto"/>
            <w:vAlign w:val="center"/>
            <w:hideMark/>
          </w:tcPr>
          <w:p w14:paraId="037D033A" w14:textId="77777777" w:rsidR="00650313" w:rsidRPr="0009028A" w:rsidRDefault="00650313" w:rsidP="00650313">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45.940.808</w:t>
            </w:r>
          </w:p>
        </w:tc>
      </w:tr>
      <w:tr w:rsidR="00650313" w:rsidRPr="0009028A" w14:paraId="2B8C627F" w14:textId="77777777" w:rsidTr="0067119C">
        <w:trPr>
          <w:trHeight w:val="68"/>
        </w:trPr>
        <w:tc>
          <w:tcPr>
            <w:tcW w:w="3828" w:type="dxa"/>
            <w:shd w:val="clear" w:color="auto" w:fill="auto"/>
            <w:vAlign w:val="center"/>
            <w:hideMark/>
          </w:tcPr>
          <w:p w14:paraId="64CFB383" w14:textId="77777777" w:rsidR="00650313" w:rsidRPr="0009028A" w:rsidRDefault="00650313" w:rsidP="00650313">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Utilidad neta de operaciones continuadas</w:t>
            </w:r>
          </w:p>
        </w:tc>
        <w:tc>
          <w:tcPr>
            <w:tcW w:w="1559" w:type="dxa"/>
            <w:shd w:val="clear" w:color="auto" w:fill="auto"/>
            <w:vAlign w:val="center"/>
            <w:hideMark/>
          </w:tcPr>
          <w:p w14:paraId="0F268F05" w14:textId="77777777" w:rsidR="00650313" w:rsidRPr="0009028A" w:rsidRDefault="00650313" w:rsidP="00650313">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11.616.659</w:t>
            </w:r>
          </w:p>
        </w:tc>
        <w:tc>
          <w:tcPr>
            <w:tcW w:w="1559" w:type="dxa"/>
            <w:shd w:val="clear" w:color="auto" w:fill="auto"/>
            <w:vAlign w:val="center"/>
            <w:hideMark/>
          </w:tcPr>
          <w:p w14:paraId="554971E8" w14:textId="77777777" w:rsidR="00650313" w:rsidRPr="0009028A" w:rsidRDefault="00650313" w:rsidP="00650313">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5.158.176</w:t>
            </w:r>
          </w:p>
        </w:tc>
        <w:tc>
          <w:tcPr>
            <w:tcW w:w="1418" w:type="dxa"/>
            <w:shd w:val="clear" w:color="auto" w:fill="auto"/>
            <w:vAlign w:val="center"/>
            <w:hideMark/>
          </w:tcPr>
          <w:p w14:paraId="7DA3A8DE" w14:textId="77777777" w:rsidR="00650313" w:rsidRPr="0009028A" w:rsidRDefault="00650313" w:rsidP="00650313">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43.313.938</w:t>
            </w:r>
          </w:p>
        </w:tc>
        <w:tc>
          <w:tcPr>
            <w:tcW w:w="1556" w:type="dxa"/>
            <w:shd w:val="clear" w:color="auto" w:fill="auto"/>
            <w:vAlign w:val="center"/>
            <w:hideMark/>
          </w:tcPr>
          <w:p w14:paraId="0A9259D1" w14:textId="77777777" w:rsidR="00650313" w:rsidRPr="0009028A" w:rsidRDefault="00650313" w:rsidP="00650313">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8.616.117</w:t>
            </w:r>
          </w:p>
        </w:tc>
      </w:tr>
      <w:tr w:rsidR="00650313" w:rsidRPr="0009028A" w14:paraId="6E3F9CFC" w14:textId="77777777" w:rsidTr="0067119C">
        <w:trPr>
          <w:trHeight w:val="68"/>
        </w:trPr>
        <w:tc>
          <w:tcPr>
            <w:tcW w:w="3828" w:type="dxa"/>
            <w:shd w:val="clear" w:color="auto" w:fill="auto"/>
            <w:vAlign w:val="center"/>
            <w:hideMark/>
          </w:tcPr>
          <w:p w14:paraId="43AB651F" w14:textId="77777777" w:rsidR="00650313" w:rsidRPr="0009028A" w:rsidRDefault="00650313" w:rsidP="00650313">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Utilidad neta después operaciones discontinuadas</w:t>
            </w:r>
          </w:p>
        </w:tc>
        <w:tc>
          <w:tcPr>
            <w:tcW w:w="1559" w:type="dxa"/>
            <w:shd w:val="clear" w:color="auto" w:fill="auto"/>
            <w:vAlign w:val="center"/>
            <w:hideMark/>
          </w:tcPr>
          <w:p w14:paraId="21533EF0" w14:textId="77777777" w:rsidR="00650313" w:rsidRPr="0009028A" w:rsidRDefault="0067119C" w:rsidP="00650313">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 xml:space="preserve">   </w:t>
            </w:r>
            <w:r w:rsidR="00650313" w:rsidRPr="0009028A">
              <w:rPr>
                <w:rFonts w:ascii="Arial" w:eastAsia="Times New Roman" w:hAnsi="Arial" w:cs="Arial"/>
                <w:color w:val="000000"/>
                <w:sz w:val="18"/>
                <w:szCs w:val="18"/>
                <w:u w:val="single"/>
                <w:lang w:eastAsia="es-CO"/>
              </w:rPr>
              <w:t>11.616.659</w:t>
            </w:r>
          </w:p>
        </w:tc>
        <w:tc>
          <w:tcPr>
            <w:tcW w:w="1559" w:type="dxa"/>
            <w:shd w:val="clear" w:color="auto" w:fill="auto"/>
            <w:vAlign w:val="center"/>
            <w:hideMark/>
          </w:tcPr>
          <w:p w14:paraId="11A24D84" w14:textId="61C0E8CB" w:rsidR="00650313" w:rsidRPr="0009028A" w:rsidRDefault="00650313" w:rsidP="00650313">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5.158.176</w:t>
            </w:r>
          </w:p>
        </w:tc>
        <w:tc>
          <w:tcPr>
            <w:tcW w:w="1418" w:type="dxa"/>
            <w:shd w:val="clear" w:color="auto" w:fill="auto"/>
            <w:vAlign w:val="center"/>
            <w:hideMark/>
          </w:tcPr>
          <w:p w14:paraId="1A8469A4" w14:textId="40AF9E5F" w:rsidR="00650313" w:rsidRPr="0009028A" w:rsidRDefault="00650313" w:rsidP="00650313">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43.313.938</w:t>
            </w:r>
          </w:p>
        </w:tc>
        <w:tc>
          <w:tcPr>
            <w:tcW w:w="1556" w:type="dxa"/>
            <w:shd w:val="clear" w:color="auto" w:fill="auto"/>
            <w:vAlign w:val="center"/>
            <w:hideMark/>
          </w:tcPr>
          <w:p w14:paraId="64D58441" w14:textId="6C1AB2D0" w:rsidR="00650313" w:rsidRPr="0009028A" w:rsidRDefault="007639F4" w:rsidP="00650313">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8.616.117</w:t>
            </w:r>
          </w:p>
        </w:tc>
      </w:tr>
      <w:tr w:rsidR="00650313" w:rsidRPr="0009028A" w14:paraId="521E5E7F" w14:textId="77777777" w:rsidTr="0067119C">
        <w:trPr>
          <w:trHeight w:val="68"/>
        </w:trPr>
        <w:tc>
          <w:tcPr>
            <w:tcW w:w="3828" w:type="dxa"/>
            <w:shd w:val="clear" w:color="auto" w:fill="auto"/>
            <w:vAlign w:val="center"/>
            <w:hideMark/>
          </w:tcPr>
          <w:p w14:paraId="1976548E" w14:textId="77777777" w:rsidR="00650313" w:rsidRPr="0009028A" w:rsidRDefault="00650313" w:rsidP="00650313">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Resultado integral total</w:t>
            </w:r>
          </w:p>
        </w:tc>
        <w:tc>
          <w:tcPr>
            <w:tcW w:w="1559" w:type="dxa"/>
            <w:shd w:val="clear" w:color="auto" w:fill="auto"/>
            <w:vAlign w:val="center"/>
            <w:hideMark/>
          </w:tcPr>
          <w:p w14:paraId="6B96795D" w14:textId="77777777" w:rsidR="00650313" w:rsidRPr="0009028A" w:rsidRDefault="0067119C" w:rsidP="00650313">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lang w:eastAsia="es-CO"/>
              </w:rPr>
              <w:t xml:space="preserve">$     </w:t>
            </w:r>
            <w:r w:rsidRPr="0009028A">
              <w:rPr>
                <w:rFonts w:ascii="Arial" w:eastAsia="Times New Roman" w:hAnsi="Arial" w:cs="Arial"/>
                <w:b/>
                <w:bCs/>
                <w:color w:val="103475"/>
                <w:sz w:val="18"/>
                <w:szCs w:val="18"/>
                <w:u w:val="double"/>
                <w:lang w:eastAsia="es-CO"/>
              </w:rPr>
              <w:t xml:space="preserve">   </w:t>
            </w:r>
            <w:r w:rsidR="00650313" w:rsidRPr="0009028A">
              <w:rPr>
                <w:rFonts w:ascii="Arial" w:eastAsia="Times New Roman" w:hAnsi="Arial" w:cs="Arial"/>
                <w:b/>
                <w:bCs/>
                <w:color w:val="103475"/>
                <w:sz w:val="18"/>
                <w:szCs w:val="18"/>
                <w:u w:val="double"/>
                <w:lang w:eastAsia="es-CO"/>
              </w:rPr>
              <w:t>11.616.659</w:t>
            </w:r>
          </w:p>
        </w:tc>
        <w:tc>
          <w:tcPr>
            <w:tcW w:w="1559" w:type="dxa"/>
            <w:shd w:val="clear" w:color="auto" w:fill="auto"/>
            <w:vAlign w:val="center"/>
            <w:hideMark/>
          </w:tcPr>
          <w:p w14:paraId="06BAE451" w14:textId="12C511D2" w:rsidR="00650313" w:rsidRPr="0009028A" w:rsidRDefault="00650313" w:rsidP="00650313">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5.158.176</w:t>
            </w:r>
          </w:p>
        </w:tc>
        <w:tc>
          <w:tcPr>
            <w:tcW w:w="1418" w:type="dxa"/>
            <w:shd w:val="clear" w:color="auto" w:fill="auto"/>
            <w:vAlign w:val="center"/>
            <w:hideMark/>
          </w:tcPr>
          <w:p w14:paraId="4AD5B0E5" w14:textId="2D494F7A" w:rsidR="00650313" w:rsidRPr="0009028A" w:rsidRDefault="00650313" w:rsidP="00650313">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43.313.938</w:t>
            </w:r>
          </w:p>
        </w:tc>
        <w:tc>
          <w:tcPr>
            <w:tcW w:w="1556" w:type="dxa"/>
            <w:shd w:val="clear" w:color="auto" w:fill="auto"/>
            <w:vAlign w:val="center"/>
            <w:hideMark/>
          </w:tcPr>
          <w:p w14:paraId="02F0273F" w14:textId="408730D4" w:rsidR="00650313" w:rsidRPr="0009028A" w:rsidRDefault="00062ECB" w:rsidP="00650313">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8.616.117</w:t>
            </w:r>
          </w:p>
        </w:tc>
      </w:tr>
      <w:tr w:rsidR="00650313" w:rsidRPr="0009028A" w14:paraId="406FF538" w14:textId="77777777" w:rsidTr="0067119C">
        <w:trPr>
          <w:trHeight w:val="68"/>
        </w:trPr>
        <w:tc>
          <w:tcPr>
            <w:tcW w:w="3828" w:type="dxa"/>
            <w:shd w:val="clear" w:color="auto" w:fill="auto"/>
            <w:vAlign w:val="center"/>
          </w:tcPr>
          <w:p w14:paraId="721C1A55" w14:textId="77777777" w:rsidR="00650313" w:rsidRPr="0009028A" w:rsidRDefault="00650313" w:rsidP="00650313">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color w:val="000000"/>
                <w:sz w:val="18"/>
                <w:szCs w:val="18"/>
                <w:lang w:eastAsia="es-CO"/>
              </w:rPr>
              <w:t>Dividendos pagados a la tenedora</w:t>
            </w:r>
          </w:p>
        </w:tc>
        <w:tc>
          <w:tcPr>
            <w:tcW w:w="1559" w:type="dxa"/>
            <w:shd w:val="clear" w:color="auto" w:fill="auto"/>
            <w:vAlign w:val="center"/>
          </w:tcPr>
          <w:p w14:paraId="3B2B2AD0" w14:textId="77777777" w:rsidR="00650313" w:rsidRPr="0009028A" w:rsidRDefault="00650313" w:rsidP="00650313">
            <w:pPr>
              <w:spacing w:after="0" w:line="240" w:lineRule="auto"/>
              <w:jc w:val="right"/>
              <w:rPr>
                <w:rFonts w:ascii="Arial" w:eastAsia="Times New Roman" w:hAnsi="Arial" w:cs="Arial"/>
                <w:b/>
                <w:bCs/>
                <w:color w:val="103475"/>
                <w:sz w:val="18"/>
                <w:szCs w:val="18"/>
                <w:lang w:eastAsia="es-CO"/>
              </w:rPr>
            </w:pPr>
            <w:r w:rsidRPr="0009028A">
              <w:rPr>
                <w:rFonts w:ascii="Arial" w:eastAsia="Times New Roman" w:hAnsi="Arial" w:cs="Arial"/>
                <w:color w:val="000000"/>
                <w:sz w:val="18"/>
                <w:szCs w:val="18"/>
                <w:lang w:eastAsia="es-CO"/>
              </w:rPr>
              <w:t>32.565.050</w:t>
            </w:r>
          </w:p>
        </w:tc>
        <w:tc>
          <w:tcPr>
            <w:tcW w:w="1559" w:type="dxa"/>
            <w:shd w:val="clear" w:color="auto" w:fill="auto"/>
            <w:vAlign w:val="center"/>
          </w:tcPr>
          <w:p w14:paraId="021631D4" w14:textId="77777777" w:rsidR="00650313" w:rsidRPr="0009028A" w:rsidRDefault="00650313" w:rsidP="00650313">
            <w:pPr>
              <w:spacing w:after="0" w:line="240" w:lineRule="auto"/>
              <w:jc w:val="right"/>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w:t>
            </w:r>
          </w:p>
        </w:tc>
        <w:tc>
          <w:tcPr>
            <w:tcW w:w="1418" w:type="dxa"/>
            <w:shd w:val="clear" w:color="auto" w:fill="auto"/>
            <w:vAlign w:val="center"/>
          </w:tcPr>
          <w:p w14:paraId="28823156" w14:textId="77777777" w:rsidR="00650313" w:rsidRPr="0009028A" w:rsidRDefault="00650313" w:rsidP="00650313">
            <w:pPr>
              <w:spacing w:after="0" w:line="240" w:lineRule="auto"/>
              <w:jc w:val="right"/>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w:t>
            </w:r>
          </w:p>
        </w:tc>
        <w:tc>
          <w:tcPr>
            <w:tcW w:w="1556" w:type="dxa"/>
            <w:shd w:val="clear" w:color="auto" w:fill="auto"/>
            <w:vAlign w:val="center"/>
          </w:tcPr>
          <w:p w14:paraId="25AB873D" w14:textId="77777777" w:rsidR="00650313" w:rsidRPr="0009028A" w:rsidRDefault="00650313" w:rsidP="00650313">
            <w:pPr>
              <w:spacing w:after="0" w:line="240" w:lineRule="auto"/>
              <w:jc w:val="right"/>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w:t>
            </w:r>
          </w:p>
        </w:tc>
      </w:tr>
    </w:tbl>
    <w:p w14:paraId="221F38D1" w14:textId="77777777" w:rsidR="00650313" w:rsidRPr="0009028A" w:rsidRDefault="00650313" w:rsidP="00393EB0">
      <w:pPr>
        <w:jc w:val="both"/>
        <w:rPr>
          <w:rFonts w:ascii="Arial" w:hAnsi="Arial" w:cs="Arial"/>
          <w:color w:val="000000"/>
          <w:sz w:val="20"/>
          <w:szCs w:val="20"/>
          <w:highlight w:val="yellow"/>
          <w:lang w:val="es-ES"/>
        </w:rPr>
      </w:pPr>
    </w:p>
    <w:tbl>
      <w:tblPr>
        <w:tblW w:w="0" w:type="auto"/>
        <w:tblCellMar>
          <w:left w:w="70" w:type="dxa"/>
          <w:right w:w="70" w:type="dxa"/>
        </w:tblCellMar>
        <w:tblLook w:val="04A0" w:firstRow="1" w:lastRow="0" w:firstColumn="1" w:lastColumn="0" w:noHBand="0" w:noVBand="1"/>
      </w:tblPr>
      <w:tblGrid>
        <w:gridCol w:w="3828"/>
        <w:gridCol w:w="1559"/>
        <w:gridCol w:w="1559"/>
        <w:gridCol w:w="1418"/>
        <w:gridCol w:w="1556"/>
      </w:tblGrid>
      <w:tr w:rsidR="00615941" w:rsidRPr="0009028A" w14:paraId="4DBD96B5" w14:textId="77777777" w:rsidTr="0067119C">
        <w:trPr>
          <w:trHeight w:val="68"/>
        </w:trPr>
        <w:tc>
          <w:tcPr>
            <w:tcW w:w="3828" w:type="dxa"/>
            <w:shd w:val="clear" w:color="auto" w:fill="auto"/>
            <w:vAlign w:val="center"/>
            <w:hideMark/>
          </w:tcPr>
          <w:p w14:paraId="22D36ABE" w14:textId="77777777" w:rsidR="00615941" w:rsidRPr="0009028A" w:rsidRDefault="00615941" w:rsidP="00615941">
            <w:pPr>
              <w:spacing w:after="0" w:line="240" w:lineRule="auto"/>
              <w:rPr>
                <w:rFonts w:ascii="Arial" w:eastAsia="Times New Roman" w:hAnsi="Arial" w:cs="Arial"/>
                <w:b/>
                <w:bCs/>
                <w:color w:val="000000"/>
                <w:sz w:val="18"/>
                <w:szCs w:val="18"/>
                <w:lang w:eastAsia="es-CO"/>
              </w:rPr>
            </w:pPr>
            <w:r w:rsidRPr="0009028A">
              <w:rPr>
                <w:rFonts w:ascii="Arial" w:eastAsia="Times New Roman" w:hAnsi="Arial" w:cs="Arial"/>
                <w:b/>
                <w:bCs/>
                <w:color w:val="000000"/>
                <w:sz w:val="18"/>
                <w:szCs w:val="18"/>
                <w:lang w:eastAsia="es-CO"/>
              </w:rPr>
              <w:t> </w:t>
            </w:r>
          </w:p>
        </w:tc>
        <w:tc>
          <w:tcPr>
            <w:tcW w:w="1559" w:type="dxa"/>
            <w:shd w:val="clear" w:color="auto" w:fill="auto"/>
            <w:vAlign w:val="center"/>
            <w:hideMark/>
          </w:tcPr>
          <w:p w14:paraId="23B2B312" w14:textId="77777777" w:rsidR="00615941" w:rsidRPr="0009028A" w:rsidRDefault="00615941" w:rsidP="00615941">
            <w:pPr>
              <w:spacing w:after="0" w:line="240" w:lineRule="auto"/>
              <w:jc w:val="center"/>
              <w:rPr>
                <w:rFonts w:ascii="Arial" w:eastAsia="Times New Roman" w:hAnsi="Arial" w:cs="Arial"/>
                <w:b/>
                <w:bCs/>
                <w:color w:val="000000"/>
                <w:sz w:val="18"/>
                <w:szCs w:val="20"/>
                <w:lang w:eastAsia="es-CO"/>
              </w:rPr>
            </w:pPr>
            <w:r w:rsidRPr="0009028A">
              <w:rPr>
                <w:rFonts w:ascii="Arial" w:eastAsia="Times New Roman" w:hAnsi="Arial" w:cs="Arial"/>
                <w:b/>
                <w:bCs/>
                <w:color w:val="000000"/>
                <w:sz w:val="18"/>
                <w:szCs w:val="20"/>
                <w:lang w:eastAsia="es-CO"/>
              </w:rPr>
              <w:t>Concesión La Pintada S.A.S.</w:t>
            </w:r>
          </w:p>
        </w:tc>
        <w:tc>
          <w:tcPr>
            <w:tcW w:w="1559" w:type="dxa"/>
            <w:shd w:val="clear" w:color="auto" w:fill="auto"/>
            <w:vAlign w:val="center"/>
            <w:hideMark/>
          </w:tcPr>
          <w:p w14:paraId="198C8E49" w14:textId="77777777" w:rsidR="00615941" w:rsidRPr="0009028A" w:rsidRDefault="00615941" w:rsidP="00615941">
            <w:pPr>
              <w:spacing w:after="0" w:line="240" w:lineRule="auto"/>
              <w:jc w:val="center"/>
              <w:rPr>
                <w:rFonts w:ascii="Arial" w:eastAsia="Times New Roman" w:hAnsi="Arial" w:cs="Arial"/>
                <w:b/>
                <w:bCs/>
                <w:color w:val="000000"/>
                <w:sz w:val="18"/>
                <w:szCs w:val="20"/>
                <w:lang w:eastAsia="es-CO"/>
              </w:rPr>
            </w:pPr>
            <w:r w:rsidRPr="0009028A">
              <w:rPr>
                <w:rFonts w:ascii="Arial" w:eastAsia="Times New Roman" w:hAnsi="Arial" w:cs="Arial"/>
                <w:b/>
                <w:bCs/>
                <w:color w:val="000000"/>
                <w:sz w:val="18"/>
                <w:szCs w:val="20"/>
                <w:lang w:eastAsia="es-CO"/>
              </w:rPr>
              <w:t>Sociedad Concesionaria Operadora Aeroportuaria S.A.</w:t>
            </w:r>
          </w:p>
        </w:tc>
        <w:tc>
          <w:tcPr>
            <w:tcW w:w="1418" w:type="dxa"/>
            <w:shd w:val="clear" w:color="auto" w:fill="auto"/>
            <w:vAlign w:val="center"/>
            <w:hideMark/>
          </w:tcPr>
          <w:p w14:paraId="403B4AB4" w14:textId="77777777" w:rsidR="00615941" w:rsidRPr="0009028A" w:rsidRDefault="00615941" w:rsidP="00615941">
            <w:pPr>
              <w:spacing w:after="0" w:line="240" w:lineRule="auto"/>
              <w:jc w:val="center"/>
              <w:rPr>
                <w:rFonts w:ascii="Arial" w:eastAsia="Times New Roman" w:hAnsi="Arial" w:cs="Arial"/>
                <w:b/>
                <w:bCs/>
                <w:color w:val="000000"/>
                <w:sz w:val="18"/>
                <w:szCs w:val="20"/>
                <w:lang w:eastAsia="es-CO"/>
              </w:rPr>
            </w:pPr>
            <w:r w:rsidRPr="0009028A">
              <w:rPr>
                <w:rFonts w:ascii="Arial" w:eastAsia="Times New Roman" w:hAnsi="Arial" w:cs="Arial"/>
                <w:b/>
                <w:bCs/>
                <w:color w:val="000000"/>
                <w:sz w:val="18"/>
                <w:szCs w:val="20"/>
                <w:lang w:eastAsia="es-CO"/>
              </w:rPr>
              <w:t>Consorcio Farallones</w:t>
            </w:r>
          </w:p>
        </w:tc>
        <w:tc>
          <w:tcPr>
            <w:tcW w:w="1556" w:type="dxa"/>
            <w:shd w:val="clear" w:color="auto" w:fill="auto"/>
            <w:vAlign w:val="center"/>
            <w:hideMark/>
          </w:tcPr>
          <w:p w14:paraId="3DADC078" w14:textId="77777777" w:rsidR="00615941" w:rsidRPr="0009028A" w:rsidRDefault="00615941" w:rsidP="00615941">
            <w:pPr>
              <w:spacing w:after="0" w:line="240" w:lineRule="auto"/>
              <w:jc w:val="center"/>
              <w:rPr>
                <w:rFonts w:ascii="Arial" w:eastAsia="Times New Roman" w:hAnsi="Arial" w:cs="Arial"/>
                <w:b/>
                <w:bCs/>
                <w:color w:val="000000"/>
                <w:sz w:val="18"/>
                <w:szCs w:val="20"/>
                <w:lang w:eastAsia="es-CO"/>
              </w:rPr>
            </w:pPr>
            <w:r w:rsidRPr="0009028A">
              <w:rPr>
                <w:rFonts w:ascii="Arial" w:eastAsia="Times New Roman" w:hAnsi="Arial" w:cs="Arial"/>
                <w:b/>
                <w:bCs/>
                <w:color w:val="000000"/>
                <w:sz w:val="18"/>
                <w:szCs w:val="20"/>
                <w:lang w:eastAsia="es-CO"/>
              </w:rPr>
              <w:t>Otras Asociadas y Negocios Conjuntos</w:t>
            </w:r>
          </w:p>
        </w:tc>
      </w:tr>
      <w:tr w:rsidR="00615941" w:rsidRPr="0009028A" w14:paraId="1665331F" w14:textId="77777777" w:rsidTr="0067119C">
        <w:trPr>
          <w:trHeight w:val="68"/>
        </w:trPr>
        <w:tc>
          <w:tcPr>
            <w:tcW w:w="3828" w:type="dxa"/>
            <w:shd w:val="clear" w:color="auto" w:fill="auto"/>
            <w:vAlign w:val="center"/>
            <w:hideMark/>
          </w:tcPr>
          <w:p w14:paraId="7D4B72CB" w14:textId="77777777" w:rsidR="00615941" w:rsidRPr="0009028A" w:rsidRDefault="00615941" w:rsidP="00615941">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Diciembre de 2018</w:t>
            </w:r>
          </w:p>
        </w:tc>
        <w:tc>
          <w:tcPr>
            <w:tcW w:w="1559" w:type="dxa"/>
            <w:shd w:val="clear" w:color="auto" w:fill="auto"/>
            <w:vAlign w:val="center"/>
            <w:hideMark/>
          </w:tcPr>
          <w:p w14:paraId="527FDC2B" w14:textId="77777777" w:rsidR="00615941" w:rsidRPr="0009028A" w:rsidRDefault="00615941" w:rsidP="00615941">
            <w:pPr>
              <w:spacing w:after="0" w:line="240" w:lineRule="auto"/>
              <w:jc w:val="right"/>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 </w:t>
            </w:r>
          </w:p>
        </w:tc>
        <w:tc>
          <w:tcPr>
            <w:tcW w:w="1559" w:type="dxa"/>
            <w:shd w:val="clear" w:color="auto" w:fill="auto"/>
            <w:vAlign w:val="center"/>
            <w:hideMark/>
          </w:tcPr>
          <w:p w14:paraId="0E2E325E" w14:textId="77777777" w:rsidR="00615941" w:rsidRPr="0009028A" w:rsidRDefault="00615941" w:rsidP="00615941">
            <w:pPr>
              <w:spacing w:after="0" w:line="240" w:lineRule="auto"/>
              <w:jc w:val="right"/>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 </w:t>
            </w:r>
          </w:p>
        </w:tc>
        <w:tc>
          <w:tcPr>
            <w:tcW w:w="1418" w:type="dxa"/>
            <w:shd w:val="clear" w:color="auto" w:fill="auto"/>
            <w:vAlign w:val="center"/>
            <w:hideMark/>
          </w:tcPr>
          <w:p w14:paraId="1D4F0456" w14:textId="77777777" w:rsidR="00615941" w:rsidRPr="0009028A" w:rsidRDefault="00615941" w:rsidP="00615941">
            <w:pPr>
              <w:spacing w:after="0" w:line="240" w:lineRule="auto"/>
              <w:jc w:val="right"/>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 </w:t>
            </w:r>
          </w:p>
        </w:tc>
        <w:tc>
          <w:tcPr>
            <w:tcW w:w="1556" w:type="dxa"/>
            <w:shd w:val="clear" w:color="auto" w:fill="auto"/>
            <w:vAlign w:val="center"/>
            <w:hideMark/>
          </w:tcPr>
          <w:p w14:paraId="7B6615F4" w14:textId="77777777" w:rsidR="00615941" w:rsidRPr="0009028A" w:rsidRDefault="00615941" w:rsidP="00615941">
            <w:pPr>
              <w:spacing w:after="0" w:line="240" w:lineRule="auto"/>
              <w:jc w:val="right"/>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 </w:t>
            </w:r>
          </w:p>
        </w:tc>
      </w:tr>
      <w:tr w:rsidR="00615941" w:rsidRPr="0009028A" w14:paraId="45CD290A" w14:textId="77777777" w:rsidTr="0067119C">
        <w:trPr>
          <w:trHeight w:val="68"/>
        </w:trPr>
        <w:tc>
          <w:tcPr>
            <w:tcW w:w="3828" w:type="dxa"/>
            <w:shd w:val="clear" w:color="auto" w:fill="auto"/>
            <w:vAlign w:val="center"/>
            <w:hideMark/>
          </w:tcPr>
          <w:p w14:paraId="4366DAF1" w14:textId="77777777" w:rsidR="00615941" w:rsidRPr="0009028A" w:rsidRDefault="007E6E24"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Activos corrientes</w:t>
            </w:r>
          </w:p>
        </w:tc>
        <w:tc>
          <w:tcPr>
            <w:tcW w:w="1559" w:type="dxa"/>
            <w:shd w:val="clear" w:color="auto" w:fill="auto"/>
            <w:vAlign w:val="center"/>
            <w:hideMark/>
          </w:tcPr>
          <w:p w14:paraId="5BEA2F9C" w14:textId="77777777" w:rsidR="00615941" w:rsidRPr="0009028A" w:rsidRDefault="0067119C"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       </w:t>
            </w:r>
            <w:r w:rsidR="00615941" w:rsidRPr="0009028A">
              <w:rPr>
                <w:rFonts w:ascii="Arial" w:eastAsia="Times New Roman" w:hAnsi="Arial" w:cs="Arial"/>
                <w:color w:val="000000"/>
                <w:sz w:val="18"/>
                <w:szCs w:val="18"/>
                <w:lang w:eastAsia="es-CO"/>
              </w:rPr>
              <w:t>55.134.006</w:t>
            </w:r>
          </w:p>
        </w:tc>
        <w:tc>
          <w:tcPr>
            <w:tcW w:w="1559" w:type="dxa"/>
            <w:shd w:val="clear" w:color="auto" w:fill="auto"/>
            <w:vAlign w:val="center"/>
            <w:hideMark/>
          </w:tcPr>
          <w:p w14:paraId="42314844"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802.381.507</w:t>
            </w:r>
          </w:p>
        </w:tc>
        <w:tc>
          <w:tcPr>
            <w:tcW w:w="1418" w:type="dxa"/>
            <w:shd w:val="clear" w:color="auto" w:fill="auto"/>
            <w:vAlign w:val="center"/>
            <w:hideMark/>
          </w:tcPr>
          <w:p w14:paraId="77AE3550"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243.297.641</w:t>
            </w:r>
          </w:p>
        </w:tc>
        <w:tc>
          <w:tcPr>
            <w:tcW w:w="1556" w:type="dxa"/>
            <w:shd w:val="clear" w:color="auto" w:fill="auto"/>
            <w:vAlign w:val="center"/>
            <w:hideMark/>
          </w:tcPr>
          <w:p w14:paraId="71402B61"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137.622.392</w:t>
            </w:r>
          </w:p>
        </w:tc>
      </w:tr>
      <w:tr w:rsidR="00615941" w:rsidRPr="0009028A" w14:paraId="4BBF7950" w14:textId="77777777" w:rsidTr="0067119C">
        <w:trPr>
          <w:trHeight w:val="68"/>
        </w:trPr>
        <w:tc>
          <w:tcPr>
            <w:tcW w:w="3828" w:type="dxa"/>
            <w:shd w:val="clear" w:color="auto" w:fill="auto"/>
            <w:vAlign w:val="center"/>
            <w:hideMark/>
          </w:tcPr>
          <w:p w14:paraId="6AAC47C3" w14:textId="77777777" w:rsidR="00615941" w:rsidRPr="0009028A" w:rsidRDefault="00615941"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Activos no corrientes</w:t>
            </w:r>
          </w:p>
        </w:tc>
        <w:tc>
          <w:tcPr>
            <w:tcW w:w="1559" w:type="dxa"/>
            <w:shd w:val="clear" w:color="auto" w:fill="auto"/>
            <w:vAlign w:val="center"/>
            <w:hideMark/>
          </w:tcPr>
          <w:p w14:paraId="6E49E997" w14:textId="77777777" w:rsidR="00615941" w:rsidRPr="0009028A" w:rsidRDefault="00615941" w:rsidP="00615941">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1.211.156.434</w:t>
            </w:r>
          </w:p>
        </w:tc>
        <w:tc>
          <w:tcPr>
            <w:tcW w:w="1559" w:type="dxa"/>
            <w:shd w:val="clear" w:color="auto" w:fill="auto"/>
            <w:vAlign w:val="center"/>
            <w:hideMark/>
          </w:tcPr>
          <w:p w14:paraId="24933952" w14:textId="77777777" w:rsidR="00615941" w:rsidRPr="0009028A" w:rsidRDefault="00615941" w:rsidP="00615941">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1.767.744.588</w:t>
            </w:r>
          </w:p>
        </w:tc>
        <w:tc>
          <w:tcPr>
            <w:tcW w:w="1418" w:type="dxa"/>
            <w:shd w:val="clear" w:color="auto" w:fill="auto"/>
            <w:vAlign w:val="center"/>
            <w:hideMark/>
          </w:tcPr>
          <w:p w14:paraId="3F0AD52F" w14:textId="77777777" w:rsidR="00615941" w:rsidRPr="0009028A" w:rsidRDefault="00615941" w:rsidP="00615941">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62.666.589</w:t>
            </w:r>
          </w:p>
        </w:tc>
        <w:tc>
          <w:tcPr>
            <w:tcW w:w="1556" w:type="dxa"/>
            <w:shd w:val="clear" w:color="auto" w:fill="auto"/>
            <w:vAlign w:val="center"/>
            <w:hideMark/>
          </w:tcPr>
          <w:p w14:paraId="1DA1301D" w14:textId="632F306F" w:rsidR="00615941" w:rsidRPr="0009028A" w:rsidRDefault="00615941" w:rsidP="00615941">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56.913.769</w:t>
            </w:r>
          </w:p>
        </w:tc>
      </w:tr>
      <w:tr w:rsidR="00615941" w:rsidRPr="0009028A" w14:paraId="28EC8EFB" w14:textId="77777777" w:rsidTr="0067119C">
        <w:trPr>
          <w:trHeight w:val="68"/>
        </w:trPr>
        <w:tc>
          <w:tcPr>
            <w:tcW w:w="3828" w:type="dxa"/>
            <w:shd w:val="clear" w:color="auto" w:fill="auto"/>
            <w:vAlign w:val="center"/>
            <w:hideMark/>
          </w:tcPr>
          <w:p w14:paraId="0B9DD56C" w14:textId="77777777" w:rsidR="00615941" w:rsidRPr="0009028A" w:rsidRDefault="00615941" w:rsidP="00615941">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Total de activos</w:t>
            </w:r>
          </w:p>
        </w:tc>
        <w:tc>
          <w:tcPr>
            <w:tcW w:w="1559" w:type="dxa"/>
            <w:shd w:val="clear" w:color="auto" w:fill="auto"/>
            <w:vAlign w:val="center"/>
            <w:hideMark/>
          </w:tcPr>
          <w:p w14:paraId="41113E2A" w14:textId="77777777" w:rsidR="00615941" w:rsidRPr="0009028A" w:rsidRDefault="0067119C" w:rsidP="00615941">
            <w:pPr>
              <w:spacing w:after="0" w:line="240" w:lineRule="auto"/>
              <w:jc w:val="right"/>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 xml:space="preserve">$  </w:t>
            </w:r>
            <w:r w:rsidR="00615941" w:rsidRPr="0009028A">
              <w:rPr>
                <w:rFonts w:ascii="Arial" w:eastAsia="Times New Roman" w:hAnsi="Arial" w:cs="Arial"/>
                <w:b/>
                <w:bCs/>
                <w:color w:val="103475"/>
                <w:sz w:val="18"/>
                <w:szCs w:val="18"/>
                <w:lang w:eastAsia="es-CO"/>
              </w:rPr>
              <w:t>1.266.290.440</w:t>
            </w:r>
          </w:p>
        </w:tc>
        <w:tc>
          <w:tcPr>
            <w:tcW w:w="1559" w:type="dxa"/>
            <w:shd w:val="clear" w:color="auto" w:fill="auto"/>
            <w:vAlign w:val="center"/>
            <w:hideMark/>
          </w:tcPr>
          <w:p w14:paraId="4D8AB85C" w14:textId="77777777" w:rsidR="00615941" w:rsidRPr="0009028A" w:rsidRDefault="00615941" w:rsidP="00615941">
            <w:pPr>
              <w:spacing w:after="0" w:line="240" w:lineRule="auto"/>
              <w:jc w:val="right"/>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2.570.126.095</w:t>
            </w:r>
          </w:p>
        </w:tc>
        <w:tc>
          <w:tcPr>
            <w:tcW w:w="1418" w:type="dxa"/>
            <w:shd w:val="clear" w:color="auto" w:fill="auto"/>
            <w:vAlign w:val="center"/>
            <w:hideMark/>
          </w:tcPr>
          <w:p w14:paraId="5DCF78DD" w14:textId="77777777" w:rsidR="00615941" w:rsidRPr="0009028A" w:rsidRDefault="00615941" w:rsidP="00615941">
            <w:pPr>
              <w:spacing w:after="0" w:line="240" w:lineRule="auto"/>
              <w:jc w:val="right"/>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305.964.230</w:t>
            </w:r>
          </w:p>
        </w:tc>
        <w:tc>
          <w:tcPr>
            <w:tcW w:w="1556" w:type="dxa"/>
            <w:shd w:val="clear" w:color="auto" w:fill="auto"/>
            <w:vAlign w:val="center"/>
            <w:hideMark/>
          </w:tcPr>
          <w:p w14:paraId="7B5C8F26" w14:textId="77777777" w:rsidR="00615941" w:rsidRPr="0009028A" w:rsidRDefault="00615941" w:rsidP="00615941">
            <w:pPr>
              <w:spacing w:after="0" w:line="240" w:lineRule="auto"/>
              <w:jc w:val="right"/>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194.536.161</w:t>
            </w:r>
          </w:p>
        </w:tc>
      </w:tr>
      <w:tr w:rsidR="00615941" w:rsidRPr="0009028A" w14:paraId="319C5B03" w14:textId="77777777" w:rsidTr="0067119C">
        <w:trPr>
          <w:trHeight w:val="68"/>
        </w:trPr>
        <w:tc>
          <w:tcPr>
            <w:tcW w:w="3828" w:type="dxa"/>
            <w:shd w:val="clear" w:color="auto" w:fill="auto"/>
            <w:vAlign w:val="center"/>
            <w:hideMark/>
          </w:tcPr>
          <w:p w14:paraId="1635F57F" w14:textId="77777777" w:rsidR="00615941" w:rsidRPr="0009028A" w:rsidRDefault="00615941"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Pasivos corrientes </w:t>
            </w:r>
          </w:p>
        </w:tc>
        <w:tc>
          <w:tcPr>
            <w:tcW w:w="1559" w:type="dxa"/>
            <w:shd w:val="clear" w:color="auto" w:fill="auto"/>
            <w:vAlign w:val="center"/>
            <w:hideMark/>
          </w:tcPr>
          <w:p w14:paraId="2F17D976" w14:textId="77777777" w:rsidR="00615941" w:rsidRPr="0009028A" w:rsidRDefault="0067119C" w:rsidP="00615941">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 xml:space="preserve">   </w:t>
            </w:r>
            <w:r w:rsidR="00615941" w:rsidRPr="0009028A">
              <w:rPr>
                <w:rFonts w:ascii="Arial" w:eastAsia="Times New Roman" w:hAnsi="Arial" w:cs="Arial"/>
                <w:color w:val="000000"/>
                <w:sz w:val="18"/>
                <w:szCs w:val="18"/>
                <w:u w:val="single"/>
                <w:lang w:eastAsia="es-CO"/>
              </w:rPr>
              <w:t>152.200.916</w:t>
            </w:r>
          </w:p>
        </w:tc>
        <w:tc>
          <w:tcPr>
            <w:tcW w:w="1559" w:type="dxa"/>
            <w:shd w:val="clear" w:color="auto" w:fill="auto"/>
            <w:vAlign w:val="center"/>
            <w:hideMark/>
          </w:tcPr>
          <w:p w14:paraId="40FE52EB" w14:textId="7BACC194" w:rsidR="00615941" w:rsidRPr="0009028A" w:rsidRDefault="00615941" w:rsidP="00615941">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718.466.584</w:t>
            </w:r>
          </w:p>
        </w:tc>
        <w:tc>
          <w:tcPr>
            <w:tcW w:w="1418" w:type="dxa"/>
            <w:shd w:val="clear" w:color="auto" w:fill="auto"/>
            <w:vAlign w:val="center"/>
            <w:hideMark/>
          </w:tcPr>
          <w:p w14:paraId="77BFCD0C" w14:textId="77777777" w:rsidR="00615941" w:rsidRPr="0009028A" w:rsidRDefault="00615941" w:rsidP="00615941">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189.826.236</w:t>
            </w:r>
          </w:p>
        </w:tc>
        <w:tc>
          <w:tcPr>
            <w:tcW w:w="1556" w:type="dxa"/>
            <w:shd w:val="clear" w:color="auto" w:fill="auto"/>
            <w:vAlign w:val="center"/>
            <w:hideMark/>
          </w:tcPr>
          <w:p w14:paraId="142A30BC" w14:textId="77777777" w:rsidR="00615941" w:rsidRPr="0009028A" w:rsidRDefault="00615941" w:rsidP="00615941">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129.018.568</w:t>
            </w:r>
          </w:p>
        </w:tc>
      </w:tr>
      <w:tr w:rsidR="00615941" w:rsidRPr="0009028A" w14:paraId="5CEE49C0" w14:textId="77777777" w:rsidTr="0067119C">
        <w:trPr>
          <w:trHeight w:val="68"/>
        </w:trPr>
        <w:tc>
          <w:tcPr>
            <w:tcW w:w="3828" w:type="dxa"/>
            <w:shd w:val="clear" w:color="auto" w:fill="auto"/>
            <w:vAlign w:val="center"/>
            <w:hideMark/>
          </w:tcPr>
          <w:p w14:paraId="565C5D34" w14:textId="77777777" w:rsidR="00615941" w:rsidRPr="0009028A" w:rsidRDefault="00615941"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Pasivos no corrientes </w:t>
            </w:r>
          </w:p>
        </w:tc>
        <w:tc>
          <w:tcPr>
            <w:tcW w:w="1559" w:type="dxa"/>
            <w:shd w:val="clear" w:color="auto" w:fill="auto"/>
            <w:vAlign w:val="center"/>
            <w:hideMark/>
          </w:tcPr>
          <w:p w14:paraId="307068EF" w14:textId="77777777" w:rsidR="00615941" w:rsidRPr="0009028A" w:rsidRDefault="0067119C" w:rsidP="00615941">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 xml:space="preserve">   </w:t>
            </w:r>
            <w:r w:rsidR="00615941" w:rsidRPr="0009028A">
              <w:rPr>
                <w:rFonts w:ascii="Arial" w:eastAsia="Times New Roman" w:hAnsi="Arial" w:cs="Arial"/>
                <w:color w:val="000000"/>
                <w:sz w:val="18"/>
                <w:szCs w:val="18"/>
                <w:u w:val="single"/>
                <w:lang w:eastAsia="es-CO"/>
              </w:rPr>
              <w:t>781.312.163</w:t>
            </w:r>
          </w:p>
        </w:tc>
        <w:tc>
          <w:tcPr>
            <w:tcW w:w="1559" w:type="dxa"/>
            <w:shd w:val="clear" w:color="auto" w:fill="auto"/>
            <w:vAlign w:val="center"/>
            <w:hideMark/>
          </w:tcPr>
          <w:p w14:paraId="637678E1" w14:textId="77777777" w:rsidR="00615941" w:rsidRPr="0009028A" w:rsidRDefault="00615941" w:rsidP="00615941">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1.397.832.283</w:t>
            </w:r>
          </w:p>
        </w:tc>
        <w:tc>
          <w:tcPr>
            <w:tcW w:w="1418" w:type="dxa"/>
            <w:shd w:val="clear" w:color="auto" w:fill="auto"/>
            <w:vAlign w:val="center"/>
            <w:hideMark/>
          </w:tcPr>
          <w:p w14:paraId="53084AB2" w14:textId="54717649" w:rsidR="00615941" w:rsidRPr="0009028A" w:rsidRDefault="00615941" w:rsidP="00615941">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34.856.846</w:t>
            </w:r>
          </w:p>
        </w:tc>
        <w:tc>
          <w:tcPr>
            <w:tcW w:w="1556" w:type="dxa"/>
            <w:shd w:val="clear" w:color="auto" w:fill="auto"/>
            <w:vAlign w:val="center"/>
            <w:hideMark/>
          </w:tcPr>
          <w:p w14:paraId="00266B48" w14:textId="1602C231" w:rsidR="00615941" w:rsidRPr="0009028A" w:rsidRDefault="00615941" w:rsidP="00615941">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15.094.049</w:t>
            </w:r>
          </w:p>
        </w:tc>
      </w:tr>
      <w:tr w:rsidR="00615941" w:rsidRPr="0009028A" w14:paraId="74755023" w14:textId="77777777" w:rsidTr="0067119C">
        <w:trPr>
          <w:trHeight w:val="68"/>
        </w:trPr>
        <w:tc>
          <w:tcPr>
            <w:tcW w:w="3828" w:type="dxa"/>
            <w:shd w:val="clear" w:color="auto" w:fill="auto"/>
            <w:vAlign w:val="center"/>
            <w:hideMark/>
          </w:tcPr>
          <w:p w14:paraId="3C90251E" w14:textId="77777777" w:rsidR="00615941" w:rsidRPr="0009028A" w:rsidRDefault="00615941" w:rsidP="00615941">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Total de pasivo</w:t>
            </w:r>
          </w:p>
        </w:tc>
        <w:tc>
          <w:tcPr>
            <w:tcW w:w="1559" w:type="dxa"/>
            <w:shd w:val="clear" w:color="auto" w:fill="auto"/>
            <w:vAlign w:val="center"/>
            <w:hideMark/>
          </w:tcPr>
          <w:p w14:paraId="00ECB403" w14:textId="77777777" w:rsidR="00615941" w:rsidRPr="0009028A" w:rsidRDefault="0067119C" w:rsidP="00615941">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lang w:eastAsia="es-CO"/>
              </w:rPr>
              <w:t xml:space="preserve">$ </w:t>
            </w:r>
            <w:r w:rsidRPr="0009028A">
              <w:rPr>
                <w:rFonts w:ascii="Arial" w:eastAsia="Times New Roman" w:hAnsi="Arial" w:cs="Arial"/>
                <w:b/>
                <w:bCs/>
                <w:color w:val="103475"/>
                <w:sz w:val="18"/>
                <w:szCs w:val="18"/>
                <w:u w:val="double"/>
                <w:lang w:eastAsia="es-CO"/>
              </w:rPr>
              <w:t xml:space="preserve">    </w:t>
            </w:r>
            <w:r w:rsidR="00615941" w:rsidRPr="0009028A">
              <w:rPr>
                <w:rFonts w:ascii="Arial" w:eastAsia="Times New Roman" w:hAnsi="Arial" w:cs="Arial"/>
                <w:b/>
                <w:bCs/>
                <w:color w:val="103475"/>
                <w:sz w:val="18"/>
                <w:szCs w:val="18"/>
                <w:u w:val="double"/>
                <w:lang w:eastAsia="es-CO"/>
              </w:rPr>
              <w:t>933.513.079</w:t>
            </w:r>
          </w:p>
        </w:tc>
        <w:tc>
          <w:tcPr>
            <w:tcW w:w="1559" w:type="dxa"/>
            <w:shd w:val="clear" w:color="auto" w:fill="auto"/>
            <w:vAlign w:val="center"/>
            <w:hideMark/>
          </w:tcPr>
          <w:p w14:paraId="13C28ED7" w14:textId="77777777" w:rsidR="00615941" w:rsidRPr="0009028A" w:rsidRDefault="00615941" w:rsidP="00615941">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2.116.298.867</w:t>
            </w:r>
          </w:p>
        </w:tc>
        <w:tc>
          <w:tcPr>
            <w:tcW w:w="1418" w:type="dxa"/>
            <w:shd w:val="clear" w:color="auto" w:fill="auto"/>
            <w:vAlign w:val="center"/>
            <w:hideMark/>
          </w:tcPr>
          <w:p w14:paraId="29EE86FB" w14:textId="77777777" w:rsidR="00615941" w:rsidRPr="0009028A" w:rsidRDefault="00615941" w:rsidP="00615941">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224.683.082</w:t>
            </w:r>
          </w:p>
        </w:tc>
        <w:tc>
          <w:tcPr>
            <w:tcW w:w="1556" w:type="dxa"/>
            <w:shd w:val="clear" w:color="auto" w:fill="auto"/>
            <w:vAlign w:val="center"/>
            <w:hideMark/>
          </w:tcPr>
          <w:p w14:paraId="3EBD04FE" w14:textId="77777777" w:rsidR="00615941" w:rsidRPr="0009028A" w:rsidRDefault="00615941" w:rsidP="00615941">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144.112.617</w:t>
            </w:r>
          </w:p>
        </w:tc>
      </w:tr>
      <w:tr w:rsidR="00615941" w:rsidRPr="0009028A" w14:paraId="6FA89C76" w14:textId="77777777" w:rsidTr="0067119C">
        <w:trPr>
          <w:trHeight w:val="68"/>
        </w:trPr>
        <w:tc>
          <w:tcPr>
            <w:tcW w:w="3828" w:type="dxa"/>
            <w:shd w:val="clear" w:color="auto" w:fill="auto"/>
            <w:vAlign w:val="center"/>
            <w:hideMark/>
          </w:tcPr>
          <w:p w14:paraId="5390385D" w14:textId="77777777" w:rsidR="00615941" w:rsidRPr="0009028A" w:rsidRDefault="00615941" w:rsidP="00615941">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Patrimonio</w:t>
            </w:r>
          </w:p>
        </w:tc>
        <w:tc>
          <w:tcPr>
            <w:tcW w:w="1559" w:type="dxa"/>
            <w:shd w:val="clear" w:color="auto" w:fill="auto"/>
            <w:vAlign w:val="center"/>
            <w:hideMark/>
          </w:tcPr>
          <w:p w14:paraId="5ECF261E" w14:textId="77777777" w:rsidR="00615941" w:rsidRPr="0009028A" w:rsidRDefault="0067119C" w:rsidP="00615941">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lang w:eastAsia="es-CO"/>
              </w:rPr>
              <w:t xml:space="preserve">$ </w:t>
            </w:r>
            <w:r w:rsidRPr="0009028A">
              <w:rPr>
                <w:rFonts w:ascii="Arial" w:eastAsia="Times New Roman" w:hAnsi="Arial" w:cs="Arial"/>
                <w:b/>
                <w:bCs/>
                <w:color w:val="103475"/>
                <w:sz w:val="18"/>
                <w:szCs w:val="18"/>
                <w:u w:val="double"/>
                <w:lang w:eastAsia="es-CO"/>
              </w:rPr>
              <w:t xml:space="preserve">    </w:t>
            </w:r>
            <w:r w:rsidR="00615941" w:rsidRPr="0009028A">
              <w:rPr>
                <w:rFonts w:ascii="Arial" w:eastAsia="Times New Roman" w:hAnsi="Arial" w:cs="Arial"/>
                <w:b/>
                <w:bCs/>
                <w:color w:val="103475"/>
                <w:sz w:val="18"/>
                <w:szCs w:val="18"/>
                <w:u w:val="double"/>
                <w:lang w:eastAsia="es-CO"/>
              </w:rPr>
              <w:t>332.777.361</w:t>
            </w:r>
          </w:p>
        </w:tc>
        <w:tc>
          <w:tcPr>
            <w:tcW w:w="1559" w:type="dxa"/>
            <w:shd w:val="clear" w:color="auto" w:fill="auto"/>
            <w:vAlign w:val="center"/>
            <w:hideMark/>
          </w:tcPr>
          <w:p w14:paraId="4BF64109" w14:textId="4CC3A964" w:rsidR="00615941" w:rsidRPr="0009028A" w:rsidRDefault="00615941" w:rsidP="00615941">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453.827.228</w:t>
            </w:r>
          </w:p>
        </w:tc>
        <w:tc>
          <w:tcPr>
            <w:tcW w:w="1418" w:type="dxa"/>
            <w:shd w:val="clear" w:color="auto" w:fill="auto"/>
            <w:vAlign w:val="center"/>
            <w:hideMark/>
          </w:tcPr>
          <w:p w14:paraId="4129E4F0" w14:textId="691BD27A" w:rsidR="00615941" w:rsidRPr="0009028A" w:rsidRDefault="00615941" w:rsidP="00615941">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81.281.148</w:t>
            </w:r>
          </w:p>
        </w:tc>
        <w:tc>
          <w:tcPr>
            <w:tcW w:w="1556" w:type="dxa"/>
            <w:shd w:val="clear" w:color="auto" w:fill="auto"/>
            <w:vAlign w:val="center"/>
            <w:hideMark/>
          </w:tcPr>
          <w:p w14:paraId="7F40AFE3" w14:textId="568C0D52" w:rsidR="00615941" w:rsidRPr="0009028A" w:rsidRDefault="00615941" w:rsidP="00615941">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50.423.544</w:t>
            </w:r>
          </w:p>
        </w:tc>
      </w:tr>
    </w:tbl>
    <w:p w14:paraId="32874498" w14:textId="77777777" w:rsidR="003432C1" w:rsidRPr="0009028A" w:rsidRDefault="003432C1">
      <w:pPr>
        <w:rPr>
          <w:rFonts w:ascii="Arial" w:hAnsi="Arial" w:cs="Arial"/>
          <w:color w:val="000000"/>
          <w:sz w:val="16"/>
          <w:szCs w:val="16"/>
          <w:highlight w:val="yellow"/>
          <w:lang w:val="es-ES"/>
        </w:rPr>
      </w:pPr>
    </w:p>
    <w:tbl>
      <w:tblPr>
        <w:tblW w:w="0" w:type="auto"/>
        <w:tblCellMar>
          <w:left w:w="70" w:type="dxa"/>
          <w:right w:w="70" w:type="dxa"/>
        </w:tblCellMar>
        <w:tblLook w:val="04A0" w:firstRow="1" w:lastRow="0" w:firstColumn="1" w:lastColumn="0" w:noHBand="0" w:noVBand="1"/>
      </w:tblPr>
      <w:tblGrid>
        <w:gridCol w:w="3828"/>
        <w:gridCol w:w="1559"/>
        <w:gridCol w:w="1559"/>
        <w:gridCol w:w="1418"/>
        <w:gridCol w:w="1556"/>
      </w:tblGrid>
      <w:tr w:rsidR="00615941" w:rsidRPr="0009028A" w14:paraId="6483DA49" w14:textId="77777777" w:rsidTr="0067119C">
        <w:trPr>
          <w:trHeight w:val="68"/>
        </w:trPr>
        <w:tc>
          <w:tcPr>
            <w:tcW w:w="3828" w:type="dxa"/>
            <w:shd w:val="clear" w:color="auto" w:fill="auto"/>
            <w:vAlign w:val="center"/>
            <w:hideMark/>
          </w:tcPr>
          <w:p w14:paraId="024420AF" w14:textId="77777777" w:rsidR="00615941" w:rsidRPr="0009028A" w:rsidRDefault="00615941" w:rsidP="00615941">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 xml:space="preserve">Marzo de 2018 </w:t>
            </w:r>
          </w:p>
        </w:tc>
        <w:tc>
          <w:tcPr>
            <w:tcW w:w="1559" w:type="dxa"/>
            <w:shd w:val="clear" w:color="auto" w:fill="auto"/>
            <w:noWrap/>
            <w:vAlign w:val="bottom"/>
            <w:hideMark/>
          </w:tcPr>
          <w:p w14:paraId="0AA68004" w14:textId="77777777" w:rsidR="00615941" w:rsidRPr="0009028A" w:rsidRDefault="00615941" w:rsidP="00615941">
            <w:pPr>
              <w:spacing w:after="0" w:line="240" w:lineRule="auto"/>
              <w:rPr>
                <w:rFonts w:ascii="Arial" w:eastAsia="Times New Roman" w:hAnsi="Arial" w:cs="Arial"/>
                <w:color w:val="000000"/>
                <w:lang w:eastAsia="es-CO"/>
              </w:rPr>
            </w:pPr>
            <w:r w:rsidRPr="0009028A">
              <w:rPr>
                <w:rFonts w:ascii="Arial" w:eastAsia="Times New Roman" w:hAnsi="Arial" w:cs="Arial"/>
                <w:color w:val="000000"/>
                <w:lang w:eastAsia="es-CO"/>
              </w:rPr>
              <w:t> </w:t>
            </w:r>
          </w:p>
        </w:tc>
        <w:tc>
          <w:tcPr>
            <w:tcW w:w="1559" w:type="dxa"/>
            <w:shd w:val="clear" w:color="auto" w:fill="auto"/>
            <w:noWrap/>
            <w:vAlign w:val="bottom"/>
            <w:hideMark/>
          </w:tcPr>
          <w:p w14:paraId="3089D3E7" w14:textId="77777777" w:rsidR="00615941" w:rsidRPr="0009028A" w:rsidRDefault="00615941" w:rsidP="00615941">
            <w:pPr>
              <w:spacing w:after="0" w:line="240" w:lineRule="auto"/>
              <w:rPr>
                <w:rFonts w:ascii="Arial" w:eastAsia="Times New Roman" w:hAnsi="Arial" w:cs="Arial"/>
                <w:color w:val="000000"/>
                <w:lang w:eastAsia="es-CO"/>
              </w:rPr>
            </w:pPr>
            <w:r w:rsidRPr="0009028A">
              <w:rPr>
                <w:rFonts w:ascii="Arial" w:eastAsia="Times New Roman" w:hAnsi="Arial" w:cs="Arial"/>
                <w:color w:val="000000"/>
                <w:lang w:eastAsia="es-CO"/>
              </w:rPr>
              <w:t> </w:t>
            </w:r>
          </w:p>
        </w:tc>
        <w:tc>
          <w:tcPr>
            <w:tcW w:w="1418" w:type="dxa"/>
            <w:shd w:val="clear" w:color="auto" w:fill="auto"/>
            <w:noWrap/>
            <w:vAlign w:val="bottom"/>
            <w:hideMark/>
          </w:tcPr>
          <w:p w14:paraId="3293031A" w14:textId="77777777" w:rsidR="00615941" w:rsidRPr="0009028A" w:rsidRDefault="00615941" w:rsidP="00615941">
            <w:pPr>
              <w:spacing w:after="0" w:line="240" w:lineRule="auto"/>
              <w:rPr>
                <w:rFonts w:ascii="Arial" w:eastAsia="Times New Roman" w:hAnsi="Arial" w:cs="Arial"/>
                <w:color w:val="000000"/>
                <w:lang w:eastAsia="es-CO"/>
              </w:rPr>
            </w:pPr>
            <w:r w:rsidRPr="0009028A">
              <w:rPr>
                <w:rFonts w:ascii="Arial" w:eastAsia="Times New Roman" w:hAnsi="Arial" w:cs="Arial"/>
                <w:color w:val="000000"/>
                <w:lang w:eastAsia="es-CO"/>
              </w:rPr>
              <w:t> </w:t>
            </w:r>
          </w:p>
        </w:tc>
        <w:tc>
          <w:tcPr>
            <w:tcW w:w="1556" w:type="dxa"/>
            <w:shd w:val="clear" w:color="auto" w:fill="auto"/>
            <w:noWrap/>
            <w:vAlign w:val="bottom"/>
            <w:hideMark/>
          </w:tcPr>
          <w:p w14:paraId="4CEABDE5" w14:textId="77777777" w:rsidR="00615941" w:rsidRPr="0009028A" w:rsidRDefault="00615941" w:rsidP="00615941">
            <w:pPr>
              <w:spacing w:after="0" w:line="240" w:lineRule="auto"/>
              <w:rPr>
                <w:rFonts w:ascii="Arial" w:eastAsia="Times New Roman" w:hAnsi="Arial" w:cs="Arial"/>
                <w:color w:val="000000"/>
                <w:lang w:eastAsia="es-CO"/>
              </w:rPr>
            </w:pPr>
            <w:r w:rsidRPr="0009028A">
              <w:rPr>
                <w:rFonts w:ascii="Arial" w:eastAsia="Times New Roman" w:hAnsi="Arial" w:cs="Arial"/>
                <w:color w:val="000000"/>
                <w:lang w:eastAsia="es-CO"/>
              </w:rPr>
              <w:t> </w:t>
            </w:r>
          </w:p>
        </w:tc>
      </w:tr>
      <w:tr w:rsidR="00615941" w:rsidRPr="0009028A" w14:paraId="6A9BEB3F" w14:textId="77777777" w:rsidTr="0067119C">
        <w:trPr>
          <w:trHeight w:val="68"/>
        </w:trPr>
        <w:tc>
          <w:tcPr>
            <w:tcW w:w="3828" w:type="dxa"/>
            <w:shd w:val="clear" w:color="auto" w:fill="auto"/>
            <w:vAlign w:val="center"/>
            <w:hideMark/>
          </w:tcPr>
          <w:p w14:paraId="315A0DD1" w14:textId="77777777" w:rsidR="00615941" w:rsidRPr="0009028A" w:rsidRDefault="00615941"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 Ingres</w:t>
            </w:r>
            <w:r w:rsidR="007E6E24" w:rsidRPr="0009028A">
              <w:rPr>
                <w:rFonts w:ascii="Arial" w:eastAsia="Times New Roman" w:hAnsi="Arial" w:cs="Arial"/>
                <w:color w:val="000000"/>
                <w:sz w:val="18"/>
                <w:szCs w:val="18"/>
                <w:lang w:eastAsia="es-CO"/>
              </w:rPr>
              <w:t>o de actividades ordinarias</w:t>
            </w:r>
          </w:p>
        </w:tc>
        <w:tc>
          <w:tcPr>
            <w:tcW w:w="1559" w:type="dxa"/>
            <w:shd w:val="clear" w:color="auto" w:fill="auto"/>
            <w:vAlign w:val="center"/>
            <w:hideMark/>
          </w:tcPr>
          <w:p w14:paraId="66D0E8F5" w14:textId="77777777" w:rsidR="00615941" w:rsidRPr="0009028A" w:rsidRDefault="0067119C"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 </w:t>
            </w:r>
            <w:r w:rsidR="00615941" w:rsidRPr="0009028A">
              <w:rPr>
                <w:rFonts w:ascii="Arial" w:eastAsia="Times New Roman" w:hAnsi="Arial" w:cs="Arial"/>
                <w:color w:val="000000"/>
                <w:sz w:val="18"/>
                <w:szCs w:val="18"/>
                <w:lang w:eastAsia="es-CO"/>
              </w:rPr>
              <w:t>141.923.836</w:t>
            </w:r>
          </w:p>
        </w:tc>
        <w:tc>
          <w:tcPr>
            <w:tcW w:w="1559" w:type="dxa"/>
            <w:shd w:val="clear" w:color="auto" w:fill="auto"/>
            <w:vAlign w:val="center"/>
            <w:hideMark/>
          </w:tcPr>
          <w:p w14:paraId="7785FDA1"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223.653.695</w:t>
            </w:r>
          </w:p>
        </w:tc>
        <w:tc>
          <w:tcPr>
            <w:tcW w:w="1418" w:type="dxa"/>
            <w:shd w:val="clear" w:color="auto" w:fill="auto"/>
            <w:vAlign w:val="center"/>
            <w:hideMark/>
          </w:tcPr>
          <w:p w14:paraId="6A6008A4"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109.080.226</w:t>
            </w:r>
          </w:p>
        </w:tc>
        <w:tc>
          <w:tcPr>
            <w:tcW w:w="1556" w:type="dxa"/>
            <w:shd w:val="clear" w:color="auto" w:fill="auto"/>
            <w:vAlign w:val="center"/>
            <w:hideMark/>
          </w:tcPr>
          <w:p w14:paraId="01385EDD"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58.656.485</w:t>
            </w:r>
          </w:p>
        </w:tc>
      </w:tr>
      <w:tr w:rsidR="00615941" w:rsidRPr="0009028A" w14:paraId="199517E6" w14:textId="77777777" w:rsidTr="0067119C">
        <w:trPr>
          <w:trHeight w:val="68"/>
        </w:trPr>
        <w:tc>
          <w:tcPr>
            <w:tcW w:w="3828" w:type="dxa"/>
            <w:shd w:val="clear" w:color="auto" w:fill="auto"/>
            <w:vAlign w:val="center"/>
            <w:hideMark/>
          </w:tcPr>
          <w:p w14:paraId="7A9CBB1B" w14:textId="77777777" w:rsidR="00615941" w:rsidRPr="0009028A" w:rsidRDefault="00615941"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 Utilidad neta de operaciones continuadas </w:t>
            </w:r>
          </w:p>
        </w:tc>
        <w:tc>
          <w:tcPr>
            <w:tcW w:w="1559" w:type="dxa"/>
            <w:shd w:val="clear" w:color="auto" w:fill="auto"/>
            <w:vAlign w:val="center"/>
            <w:hideMark/>
          </w:tcPr>
          <w:p w14:paraId="69C303B3"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9.364.675</w:t>
            </w:r>
          </w:p>
        </w:tc>
        <w:tc>
          <w:tcPr>
            <w:tcW w:w="1559" w:type="dxa"/>
            <w:shd w:val="clear" w:color="auto" w:fill="auto"/>
            <w:vAlign w:val="center"/>
            <w:hideMark/>
          </w:tcPr>
          <w:p w14:paraId="7971E4D5"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4.874.949</w:t>
            </w:r>
          </w:p>
        </w:tc>
        <w:tc>
          <w:tcPr>
            <w:tcW w:w="1418" w:type="dxa"/>
            <w:shd w:val="clear" w:color="auto" w:fill="auto"/>
            <w:vAlign w:val="center"/>
            <w:hideMark/>
          </w:tcPr>
          <w:p w14:paraId="2164B46B"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12.440.316</w:t>
            </w:r>
          </w:p>
        </w:tc>
        <w:tc>
          <w:tcPr>
            <w:tcW w:w="1556" w:type="dxa"/>
            <w:shd w:val="clear" w:color="auto" w:fill="auto"/>
            <w:vAlign w:val="center"/>
            <w:hideMark/>
          </w:tcPr>
          <w:p w14:paraId="2F6A3C39"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2.189.711</w:t>
            </w:r>
          </w:p>
        </w:tc>
      </w:tr>
      <w:tr w:rsidR="00615941" w:rsidRPr="0009028A" w14:paraId="7DE7932C" w14:textId="77777777" w:rsidTr="0067119C">
        <w:trPr>
          <w:trHeight w:val="68"/>
        </w:trPr>
        <w:tc>
          <w:tcPr>
            <w:tcW w:w="3828" w:type="dxa"/>
            <w:shd w:val="clear" w:color="auto" w:fill="auto"/>
            <w:vAlign w:val="center"/>
            <w:hideMark/>
          </w:tcPr>
          <w:p w14:paraId="07C28715" w14:textId="77777777" w:rsidR="00615941" w:rsidRPr="0009028A" w:rsidRDefault="00615941"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 Utilidad neta después operaciones discontinuadas </w:t>
            </w:r>
          </w:p>
        </w:tc>
        <w:tc>
          <w:tcPr>
            <w:tcW w:w="1559" w:type="dxa"/>
            <w:shd w:val="clear" w:color="auto" w:fill="auto"/>
            <w:vAlign w:val="center"/>
            <w:hideMark/>
          </w:tcPr>
          <w:p w14:paraId="4CC4F0C4" w14:textId="77777777" w:rsidR="00615941" w:rsidRPr="0009028A" w:rsidRDefault="0067119C" w:rsidP="00615941">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 xml:space="preserve">   </w:t>
            </w:r>
            <w:r w:rsidR="00615941" w:rsidRPr="0009028A">
              <w:rPr>
                <w:rFonts w:ascii="Arial" w:eastAsia="Times New Roman" w:hAnsi="Arial" w:cs="Arial"/>
                <w:color w:val="000000"/>
                <w:sz w:val="18"/>
                <w:szCs w:val="18"/>
                <w:u w:val="single"/>
                <w:lang w:eastAsia="es-CO"/>
              </w:rPr>
              <w:t>9.364.675</w:t>
            </w:r>
          </w:p>
        </w:tc>
        <w:tc>
          <w:tcPr>
            <w:tcW w:w="1559" w:type="dxa"/>
            <w:shd w:val="clear" w:color="auto" w:fill="auto"/>
            <w:vAlign w:val="center"/>
            <w:hideMark/>
          </w:tcPr>
          <w:p w14:paraId="3A557BA0" w14:textId="691E186C" w:rsidR="00615941" w:rsidRPr="0009028A" w:rsidRDefault="00615941" w:rsidP="00615941">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4.874.949</w:t>
            </w:r>
          </w:p>
        </w:tc>
        <w:tc>
          <w:tcPr>
            <w:tcW w:w="1418" w:type="dxa"/>
            <w:shd w:val="clear" w:color="auto" w:fill="auto"/>
            <w:vAlign w:val="center"/>
            <w:hideMark/>
          </w:tcPr>
          <w:p w14:paraId="7C747C97" w14:textId="54A4684B" w:rsidR="00615941" w:rsidRPr="0009028A" w:rsidRDefault="00615941" w:rsidP="00615941">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12.440.316</w:t>
            </w:r>
          </w:p>
        </w:tc>
        <w:tc>
          <w:tcPr>
            <w:tcW w:w="1556" w:type="dxa"/>
            <w:shd w:val="clear" w:color="auto" w:fill="auto"/>
            <w:vAlign w:val="center"/>
            <w:hideMark/>
          </w:tcPr>
          <w:p w14:paraId="1BDCBA66" w14:textId="72506E7D" w:rsidR="00615941" w:rsidRPr="0009028A" w:rsidRDefault="00615941" w:rsidP="00615941">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2.189.711</w:t>
            </w:r>
          </w:p>
        </w:tc>
      </w:tr>
      <w:tr w:rsidR="00615941" w:rsidRPr="0009028A" w14:paraId="56ECFD1A" w14:textId="77777777" w:rsidTr="0067119C">
        <w:trPr>
          <w:trHeight w:val="68"/>
        </w:trPr>
        <w:tc>
          <w:tcPr>
            <w:tcW w:w="3828" w:type="dxa"/>
            <w:shd w:val="clear" w:color="auto" w:fill="auto"/>
            <w:vAlign w:val="center"/>
            <w:hideMark/>
          </w:tcPr>
          <w:p w14:paraId="38060110" w14:textId="77777777" w:rsidR="00615941" w:rsidRPr="0009028A" w:rsidRDefault="00615941" w:rsidP="00615941">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 xml:space="preserve"> Resultado integral total </w:t>
            </w:r>
          </w:p>
        </w:tc>
        <w:tc>
          <w:tcPr>
            <w:tcW w:w="1559" w:type="dxa"/>
            <w:shd w:val="clear" w:color="auto" w:fill="auto"/>
            <w:vAlign w:val="center"/>
            <w:hideMark/>
          </w:tcPr>
          <w:p w14:paraId="596382E0" w14:textId="77777777" w:rsidR="00615941" w:rsidRPr="0009028A" w:rsidRDefault="0067119C" w:rsidP="00615941">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lang w:eastAsia="es-CO"/>
              </w:rPr>
              <w:t xml:space="preserve">$  </w:t>
            </w:r>
            <w:r w:rsidRPr="0009028A">
              <w:rPr>
                <w:rFonts w:ascii="Arial" w:eastAsia="Times New Roman" w:hAnsi="Arial" w:cs="Arial"/>
                <w:b/>
                <w:bCs/>
                <w:color w:val="103475"/>
                <w:sz w:val="18"/>
                <w:szCs w:val="18"/>
                <w:u w:val="double"/>
                <w:lang w:eastAsia="es-CO"/>
              </w:rPr>
              <w:t xml:space="preserve">   </w:t>
            </w:r>
            <w:r w:rsidR="00615941" w:rsidRPr="0009028A">
              <w:rPr>
                <w:rFonts w:ascii="Arial" w:eastAsia="Times New Roman" w:hAnsi="Arial" w:cs="Arial"/>
                <w:b/>
                <w:bCs/>
                <w:color w:val="103475"/>
                <w:sz w:val="18"/>
                <w:szCs w:val="18"/>
                <w:u w:val="double"/>
                <w:lang w:eastAsia="es-CO"/>
              </w:rPr>
              <w:t>9.364.675</w:t>
            </w:r>
          </w:p>
        </w:tc>
        <w:tc>
          <w:tcPr>
            <w:tcW w:w="1559" w:type="dxa"/>
            <w:shd w:val="clear" w:color="auto" w:fill="auto"/>
            <w:vAlign w:val="center"/>
            <w:hideMark/>
          </w:tcPr>
          <w:p w14:paraId="59A0B0D4" w14:textId="6C00EC69" w:rsidR="00615941" w:rsidRPr="0009028A" w:rsidRDefault="00615941" w:rsidP="00615941">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4.874.949</w:t>
            </w:r>
          </w:p>
        </w:tc>
        <w:tc>
          <w:tcPr>
            <w:tcW w:w="1418" w:type="dxa"/>
            <w:shd w:val="clear" w:color="auto" w:fill="auto"/>
            <w:vAlign w:val="center"/>
            <w:hideMark/>
          </w:tcPr>
          <w:p w14:paraId="04AC8C9C" w14:textId="7A1A6A2A" w:rsidR="00615941" w:rsidRPr="0009028A" w:rsidRDefault="00615941" w:rsidP="00615941">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12.440.316</w:t>
            </w:r>
          </w:p>
        </w:tc>
        <w:tc>
          <w:tcPr>
            <w:tcW w:w="1556" w:type="dxa"/>
            <w:shd w:val="clear" w:color="auto" w:fill="auto"/>
            <w:vAlign w:val="center"/>
            <w:hideMark/>
          </w:tcPr>
          <w:p w14:paraId="6A9AFD1C" w14:textId="16218BAA" w:rsidR="00615941" w:rsidRPr="0009028A" w:rsidRDefault="00615941" w:rsidP="00615941">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2.189.711</w:t>
            </w:r>
          </w:p>
        </w:tc>
      </w:tr>
    </w:tbl>
    <w:p w14:paraId="5CB6B7CB" w14:textId="77777777" w:rsidR="00615941" w:rsidRPr="0009028A" w:rsidRDefault="00615941" w:rsidP="00012F31">
      <w:pPr>
        <w:spacing w:after="0"/>
        <w:jc w:val="both"/>
        <w:rPr>
          <w:rFonts w:ascii="Arial" w:hAnsi="Arial" w:cs="Arial"/>
          <w:color w:val="000000"/>
          <w:sz w:val="20"/>
          <w:szCs w:val="20"/>
          <w:lang w:val="es-ES"/>
        </w:rPr>
      </w:pPr>
    </w:p>
    <w:p w14:paraId="68B5CF6B" w14:textId="77777777" w:rsidR="0048069F" w:rsidRPr="0009028A" w:rsidRDefault="0048069F" w:rsidP="00D66D8F">
      <w:pPr>
        <w:spacing w:after="0"/>
        <w:ind w:left="284" w:hanging="284"/>
        <w:rPr>
          <w:rFonts w:ascii="Arial" w:hAnsi="Arial" w:cs="Arial"/>
          <w:color w:val="000000"/>
          <w:sz w:val="20"/>
          <w:szCs w:val="20"/>
          <w:highlight w:val="yellow"/>
          <w:lang w:val="es-ES"/>
        </w:rPr>
      </w:pPr>
    </w:p>
    <w:p w14:paraId="21E3328F" w14:textId="77777777" w:rsidR="00821422" w:rsidRPr="0009028A" w:rsidRDefault="00821422" w:rsidP="00821422">
      <w:pPr>
        <w:spacing w:after="0"/>
        <w:jc w:val="both"/>
        <w:rPr>
          <w:rFonts w:ascii="Arial" w:hAnsi="Arial" w:cs="Arial"/>
          <w:color w:val="000000"/>
          <w:sz w:val="20"/>
          <w:szCs w:val="20"/>
          <w:lang w:val="es-ES"/>
        </w:rPr>
      </w:pPr>
      <w:r w:rsidRPr="0009028A">
        <w:rPr>
          <w:rFonts w:ascii="Arial" w:hAnsi="Arial" w:cs="Arial"/>
          <w:color w:val="000000"/>
          <w:sz w:val="20"/>
          <w:szCs w:val="20"/>
          <w:lang w:val="es-ES"/>
        </w:rPr>
        <w:t>A continuación, se detalla información financiera resumida adicional para las asociadas y negocios conjuntos significativos:</w:t>
      </w:r>
    </w:p>
    <w:p w14:paraId="24176700" w14:textId="77777777" w:rsidR="00821422" w:rsidRPr="0009028A" w:rsidRDefault="00821422" w:rsidP="00821422">
      <w:pPr>
        <w:spacing w:after="0"/>
        <w:jc w:val="both"/>
        <w:rPr>
          <w:rFonts w:ascii="Arial" w:hAnsi="Arial" w:cs="Arial"/>
          <w:color w:val="000000"/>
          <w:sz w:val="20"/>
          <w:szCs w:val="20"/>
          <w:lang w:val="es-ES"/>
        </w:rPr>
      </w:pPr>
    </w:p>
    <w:tbl>
      <w:tblPr>
        <w:tblW w:w="10064" w:type="dxa"/>
        <w:tblCellMar>
          <w:left w:w="70" w:type="dxa"/>
          <w:right w:w="70" w:type="dxa"/>
        </w:tblCellMar>
        <w:tblLook w:val="04A0" w:firstRow="1" w:lastRow="0" w:firstColumn="1" w:lastColumn="0" w:noHBand="0" w:noVBand="1"/>
      </w:tblPr>
      <w:tblGrid>
        <w:gridCol w:w="3828"/>
        <w:gridCol w:w="1587"/>
        <w:gridCol w:w="1587"/>
        <w:gridCol w:w="1531"/>
        <w:gridCol w:w="1531"/>
      </w:tblGrid>
      <w:tr w:rsidR="00615941" w:rsidRPr="0009028A" w14:paraId="18D72EBC" w14:textId="77777777" w:rsidTr="00C46D94">
        <w:trPr>
          <w:trHeight w:val="227"/>
        </w:trPr>
        <w:tc>
          <w:tcPr>
            <w:tcW w:w="3828" w:type="dxa"/>
            <w:shd w:val="clear" w:color="auto" w:fill="auto"/>
            <w:vAlign w:val="center"/>
            <w:hideMark/>
          </w:tcPr>
          <w:p w14:paraId="30D736AE" w14:textId="77777777" w:rsidR="00615941" w:rsidRPr="0009028A" w:rsidRDefault="00615941" w:rsidP="00615941">
            <w:pPr>
              <w:spacing w:after="0" w:line="240" w:lineRule="auto"/>
              <w:rPr>
                <w:rFonts w:ascii="Arial" w:eastAsia="Times New Roman" w:hAnsi="Arial" w:cs="Arial"/>
                <w:b/>
                <w:bCs/>
                <w:color w:val="000000"/>
                <w:sz w:val="18"/>
                <w:szCs w:val="18"/>
                <w:lang w:eastAsia="es-CO"/>
              </w:rPr>
            </w:pPr>
            <w:r w:rsidRPr="0009028A">
              <w:rPr>
                <w:rFonts w:ascii="Arial" w:eastAsia="Times New Roman" w:hAnsi="Arial" w:cs="Arial"/>
                <w:b/>
                <w:bCs/>
                <w:color w:val="000000"/>
                <w:sz w:val="18"/>
                <w:szCs w:val="18"/>
                <w:lang w:eastAsia="es-CO"/>
              </w:rPr>
              <w:t> </w:t>
            </w:r>
          </w:p>
        </w:tc>
        <w:tc>
          <w:tcPr>
            <w:tcW w:w="1587" w:type="dxa"/>
            <w:shd w:val="clear" w:color="auto" w:fill="auto"/>
            <w:vAlign w:val="center"/>
            <w:hideMark/>
          </w:tcPr>
          <w:p w14:paraId="4B597638" w14:textId="77777777" w:rsidR="00615941" w:rsidRPr="0009028A" w:rsidRDefault="00615941" w:rsidP="00615941">
            <w:pPr>
              <w:spacing w:after="0" w:line="240" w:lineRule="auto"/>
              <w:jc w:val="center"/>
              <w:rPr>
                <w:rFonts w:ascii="Arial" w:eastAsia="Times New Roman" w:hAnsi="Arial" w:cs="Arial"/>
                <w:b/>
                <w:bCs/>
                <w:color w:val="000000"/>
                <w:sz w:val="18"/>
                <w:szCs w:val="20"/>
                <w:lang w:eastAsia="es-CO"/>
              </w:rPr>
            </w:pPr>
            <w:r w:rsidRPr="0009028A">
              <w:rPr>
                <w:rFonts w:ascii="Arial" w:eastAsia="Times New Roman" w:hAnsi="Arial" w:cs="Arial"/>
                <w:b/>
                <w:bCs/>
                <w:color w:val="000000"/>
                <w:sz w:val="18"/>
                <w:szCs w:val="20"/>
                <w:lang w:eastAsia="es-CO"/>
              </w:rPr>
              <w:t>Concesión La Pintada S.A.S.</w:t>
            </w:r>
          </w:p>
        </w:tc>
        <w:tc>
          <w:tcPr>
            <w:tcW w:w="1587" w:type="dxa"/>
            <w:shd w:val="clear" w:color="auto" w:fill="auto"/>
            <w:vAlign w:val="center"/>
            <w:hideMark/>
          </w:tcPr>
          <w:p w14:paraId="42192759" w14:textId="77777777" w:rsidR="00615941" w:rsidRPr="0009028A" w:rsidRDefault="00615941" w:rsidP="00615941">
            <w:pPr>
              <w:spacing w:after="0" w:line="240" w:lineRule="auto"/>
              <w:jc w:val="center"/>
              <w:rPr>
                <w:rFonts w:ascii="Arial" w:eastAsia="Times New Roman" w:hAnsi="Arial" w:cs="Arial"/>
                <w:b/>
                <w:bCs/>
                <w:color w:val="000000"/>
                <w:sz w:val="18"/>
                <w:szCs w:val="20"/>
                <w:lang w:eastAsia="es-CO"/>
              </w:rPr>
            </w:pPr>
            <w:r w:rsidRPr="0009028A">
              <w:rPr>
                <w:rFonts w:ascii="Arial" w:eastAsia="Times New Roman" w:hAnsi="Arial" w:cs="Arial"/>
                <w:b/>
                <w:bCs/>
                <w:color w:val="000000"/>
                <w:sz w:val="18"/>
                <w:szCs w:val="20"/>
                <w:lang w:eastAsia="es-CO"/>
              </w:rPr>
              <w:t>Sociedad Concesionaria Operadora Aeroportuaria S.A.</w:t>
            </w:r>
          </w:p>
        </w:tc>
        <w:tc>
          <w:tcPr>
            <w:tcW w:w="1531" w:type="dxa"/>
            <w:shd w:val="clear" w:color="auto" w:fill="auto"/>
            <w:vAlign w:val="center"/>
            <w:hideMark/>
          </w:tcPr>
          <w:p w14:paraId="5A07557A" w14:textId="77777777" w:rsidR="00615941" w:rsidRPr="0009028A" w:rsidRDefault="00615941" w:rsidP="00615941">
            <w:pPr>
              <w:spacing w:after="0" w:line="240" w:lineRule="auto"/>
              <w:jc w:val="center"/>
              <w:rPr>
                <w:rFonts w:ascii="Arial" w:eastAsia="Times New Roman" w:hAnsi="Arial" w:cs="Arial"/>
                <w:b/>
                <w:bCs/>
                <w:color w:val="000000"/>
                <w:sz w:val="18"/>
                <w:szCs w:val="20"/>
                <w:lang w:eastAsia="es-CO"/>
              </w:rPr>
            </w:pPr>
            <w:r w:rsidRPr="0009028A">
              <w:rPr>
                <w:rFonts w:ascii="Arial" w:eastAsia="Times New Roman" w:hAnsi="Arial" w:cs="Arial"/>
                <w:b/>
                <w:bCs/>
                <w:color w:val="000000"/>
                <w:sz w:val="18"/>
                <w:szCs w:val="20"/>
                <w:lang w:eastAsia="es-CO"/>
              </w:rPr>
              <w:t>Consorcio Farallones</w:t>
            </w:r>
          </w:p>
        </w:tc>
        <w:tc>
          <w:tcPr>
            <w:tcW w:w="1531" w:type="dxa"/>
            <w:shd w:val="clear" w:color="auto" w:fill="auto"/>
            <w:vAlign w:val="center"/>
            <w:hideMark/>
          </w:tcPr>
          <w:p w14:paraId="6667027C" w14:textId="77777777" w:rsidR="00615941" w:rsidRPr="0009028A" w:rsidRDefault="00615941" w:rsidP="00615941">
            <w:pPr>
              <w:spacing w:after="0" w:line="240" w:lineRule="auto"/>
              <w:jc w:val="center"/>
              <w:rPr>
                <w:rFonts w:ascii="Arial" w:eastAsia="Times New Roman" w:hAnsi="Arial" w:cs="Arial"/>
                <w:b/>
                <w:bCs/>
                <w:color w:val="000000"/>
                <w:sz w:val="18"/>
                <w:szCs w:val="20"/>
                <w:lang w:eastAsia="es-CO"/>
              </w:rPr>
            </w:pPr>
            <w:r w:rsidRPr="0009028A">
              <w:rPr>
                <w:rFonts w:ascii="Arial" w:eastAsia="Times New Roman" w:hAnsi="Arial" w:cs="Arial"/>
                <w:b/>
                <w:bCs/>
                <w:color w:val="000000"/>
                <w:sz w:val="18"/>
                <w:szCs w:val="20"/>
                <w:lang w:eastAsia="es-CO"/>
              </w:rPr>
              <w:t>Otras Asociadas y Negocios Conjuntos</w:t>
            </w:r>
          </w:p>
        </w:tc>
      </w:tr>
      <w:tr w:rsidR="00615941" w:rsidRPr="0009028A" w14:paraId="0C500277" w14:textId="77777777" w:rsidTr="00C46D94">
        <w:trPr>
          <w:trHeight w:val="227"/>
        </w:trPr>
        <w:tc>
          <w:tcPr>
            <w:tcW w:w="3828" w:type="dxa"/>
            <w:shd w:val="clear" w:color="auto" w:fill="auto"/>
            <w:vAlign w:val="center"/>
            <w:hideMark/>
          </w:tcPr>
          <w:p w14:paraId="1228940D" w14:textId="77777777" w:rsidR="00615941" w:rsidRPr="0009028A" w:rsidRDefault="00615941" w:rsidP="00615941">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Marzo de 2019</w:t>
            </w:r>
          </w:p>
        </w:tc>
        <w:tc>
          <w:tcPr>
            <w:tcW w:w="1587" w:type="dxa"/>
            <w:shd w:val="clear" w:color="auto" w:fill="auto"/>
            <w:vAlign w:val="center"/>
            <w:hideMark/>
          </w:tcPr>
          <w:p w14:paraId="39C48194" w14:textId="77777777" w:rsidR="00615941" w:rsidRPr="0009028A" w:rsidRDefault="00615941" w:rsidP="00615941">
            <w:pPr>
              <w:spacing w:after="0" w:line="240" w:lineRule="auto"/>
              <w:jc w:val="right"/>
              <w:rPr>
                <w:rFonts w:ascii="Arial" w:eastAsia="Times New Roman" w:hAnsi="Arial" w:cs="Arial"/>
                <w:b/>
                <w:bCs/>
                <w:color w:val="103475"/>
                <w:sz w:val="18"/>
                <w:szCs w:val="18"/>
                <w:lang w:eastAsia="es-CO"/>
              </w:rPr>
            </w:pPr>
          </w:p>
        </w:tc>
        <w:tc>
          <w:tcPr>
            <w:tcW w:w="1587" w:type="dxa"/>
            <w:shd w:val="clear" w:color="auto" w:fill="auto"/>
            <w:vAlign w:val="center"/>
            <w:hideMark/>
          </w:tcPr>
          <w:p w14:paraId="42ABCFDA" w14:textId="77777777" w:rsidR="00615941" w:rsidRPr="0009028A" w:rsidRDefault="00615941" w:rsidP="00615941">
            <w:pPr>
              <w:spacing w:after="0" w:line="240" w:lineRule="auto"/>
              <w:jc w:val="right"/>
              <w:rPr>
                <w:rFonts w:ascii="Arial" w:eastAsia="Times New Roman" w:hAnsi="Arial" w:cs="Arial"/>
                <w:b/>
                <w:bCs/>
                <w:color w:val="103475"/>
                <w:sz w:val="18"/>
                <w:szCs w:val="18"/>
                <w:lang w:eastAsia="es-CO"/>
              </w:rPr>
            </w:pPr>
          </w:p>
        </w:tc>
        <w:tc>
          <w:tcPr>
            <w:tcW w:w="1531" w:type="dxa"/>
            <w:shd w:val="clear" w:color="auto" w:fill="auto"/>
            <w:vAlign w:val="center"/>
            <w:hideMark/>
          </w:tcPr>
          <w:p w14:paraId="5451A3CE" w14:textId="77777777" w:rsidR="00615941" w:rsidRPr="0009028A" w:rsidRDefault="00615941" w:rsidP="00615941">
            <w:pPr>
              <w:spacing w:after="0" w:line="240" w:lineRule="auto"/>
              <w:jc w:val="right"/>
              <w:rPr>
                <w:rFonts w:ascii="Arial" w:eastAsia="Times New Roman" w:hAnsi="Arial" w:cs="Arial"/>
                <w:b/>
                <w:bCs/>
                <w:color w:val="103475"/>
                <w:sz w:val="18"/>
                <w:szCs w:val="18"/>
                <w:lang w:eastAsia="es-CO"/>
              </w:rPr>
            </w:pPr>
          </w:p>
        </w:tc>
        <w:tc>
          <w:tcPr>
            <w:tcW w:w="1531" w:type="dxa"/>
            <w:shd w:val="clear" w:color="auto" w:fill="auto"/>
            <w:vAlign w:val="center"/>
            <w:hideMark/>
          </w:tcPr>
          <w:p w14:paraId="5B05E5DC" w14:textId="77777777" w:rsidR="00615941" w:rsidRPr="0009028A" w:rsidRDefault="00615941" w:rsidP="00615941">
            <w:pPr>
              <w:spacing w:after="0" w:line="240" w:lineRule="auto"/>
              <w:jc w:val="right"/>
              <w:rPr>
                <w:rFonts w:ascii="Arial" w:eastAsia="Times New Roman" w:hAnsi="Arial" w:cs="Arial"/>
                <w:b/>
                <w:bCs/>
                <w:color w:val="103475"/>
                <w:sz w:val="18"/>
                <w:szCs w:val="18"/>
                <w:lang w:eastAsia="es-CO"/>
              </w:rPr>
            </w:pPr>
          </w:p>
        </w:tc>
      </w:tr>
      <w:tr w:rsidR="00615941" w:rsidRPr="0009028A" w14:paraId="4C2A0CE0" w14:textId="77777777" w:rsidTr="00C46D94">
        <w:trPr>
          <w:trHeight w:val="227"/>
        </w:trPr>
        <w:tc>
          <w:tcPr>
            <w:tcW w:w="3828" w:type="dxa"/>
            <w:shd w:val="clear" w:color="auto" w:fill="auto"/>
            <w:vAlign w:val="center"/>
            <w:hideMark/>
          </w:tcPr>
          <w:p w14:paraId="747B4507" w14:textId="77777777" w:rsidR="00615941" w:rsidRPr="0009028A" w:rsidRDefault="00615941"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Efectivo y equivalentes al efectivo</w:t>
            </w:r>
          </w:p>
        </w:tc>
        <w:tc>
          <w:tcPr>
            <w:tcW w:w="1587" w:type="dxa"/>
            <w:shd w:val="clear" w:color="auto" w:fill="auto"/>
            <w:vAlign w:val="center"/>
            <w:hideMark/>
          </w:tcPr>
          <w:p w14:paraId="3814076B" w14:textId="77777777" w:rsidR="00615941" w:rsidRPr="0009028A" w:rsidRDefault="0067119C"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     </w:t>
            </w:r>
            <w:r w:rsidR="00615941" w:rsidRPr="0009028A">
              <w:rPr>
                <w:rFonts w:ascii="Arial" w:eastAsia="Times New Roman" w:hAnsi="Arial" w:cs="Arial"/>
                <w:color w:val="000000"/>
                <w:sz w:val="18"/>
                <w:szCs w:val="18"/>
                <w:lang w:eastAsia="es-CO"/>
              </w:rPr>
              <w:t>148.792.371</w:t>
            </w:r>
          </w:p>
        </w:tc>
        <w:tc>
          <w:tcPr>
            <w:tcW w:w="1587" w:type="dxa"/>
            <w:shd w:val="clear" w:color="auto" w:fill="auto"/>
            <w:vAlign w:val="center"/>
            <w:hideMark/>
          </w:tcPr>
          <w:p w14:paraId="736D60AB"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516.247.169</w:t>
            </w:r>
          </w:p>
        </w:tc>
        <w:tc>
          <w:tcPr>
            <w:tcW w:w="1531" w:type="dxa"/>
            <w:shd w:val="clear" w:color="auto" w:fill="auto"/>
            <w:vAlign w:val="center"/>
            <w:hideMark/>
          </w:tcPr>
          <w:p w14:paraId="4622874B"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4.517.679</w:t>
            </w:r>
          </w:p>
        </w:tc>
        <w:tc>
          <w:tcPr>
            <w:tcW w:w="1531" w:type="dxa"/>
            <w:shd w:val="clear" w:color="auto" w:fill="auto"/>
            <w:vAlign w:val="center"/>
            <w:hideMark/>
          </w:tcPr>
          <w:p w14:paraId="35AD15CC"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19.850.742</w:t>
            </w:r>
          </w:p>
        </w:tc>
      </w:tr>
      <w:tr w:rsidR="00615941" w:rsidRPr="0009028A" w14:paraId="299DFBD3" w14:textId="77777777" w:rsidTr="00C46D94">
        <w:trPr>
          <w:trHeight w:val="227"/>
        </w:trPr>
        <w:tc>
          <w:tcPr>
            <w:tcW w:w="3828" w:type="dxa"/>
            <w:shd w:val="clear" w:color="auto" w:fill="auto"/>
            <w:vAlign w:val="center"/>
            <w:hideMark/>
          </w:tcPr>
          <w:p w14:paraId="043CB815" w14:textId="77777777" w:rsidR="00615941" w:rsidRPr="0009028A" w:rsidRDefault="00615941"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Pa</w:t>
            </w:r>
            <w:r w:rsidR="006B2613" w:rsidRPr="0009028A">
              <w:rPr>
                <w:rFonts w:ascii="Arial" w:eastAsia="Times New Roman" w:hAnsi="Arial" w:cs="Arial"/>
                <w:color w:val="000000"/>
                <w:sz w:val="18"/>
                <w:szCs w:val="18"/>
                <w:lang w:eastAsia="es-CO"/>
              </w:rPr>
              <w:t>sivos financieros corrientes</w:t>
            </w:r>
          </w:p>
        </w:tc>
        <w:tc>
          <w:tcPr>
            <w:tcW w:w="1587" w:type="dxa"/>
            <w:shd w:val="clear" w:color="auto" w:fill="auto"/>
            <w:vAlign w:val="center"/>
            <w:hideMark/>
          </w:tcPr>
          <w:p w14:paraId="286EB4C7"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22.493.823</w:t>
            </w:r>
          </w:p>
        </w:tc>
        <w:tc>
          <w:tcPr>
            <w:tcW w:w="1587" w:type="dxa"/>
            <w:shd w:val="clear" w:color="auto" w:fill="auto"/>
            <w:vAlign w:val="center"/>
            <w:hideMark/>
          </w:tcPr>
          <w:p w14:paraId="3A1A0425"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155.810.426</w:t>
            </w:r>
          </w:p>
        </w:tc>
        <w:tc>
          <w:tcPr>
            <w:tcW w:w="1531" w:type="dxa"/>
            <w:shd w:val="clear" w:color="auto" w:fill="auto"/>
            <w:vAlign w:val="center"/>
            <w:hideMark/>
          </w:tcPr>
          <w:p w14:paraId="131DCEB8"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23.136.867</w:t>
            </w:r>
          </w:p>
        </w:tc>
        <w:tc>
          <w:tcPr>
            <w:tcW w:w="1531" w:type="dxa"/>
            <w:shd w:val="clear" w:color="auto" w:fill="auto"/>
            <w:vAlign w:val="center"/>
            <w:hideMark/>
          </w:tcPr>
          <w:p w14:paraId="7990230F"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1.244.696</w:t>
            </w:r>
          </w:p>
        </w:tc>
      </w:tr>
      <w:tr w:rsidR="00615941" w:rsidRPr="0009028A" w14:paraId="7A029935" w14:textId="77777777" w:rsidTr="00C46D94">
        <w:trPr>
          <w:trHeight w:val="227"/>
        </w:trPr>
        <w:tc>
          <w:tcPr>
            <w:tcW w:w="3828" w:type="dxa"/>
            <w:shd w:val="clear" w:color="auto" w:fill="auto"/>
            <w:vAlign w:val="center"/>
            <w:hideMark/>
          </w:tcPr>
          <w:p w14:paraId="2CD28D6B" w14:textId="77777777" w:rsidR="00615941" w:rsidRPr="0009028A" w:rsidRDefault="00615941"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Pasivos financieros no corrientes </w:t>
            </w:r>
          </w:p>
        </w:tc>
        <w:tc>
          <w:tcPr>
            <w:tcW w:w="1587" w:type="dxa"/>
            <w:shd w:val="clear" w:color="auto" w:fill="auto"/>
            <w:vAlign w:val="center"/>
            <w:hideMark/>
          </w:tcPr>
          <w:p w14:paraId="24880B74"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745.045.651</w:t>
            </w:r>
          </w:p>
        </w:tc>
        <w:tc>
          <w:tcPr>
            <w:tcW w:w="1587" w:type="dxa"/>
            <w:shd w:val="clear" w:color="auto" w:fill="auto"/>
            <w:vAlign w:val="center"/>
            <w:hideMark/>
          </w:tcPr>
          <w:p w14:paraId="122C22DB"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1.231.901.409</w:t>
            </w:r>
          </w:p>
        </w:tc>
        <w:tc>
          <w:tcPr>
            <w:tcW w:w="1531" w:type="dxa"/>
            <w:shd w:val="clear" w:color="auto" w:fill="auto"/>
            <w:vAlign w:val="center"/>
            <w:hideMark/>
          </w:tcPr>
          <w:p w14:paraId="4241EA80"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28.825.340</w:t>
            </w:r>
          </w:p>
        </w:tc>
        <w:tc>
          <w:tcPr>
            <w:tcW w:w="1531" w:type="dxa"/>
            <w:shd w:val="clear" w:color="auto" w:fill="auto"/>
            <w:vAlign w:val="center"/>
            <w:hideMark/>
          </w:tcPr>
          <w:p w14:paraId="75CDFA27"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15.951.698</w:t>
            </w:r>
          </w:p>
        </w:tc>
      </w:tr>
      <w:tr w:rsidR="00615941" w:rsidRPr="0009028A" w14:paraId="5248291D" w14:textId="77777777" w:rsidTr="00C46D94">
        <w:trPr>
          <w:trHeight w:val="227"/>
        </w:trPr>
        <w:tc>
          <w:tcPr>
            <w:tcW w:w="3828" w:type="dxa"/>
            <w:shd w:val="clear" w:color="auto" w:fill="auto"/>
            <w:vAlign w:val="center"/>
            <w:hideMark/>
          </w:tcPr>
          <w:p w14:paraId="50BC8DF3" w14:textId="77777777" w:rsidR="00615941" w:rsidRPr="0009028A" w:rsidRDefault="006B2613"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Pasivos financieros</w:t>
            </w:r>
          </w:p>
        </w:tc>
        <w:tc>
          <w:tcPr>
            <w:tcW w:w="1587" w:type="dxa"/>
            <w:shd w:val="clear" w:color="auto" w:fill="auto"/>
            <w:vAlign w:val="center"/>
            <w:hideMark/>
          </w:tcPr>
          <w:p w14:paraId="6C9E7B51"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767.539.474</w:t>
            </w:r>
          </w:p>
        </w:tc>
        <w:tc>
          <w:tcPr>
            <w:tcW w:w="1587" w:type="dxa"/>
            <w:shd w:val="clear" w:color="auto" w:fill="auto"/>
            <w:vAlign w:val="center"/>
            <w:hideMark/>
          </w:tcPr>
          <w:p w14:paraId="16EDBCAD"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1.387.711.835</w:t>
            </w:r>
          </w:p>
        </w:tc>
        <w:tc>
          <w:tcPr>
            <w:tcW w:w="1531" w:type="dxa"/>
            <w:shd w:val="clear" w:color="auto" w:fill="auto"/>
            <w:vAlign w:val="center"/>
            <w:hideMark/>
          </w:tcPr>
          <w:p w14:paraId="396C0234"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51.962.207</w:t>
            </w:r>
          </w:p>
        </w:tc>
        <w:tc>
          <w:tcPr>
            <w:tcW w:w="1531" w:type="dxa"/>
            <w:shd w:val="clear" w:color="auto" w:fill="auto"/>
            <w:vAlign w:val="center"/>
            <w:hideMark/>
          </w:tcPr>
          <w:p w14:paraId="7F9D580F"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17.196.394</w:t>
            </w:r>
          </w:p>
        </w:tc>
      </w:tr>
      <w:tr w:rsidR="00615941" w:rsidRPr="0009028A" w14:paraId="50D11642" w14:textId="77777777" w:rsidTr="00C46D94">
        <w:trPr>
          <w:trHeight w:val="227"/>
        </w:trPr>
        <w:tc>
          <w:tcPr>
            <w:tcW w:w="3828" w:type="dxa"/>
            <w:shd w:val="clear" w:color="auto" w:fill="auto"/>
            <w:vAlign w:val="center"/>
            <w:hideMark/>
          </w:tcPr>
          <w:p w14:paraId="355E2C81" w14:textId="77777777" w:rsidR="00615941" w:rsidRPr="0009028A" w:rsidRDefault="00615941"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Gasto de depreciación y amortización</w:t>
            </w:r>
          </w:p>
        </w:tc>
        <w:tc>
          <w:tcPr>
            <w:tcW w:w="1587" w:type="dxa"/>
            <w:shd w:val="clear" w:color="auto" w:fill="auto"/>
            <w:vAlign w:val="center"/>
            <w:hideMark/>
          </w:tcPr>
          <w:p w14:paraId="78DE2B13"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126.741</w:t>
            </w:r>
          </w:p>
        </w:tc>
        <w:tc>
          <w:tcPr>
            <w:tcW w:w="1587" w:type="dxa"/>
            <w:shd w:val="clear" w:color="auto" w:fill="auto"/>
            <w:vAlign w:val="center"/>
            <w:hideMark/>
          </w:tcPr>
          <w:p w14:paraId="7E276C6A"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47.037.107</w:t>
            </w:r>
          </w:p>
        </w:tc>
        <w:tc>
          <w:tcPr>
            <w:tcW w:w="1531" w:type="dxa"/>
            <w:shd w:val="clear" w:color="auto" w:fill="auto"/>
            <w:vAlign w:val="center"/>
            <w:hideMark/>
          </w:tcPr>
          <w:p w14:paraId="497709BB"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1.533.519</w:t>
            </w:r>
          </w:p>
        </w:tc>
        <w:tc>
          <w:tcPr>
            <w:tcW w:w="1531" w:type="dxa"/>
            <w:shd w:val="clear" w:color="auto" w:fill="auto"/>
            <w:vAlign w:val="center"/>
            <w:hideMark/>
          </w:tcPr>
          <w:p w14:paraId="76BD2212"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33.906</w:t>
            </w:r>
          </w:p>
        </w:tc>
      </w:tr>
      <w:tr w:rsidR="00615941" w:rsidRPr="0009028A" w14:paraId="386C79F3" w14:textId="77777777" w:rsidTr="00C46D94">
        <w:trPr>
          <w:trHeight w:val="227"/>
        </w:trPr>
        <w:tc>
          <w:tcPr>
            <w:tcW w:w="3828" w:type="dxa"/>
            <w:shd w:val="clear" w:color="auto" w:fill="auto"/>
            <w:vAlign w:val="center"/>
            <w:hideMark/>
          </w:tcPr>
          <w:p w14:paraId="004FB66D" w14:textId="77777777" w:rsidR="00615941" w:rsidRPr="0009028A" w:rsidRDefault="00615941"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Ingresos por intereses</w:t>
            </w:r>
          </w:p>
        </w:tc>
        <w:tc>
          <w:tcPr>
            <w:tcW w:w="1587" w:type="dxa"/>
            <w:shd w:val="clear" w:color="auto" w:fill="auto"/>
            <w:vAlign w:val="center"/>
            <w:hideMark/>
          </w:tcPr>
          <w:p w14:paraId="0D161BEA"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307.279</w:t>
            </w:r>
          </w:p>
        </w:tc>
        <w:tc>
          <w:tcPr>
            <w:tcW w:w="1587" w:type="dxa"/>
            <w:shd w:val="clear" w:color="auto" w:fill="auto"/>
            <w:vAlign w:val="center"/>
            <w:hideMark/>
          </w:tcPr>
          <w:p w14:paraId="243988D9"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5.513.537</w:t>
            </w:r>
          </w:p>
        </w:tc>
        <w:tc>
          <w:tcPr>
            <w:tcW w:w="1531" w:type="dxa"/>
            <w:shd w:val="clear" w:color="auto" w:fill="auto"/>
            <w:vAlign w:val="center"/>
            <w:hideMark/>
          </w:tcPr>
          <w:p w14:paraId="4E43AE76"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163.545</w:t>
            </w:r>
          </w:p>
        </w:tc>
        <w:tc>
          <w:tcPr>
            <w:tcW w:w="1531" w:type="dxa"/>
            <w:shd w:val="clear" w:color="auto" w:fill="auto"/>
            <w:vAlign w:val="center"/>
            <w:hideMark/>
          </w:tcPr>
          <w:p w14:paraId="1588B3F5"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102.900</w:t>
            </w:r>
          </w:p>
        </w:tc>
      </w:tr>
      <w:tr w:rsidR="00615941" w:rsidRPr="0009028A" w14:paraId="05F4489B" w14:textId="77777777" w:rsidTr="00C46D94">
        <w:trPr>
          <w:trHeight w:val="227"/>
        </w:trPr>
        <w:tc>
          <w:tcPr>
            <w:tcW w:w="3828" w:type="dxa"/>
            <w:shd w:val="clear" w:color="auto" w:fill="auto"/>
            <w:vAlign w:val="center"/>
            <w:hideMark/>
          </w:tcPr>
          <w:p w14:paraId="348F1EBE" w14:textId="77777777" w:rsidR="00615941" w:rsidRPr="0009028A" w:rsidRDefault="00615941"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Gastos por intereses</w:t>
            </w:r>
          </w:p>
        </w:tc>
        <w:tc>
          <w:tcPr>
            <w:tcW w:w="1587" w:type="dxa"/>
            <w:shd w:val="clear" w:color="auto" w:fill="auto"/>
            <w:vAlign w:val="center"/>
            <w:hideMark/>
          </w:tcPr>
          <w:p w14:paraId="719B3317"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6.408.881</w:t>
            </w:r>
          </w:p>
        </w:tc>
        <w:tc>
          <w:tcPr>
            <w:tcW w:w="1587" w:type="dxa"/>
            <w:shd w:val="clear" w:color="auto" w:fill="auto"/>
            <w:vAlign w:val="center"/>
            <w:hideMark/>
          </w:tcPr>
          <w:p w14:paraId="6A03F1EA"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20.485.646</w:t>
            </w:r>
          </w:p>
        </w:tc>
        <w:tc>
          <w:tcPr>
            <w:tcW w:w="1531" w:type="dxa"/>
            <w:shd w:val="clear" w:color="auto" w:fill="auto"/>
            <w:vAlign w:val="center"/>
            <w:hideMark/>
          </w:tcPr>
          <w:p w14:paraId="346481E3"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1.322.693</w:t>
            </w:r>
          </w:p>
        </w:tc>
        <w:tc>
          <w:tcPr>
            <w:tcW w:w="1531" w:type="dxa"/>
            <w:shd w:val="clear" w:color="auto" w:fill="auto"/>
            <w:vAlign w:val="center"/>
            <w:hideMark/>
          </w:tcPr>
          <w:p w14:paraId="0ED7C02D"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307</w:t>
            </w:r>
          </w:p>
        </w:tc>
      </w:tr>
      <w:tr w:rsidR="00615941" w:rsidRPr="0009028A" w14:paraId="586A84CE" w14:textId="77777777" w:rsidTr="00C46D94">
        <w:trPr>
          <w:trHeight w:val="227"/>
        </w:trPr>
        <w:tc>
          <w:tcPr>
            <w:tcW w:w="3828" w:type="dxa"/>
            <w:shd w:val="clear" w:color="auto" w:fill="auto"/>
            <w:vAlign w:val="center"/>
            <w:hideMark/>
          </w:tcPr>
          <w:p w14:paraId="07921603" w14:textId="77777777" w:rsidR="00615941" w:rsidRPr="0009028A" w:rsidRDefault="00615941"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Gasto por el impuesto sobre las ganancias</w:t>
            </w:r>
          </w:p>
        </w:tc>
        <w:tc>
          <w:tcPr>
            <w:tcW w:w="1587" w:type="dxa"/>
            <w:shd w:val="clear" w:color="auto" w:fill="auto"/>
            <w:vAlign w:val="center"/>
            <w:hideMark/>
          </w:tcPr>
          <w:p w14:paraId="0A63314F"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14.362.852</w:t>
            </w:r>
          </w:p>
        </w:tc>
        <w:tc>
          <w:tcPr>
            <w:tcW w:w="1587" w:type="dxa"/>
            <w:shd w:val="clear" w:color="auto" w:fill="auto"/>
            <w:vAlign w:val="center"/>
            <w:hideMark/>
          </w:tcPr>
          <w:p w14:paraId="1A674A5D"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4.452.134</w:t>
            </w:r>
          </w:p>
        </w:tc>
        <w:tc>
          <w:tcPr>
            <w:tcW w:w="1531" w:type="dxa"/>
            <w:shd w:val="clear" w:color="auto" w:fill="auto"/>
            <w:vAlign w:val="center"/>
            <w:hideMark/>
          </w:tcPr>
          <w:p w14:paraId="079CA123"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w:t>
            </w:r>
          </w:p>
        </w:tc>
        <w:tc>
          <w:tcPr>
            <w:tcW w:w="1531" w:type="dxa"/>
            <w:shd w:val="clear" w:color="auto" w:fill="auto"/>
            <w:vAlign w:val="center"/>
            <w:hideMark/>
          </w:tcPr>
          <w:p w14:paraId="1EDE7CE8"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570.422</w:t>
            </w:r>
          </w:p>
        </w:tc>
      </w:tr>
    </w:tbl>
    <w:p w14:paraId="0975B957" w14:textId="77777777" w:rsidR="00821422" w:rsidRPr="0009028A" w:rsidRDefault="00821422" w:rsidP="00821422">
      <w:pPr>
        <w:spacing w:after="0"/>
        <w:ind w:left="284" w:hanging="284"/>
        <w:rPr>
          <w:rFonts w:ascii="Arial" w:hAnsi="Arial" w:cs="Arial"/>
          <w:color w:val="000000"/>
          <w:sz w:val="20"/>
          <w:szCs w:val="20"/>
          <w:highlight w:val="yellow"/>
          <w:lang w:val="es-ES"/>
        </w:rPr>
      </w:pPr>
    </w:p>
    <w:p w14:paraId="045404AB" w14:textId="77777777" w:rsidR="00821422" w:rsidRPr="0009028A" w:rsidRDefault="00821422" w:rsidP="00821422">
      <w:pPr>
        <w:spacing w:after="0"/>
        <w:ind w:left="284" w:hanging="284"/>
        <w:rPr>
          <w:rFonts w:ascii="Arial" w:hAnsi="Arial" w:cs="Arial"/>
          <w:color w:val="000000"/>
          <w:sz w:val="20"/>
          <w:szCs w:val="20"/>
          <w:lang w:val="es-ES"/>
        </w:rPr>
      </w:pPr>
    </w:p>
    <w:tbl>
      <w:tblPr>
        <w:tblW w:w="9952" w:type="dxa"/>
        <w:tblCellMar>
          <w:left w:w="70" w:type="dxa"/>
          <w:right w:w="70" w:type="dxa"/>
        </w:tblCellMar>
        <w:tblLook w:val="04A0" w:firstRow="1" w:lastRow="0" w:firstColumn="1" w:lastColumn="0" w:noHBand="0" w:noVBand="1"/>
      </w:tblPr>
      <w:tblGrid>
        <w:gridCol w:w="3828"/>
        <w:gridCol w:w="1531"/>
        <w:gridCol w:w="1531"/>
        <w:gridCol w:w="1531"/>
        <w:gridCol w:w="1531"/>
      </w:tblGrid>
      <w:tr w:rsidR="00615941" w:rsidRPr="0009028A" w14:paraId="09B9E29B" w14:textId="77777777" w:rsidTr="00C46D94">
        <w:trPr>
          <w:trHeight w:val="68"/>
        </w:trPr>
        <w:tc>
          <w:tcPr>
            <w:tcW w:w="3828" w:type="dxa"/>
            <w:shd w:val="clear" w:color="auto" w:fill="auto"/>
            <w:vAlign w:val="center"/>
            <w:hideMark/>
          </w:tcPr>
          <w:p w14:paraId="2643C13B" w14:textId="77777777" w:rsidR="00615941" w:rsidRPr="0009028A" w:rsidRDefault="00615941" w:rsidP="00615941">
            <w:pPr>
              <w:spacing w:after="0" w:line="240" w:lineRule="auto"/>
              <w:rPr>
                <w:rFonts w:ascii="Arial" w:eastAsia="Times New Roman" w:hAnsi="Arial" w:cs="Arial"/>
                <w:b/>
                <w:bCs/>
                <w:color w:val="000000"/>
                <w:sz w:val="18"/>
                <w:szCs w:val="18"/>
                <w:lang w:eastAsia="es-CO"/>
              </w:rPr>
            </w:pPr>
            <w:r w:rsidRPr="0009028A">
              <w:rPr>
                <w:rFonts w:ascii="Arial" w:eastAsia="Times New Roman" w:hAnsi="Arial" w:cs="Arial"/>
                <w:b/>
                <w:bCs/>
                <w:color w:val="000000"/>
                <w:sz w:val="18"/>
                <w:szCs w:val="18"/>
                <w:lang w:eastAsia="es-CO"/>
              </w:rPr>
              <w:t> </w:t>
            </w:r>
          </w:p>
        </w:tc>
        <w:tc>
          <w:tcPr>
            <w:tcW w:w="1531" w:type="dxa"/>
            <w:shd w:val="clear" w:color="auto" w:fill="auto"/>
            <w:vAlign w:val="center"/>
            <w:hideMark/>
          </w:tcPr>
          <w:p w14:paraId="1058B540" w14:textId="77777777" w:rsidR="00615941" w:rsidRPr="0009028A" w:rsidRDefault="00615941" w:rsidP="00615941">
            <w:pPr>
              <w:spacing w:after="0" w:line="240" w:lineRule="auto"/>
              <w:jc w:val="center"/>
              <w:rPr>
                <w:rFonts w:ascii="Arial" w:eastAsia="Times New Roman" w:hAnsi="Arial" w:cs="Arial"/>
                <w:b/>
                <w:bCs/>
                <w:color w:val="000000"/>
                <w:sz w:val="18"/>
                <w:szCs w:val="20"/>
                <w:lang w:eastAsia="es-CO"/>
              </w:rPr>
            </w:pPr>
            <w:r w:rsidRPr="0009028A">
              <w:rPr>
                <w:rFonts w:ascii="Arial" w:eastAsia="Times New Roman" w:hAnsi="Arial" w:cs="Arial"/>
                <w:b/>
                <w:bCs/>
                <w:color w:val="000000"/>
                <w:sz w:val="18"/>
                <w:szCs w:val="20"/>
                <w:lang w:eastAsia="es-CO"/>
              </w:rPr>
              <w:t>Concesión La Pintada S.A.S.</w:t>
            </w:r>
          </w:p>
        </w:tc>
        <w:tc>
          <w:tcPr>
            <w:tcW w:w="1531" w:type="dxa"/>
            <w:shd w:val="clear" w:color="auto" w:fill="auto"/>
            <w:vAlign w:val="center"/>
            <w:hideMark/>
          </w:tcPr>
          <w:p w14:paraId="362E104C" w14:textId="77777777" w:rsidR="00615941" w:rsidRPr="0009028A" w:rsidRDefault="00615941" w:rsidP="00615941">
            <w:pPr>
              <w:spacing w:after="0" w:line="240" w:lineRule="auto"/>
              <w:jc w:val="center"/>
              <w:rPr>
                <w:rFonts w:ascii="Arial" w:eastAsia="Times New Roman" w:hAnsi="Arial" w:cs="Arial"/>
                <w:b/>
                <w:bCs/>
                <w:color w:val="000000"/>
                <w:sz w:val="18"/>
                <w:szCs w:val="20"/>
                <w:lang w:eastAsia="es-CO"/>
              </w:rPr>
            </w:pPr>
            <w:r w:rsidRPr="0009028A">
              <w:rPr>
                <w:rFonts w:ascii="Arial" w:eastAsia="Times New Roman" w:hAnsi="Arial" w:cs="Arial"/>
                <w:b/>
                <w:bCs/>
                <w:color w:val="000000"/>
                <w:sz w:val="18"/>
                <w:szCs w:val="20"/>
                <w:lang w:eastAsia="es-CO"/>
              </w:rPr>
              <w:t>Sociedad Concesionaria Operadora Aeroportuaria S.A.</w:t>
            </w:r>
          </w:p>
        </w:tc>
        <w:tc>
          <w:tcPr>
            <w:tcW w:w="1531" w:type="dxa"/>
            <w:shd w:val="clear" w:color="auto" w:fill="auto"/>
            <w:vAlign w:val="center"/>
            <w:hideMark/>
          </w:tcPr>
          <w:p w14:paraId="2034085B" w14:textId="77777777" w:rsidR="00615941" w:rsidRPr="0009028A" w:rsidRDefault="00615941" w:rsidP="00615941">
            <w:pPr>
              <w:spacing w:after="0" w:line="240" w:lineRule="auto"/>
              <w:jc w:val="center"/>
              <w:rPr>
                <w:rFonts w:ascii="Arial" w:eastAsia="Times New Roman" w:hAnsi="Arial" w:cs="Arial"/>
                <w:b/>
                <w:bCs/>
                <w:color w:val="000000"/>
                <w:sz w:val="18"/>
                <w:szCs w:val="20"/>
                <w:lang w:eastAsia="es-CO"/>
              </w:rPr>
            </w:pPr>
            <w:r w:rsidRPr="0009028A">
              <w:rPr>
                <w:rFonts w:ascii="Arial" w:eastAsia="Times New Roman" w:hAnsi="Arial" w:cs="Arial"/>
                <w:b/>
                <w:bCs/>
                <w:color w:val="000000"/>
                <w:sz w:val="18"/>
                <w:szCs w:val="20"/>
                <w:lang w:eastAsia="es-CO"/>
              </w:rPr>
              <w:t>Consorcio Farallones</w:t>
            </w:r>
          </w:p>
        </w:tc>
        <w:tc>
          <w:tcPr>
            <w:tcW w:w="1531" w:type="dxa"/>
            <w:shd w:val="clear" w:color="auto" w:fill="auto"/>
            <w:vAlign w:val="center"/>
            <w:hideMark/>
          </w:tcPr>
          <w:p w14:paraId="07314F3F" w14:textId="77777777" w:rsidR="00615941" w:rsidRPr="0009028A" w:rsidRDefault="00615941" w:rsidP="00615941">
            <w:pPr>
              <w:spacing w:after="0" w:line="240" w:lineRule="auto"/>
              <w:jc w:val="center"/>
              <w:rPr>
                <w:rFonts w:ascii="Arial" w:eastAsia="Times New Roman" w:hAnsi="Arial" w:cs="Arial"/>
                <w:b/>
                <w:bCs/>
                <w:color w:val="000000"/>
                <w:sz w:val="18"/>
                <w:szCs w:val="20"/>
                <w:lang w:eastAsia="es-CO"/>
              </w:rPr>
            </w:pPr>
            <w:r w:rsidRPr="0009028A">
              <w:rPr>
                <w:rFonts w:ascii="Arial" w:eastAsia="Times New Roman" w:hAnsi="Arial" w:cs="Arial"/>
                <w:b/>
                <w:bCs/>
                <w:color w:val="000000"/>
                <w:sz w:val="18"/>
                <w:szCs w:val="20"/>
                <w:lang w:eastAsia="es-CO"/>
              </w:rPr>
              <w:t>Otras Asociadas y Negocios Conjuntos</w:t>
            </w:r>
          </w:p>
        </w:tc>
      </w:tr>
      <w:tr w:rsidR="00615941" w:rsidRPr="0009028A" w14:paraId="3B6E377F" w14:textId="77777777" w:rsidTr="00C46D94">
        <w:trPr>
          <w:trHeight w:val="68"/>
        </w:trPr>
        <w:tc>
          <w:tcPr>
            <w:tcW w:w="3828" w:type="dxa"/>
            <w:shd w:val="clear" w:color="auto" w:fill="auto"/>
            <w:vAlign w:val="center"/>
            <w:hideMark/>
          </w:tcPr>
          <w:p w14:paraId="3B37090F" w14:textId="77777777" w:rsidR="00615941" w:rsidRPr="0009028A" w:rsidRDefault="00615941" w:rsidP="00615941">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Diciembre de 2018</w:t>
            </w:r>
          </w:p>
        </w:tc>
        <w:tc>
          <w:tcPr>
            <w:tcW w:w="1531" w:type="dxa"/>
            <w:shd w:val="clear" w:color="auto" w:fill="auto"/>
            <w:vAlign w:val="center"/>
            <w:hideMark/>
          </w:tcPr>
          <w:p w14:paraId="4963597E"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p>
        </w:tc>
        <w:tc>
          <w:tcPr>
            <w:tcW w:w="1531" w:type="dxa"/>
            <w:shd w:val="clear" w:color="auto" w:fill="auto"/>
            <w:vAlign w:val="center"/>
            <w:hideMark/>
          </w:tcPr>
          <w:p w14:paraId="036D16D6"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p>
        </w:tc>
        <w:tc>
          <w:tcPr>
            <w:tcW w:w="1531" w:type="dxa"/>
            <w:shd w:val="clear" w:color="auto" w:fill="auto"/>
            <w:vAlign w:val="center"/>
            <w:hideMark/>
          </w:tcPr>
          <w:p w14:paraId="0B11BDFA"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p>
        </w:tc>
        <w:tc>
          <w:tcPr>
            <w:tcW w:w="1531" w:type="dxa"/>
            <w:shd w:val="clear" w:color="auto" w:fill="auto"/>
            <w:noWrap/>
            <w:vAlign w:val="bottom"/>
            <w:hideMark/>
          </w:tcPr>
          <w:p w14:paraId="42B1D612"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p>
        </w:tc>
      </w:tr>
      <w:tr w:rsidR="00615941" w:rsidRPr="0009028A" w14:paraId="5DFEF4CB" w14:textId="77777777" w:rsidTr="00C46D94">
        <w:trPr>
          <w:trHeight w:val="68"/>
        </w:trPr>
        <w:tc>
          <w:tcPr>
            <w:tcW w:w="3828" w:type="dxa"/>
            <w:shd w:val="clear" w:color="auto" w:fill="auto"/>
            <w:vAlign w:val="center"/>
            <w:hideMark/>
          </w:tcPr>
          <w:p w14:paraId="0E53DD81" w14:textId="77777777" w:rsidR="00615941" w:rsidRPr="0009028A" w:rsidRDefault="00615941"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Efectivo y equivalentes al efectivo</w:t>
            </w:r>
          </w:p>
        </w:tc>
        <w:tc>
          <w:tcPr>
            <w:tcW w:w="1531" w:type="dxa"/>
            <w:shd w:val="clear" w:color="auto" w:fill="auto"/>
            <w:vAlign w:val="center"/>
            <w:hideMark/>
          </w:tcPr>
          <w:p w14:paraId="42655396" w14:textId="77777777" w:rsidR="00615941" w:rsidRPr="0009028A" w:rsidRDefault="0067119C"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       </w:t>
            </w:r>
            <w:r w:rsidR="00615941" w:rsidRPr="0009028A">
              <w:rPr>
                <w:rFonts w:ascii="Arial" w:eastAsia="Times New Roman" w:hAnsi="Arial" w:cs="Arial"/>
                <w:color w:val="000000"/>
                <w:sz w:val="18"/>
                <w:szCs w:val="18"/>
                <w:lang w:eastAsia="es-CO"/>
              </w:rPr>
              <w:t>41.085.982</w:t>
            </w:r>
          </w:p>
        </w:tc>
        <w:tc>
          <w:tcPr>
            <w:tcW w:w="1531" w:type="dxa"/>
            <w:shd w:val="clear" w:color="auto" w:fill="auto"/>
            <w:vAlign w:val="center"/>
            <w:hideMark/>
          </w:tcPr>
          <w:p w14:paraId="44448466"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171.173.837</w:t>
            </w:r>
          </w:p>
        </w:tc>
        <w:tc>
          <w:tcPr>
            <w:tcW w:w="1531" w:type="dxa"/>
            <w:shd w:val="clear" w:color="auto" w:fill="auto"/>
            <w:vAlign w:val="center"/>
            <w:hideMark/>
          </w:tcPr>
          <w:p w14:paraId="13980DE8"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13.706.440</w:t>
            </w:r>
          </w:p>
        </w:tc>
        <w:tc>
          <w:tcPr>
            <w:tcW w:w="1531" w:type="dxa"/>
            <w:shd w:val="clear" w:color="auto" w:fill="auto"/>
            <w:vAlign w:val="center"/>
            <w:hideMark/>
          </w:tcPr>
          <w:p w14:paraId="4B5A3062"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18.108.138</w:t>
            </w:r>
          </w:p>
        </w:tc>
      </w:tr>
      <w:tr w:rsidR="00615941" w:rsidRPr="0009028A" w14:paraId="35A35E5B" w14:textId="77777777" w:rsidTr="00C46D94">
        <w:trPr>
          <w:trHeight w:val="68"/>
        </w:trPr>
        <w:tc>
          <w:tcPr>
            <w:tcW w:w="3828" w:type="dxa"/>
            <w:shd w:val="clear" w:color="auto" w:fill="auto"/>
            <w:vAlign w:val="center"/>
            <w:hideMark/>
          </w:tcPr>
          <w:p w14:paraId="1901FDBE" w14:textId="77777777" w:rsidR="00615941" w:rsidRPr="0009028A" w:rsidRDefault="00615941"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Pa</w:t>
            </w:r>
            <w:r w:rsidR="006B2613" w:rsidRPr="0009028A">
              <w:rPr>
                <w:rFonts w:ascii="Arial" w:eastAsia="Times New Roman" w:hAnsi="Arial" w:cs="Arial"/>
                <w:color w:val="000000"/>
                <w:sz w:val="18"/>
                <w:szCs w:val="18"/>
                <w:lang w:eastAsia="es-CO"/>
              </w:rPr>
              <w:t>sivos financieros corrientes</w:t>
            </w:r>
          </w:p>
        </w:tc>
        <w:tc>
          <w:tcPr>
            <w:tcW w:w="1531" w:type="dxa"/>
            <w:shd w:val="clear" w:color="auto" w:fill="auto"/>
            <w:vAlign w:val="center"/>
            <w:hideMark/>
          </w:tcPr>
          <w:p w14:paraId="7C702E5F"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8.726.007</w:t>
            </w:r>
          </w:p>
        </w:tc>
        <w:tc>
          <w:tcPr>
            <w:tcW w:w="1531" w:type="dxa"/>
            <w:shd w:val="clear" w:color="auto" w:fill="auto"/>
            <w:vAlign w:val="center"/>
            <w:hideMark/>
          </w:tcPr>
          <w:p w14:paraId="76AFF63C"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139.994.867</w:t>
            </w:r>
          </w:p>
        </w:tc>
        <w:tc>
          <w:tcPr>
            <w:tcW w:w="1531" w:type="dxa"/>
            <w:shd w:val="clear" w:color="auto" w:fill="auto"/>
            <w:vAlign w:val="center"/>
            <w:hideMark/>
          </w:tcPr>
          <w:p w14:paraId="57864239"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62.948.677</w:t>
            </w:r>
          </w:p>
        </w:tc>
        <w:tc>
          <w:tcPr>
            <w:tcW w:w="1531" w:type="dxa"/>
            <w:shd w:val="clear" w:color="auto" w:fill="auto"/>
            <w:vAlign w:val="center"/>
            <w:hideMark/>
          </w:tcPr>
          <w:p w14:paraId="54A76A3C"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15.053</w:t>
            </w:r>
          </w:p>
        </w:tc>
      </w:tr>
      <w:tr w:rsidR="00615941" w:rsidRPr="0009028A" w14:paraId="616582E5" w14:textId="77777777" w:rsidTr="00C46D94">
        <w:trPr>
          <w:trHeight w:val="68"/>
        </w:trPr>
        <w:tc>
          <w:tcPr>
            <w:tcW w:w="3828" w:type="dxa"/>
            <w:shd w:val="clear" w:color="auto" w:fill="auto"/>
            <w:vAlign w:val="center"/>
            <w:hideMark/>
          </w:tcPr>
          <w:p w14:paraId="5767ABBD" w14:textId="77777777" w:rsidR="00615941" w:rsidRPr="0009028A" w:rsidRDefault="00615941"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Pasiv</w:t>
            </w:r>
            <w:r w:rsidR="006B2613" w:rsidRPr="0009028A">
              <w:rPr>
                <w:rFonts w:ascii="Arial" w:eastAsia="Times New Roman" w:hAnsi="Arial" w:cs="Arial"/>
                <w:color w:val="000000"/>
                <w:sz w:val="18"/>
                <w:szCs w:val="18"/>
                <w:lang w:eastAsia="es-CO"/>
              </w:rPr>
              <w:t>os financieros no corrientes</w:t>
            </w:r>
          </w:p>
        </w:tc>
        <w:tc>
          <w:tcPr>
            <w:tcW w:w="1531" w:type="dxa"/>
            <w:shd w:val="clear" w:color="auto" w:fill="auto"/>
            <w:vAlign w:val="center"/>
            <w:hideMark/>
          </w:tcPr>
          <w:p w14:paraId="3F3453F7"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701.954.273</w:t>
            </w:r>
          </w:p>
        </w:tc>
        <w:tc>
          <w:tcPr>
            <w:tcW w:w="1531" w:type="dxa"/>
            <w:shd w:val="clear" w:color="auto" w:fill="auto"/>
            <w:vAlign w:val="center"/>
            <w:hideMark/>
          </w:tcPr>
          <w:p w14:paraId="5586108F"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1.249.267.252</w:t>
            </w:r>
          </w:p>
        </w:tc>
        <w:tc>
          <w:tcPr>
            <w:tcW w:w="1531" w:type="dxa"/>
            <w:shd w:val="clear" w:color="auto" w:fill="auto"/>
            <w:vAlign w:val="center"/>
            <w:hideMark/>
          </w:tcPr>
          <w:p w14:paraId="13361206"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31.031.274</w:t>
            </w:r>
          </w:p>
        </w:tc>
        <w:tc>
          <w:tcPr>
            <w:tcW w:w="1531" w:type="dxa"/>
            <w:shd w:val="clear" w:color="auto" w:fill="auto"/>
            <w:vAlign w:val="center"/>
            <w:hideMark/>
          </w:tcPr>
          <w:p w14:paraId="1C5E1C04"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w:t>
            </w:r>
          </w:p>
        </w:tc>
      </w:tr>
      <w:tr w:rsidR="00615941" w:rsidRPr="0009028A" w14:paraId="0E6B0C09" w14:textId="77777777" w:rsidTr="00C46D94">
        <w:trPr>
          <w:trHeight w:val="68"/>
        </w:trPr>
        <w:tc>
          <w:tcPr>
            <w:tcW w:w="3828" w:type="dxa"/>
            <w:shd w:val="clear" w:color="auto" w:fill="auto"/>
            <w:vAlign w:val="center"/>
            <w:hideMark/>
          </w:tcPr>
          <w:p w14:paraId="0E5B62F0" w14:textId="77777777" w:rsidR="00615941" w:rsidRPr="0009028A" w:rsidRDefault="006B2613"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Pasivos financieros</w:t>
            </w:r>
          </w:p>
        </w:tc>
        <w:tc>
          <w:tcPr>
            <w:tcW w:w="1531" w:type="dxa"/>
            <w:shd w:val="clear" w:color="auto" w:fill="auto"/>
            <w:vAlign w:val="center"/>
            <w:hideMark/>
          </w:tcPr>
          <w:p w14:paraId="62EF3933"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710.680.280</w:t>
            </w:r>
          </w:p>
        </w:tc>
        <w:tc>
          <w:tcPr>
            <w:tcW w:w="1531" w:type="dxa"/>
            <w:shd w:val="clear" w:color="auto" w:fill="auto"/>
            <w:vAlign w:val="center"/>
            <w:hideMark/>
          </w:tcPr>
          <w:p w14:paraId="0E723338"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1.389.262.119</w:t>
            </w:r>
          </w:p>
        </w:tc>
        <w:tc>
          <w:tcPr>
            <w:tcW w:w="1531" w:type="dxa"/>
            <w:shd w:val="clear" w:color="auto" w:fill="auto"/>
            <w:vAlign w:val="center"/>
            <w:hideMark/>
          </w:tcPr>
          <w:p w14:paraId="4E23AF14"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93.979.951</w:t>
            </w:r>
          </w:p>
        </w:tc>
        <w:tc>
          <w:tcPr>
            <w:tcW w:w="1531" w:type="dxa"/>
            <w:shd w:val="clear" w:color="auto" w:fill="auto"/>
            <w:vAlign w:val="center"/>
            <w:hideMark/>
          </w:tcPr>
          <w:p w14:paraId="4A0073E6"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15.053</w:t>
            </w:r>
          </w:p>
        </w:tc>
      </w:tr>
    </w:tbl>
    <w:p w14:paraId="3BB961B4" w14:textId="77777777" w:rsidR="00615941" w:rsidRPr="0009028A" w:rsidRDefault="00615941" w:rsidP="00821422">
      <w:pPr>
        <w:spacing w:after="0"/>
        <w:ind w:left="284" w:hanging="284"/>
        <w:rPr>
          <w:rFonts w:ascii="Arial" w:hAnsi="Arial" w:cs="Arial"/>
          <w:color w:val="000000"/>
          <w:sz w:val="20"/>
          <w:szCs w:val="20"/>
          <w:lang w:val="es-ES"/>
        </w:rPr>
      </w:pPr>
    </w:p>
    <w:tbl>
      <w:tblPr>
        <w:tblW w:w="5000" w:type="pct"/>
        <w:tblCellMar>
          <w:left w:w="70" w:type="dxa"/>
          <w:right w:w="70" w:type="dxa"/>
        </w:tblCellMar>
        <w:tblLook w:val="04A0" w:firstRow="1" w:lastRow="0" w:firstColumn="1" w:lastColumn="0" w:noHBand="0" w:noVBand="1"/>
      </w:tblPr>
      <w:tblGrid>
        <w:gridCol w:w="3827"/>
        <w:gridCol w:w="1559"/>
        <w:gridCol w:w="1560"/>
        <w:gridCol w:w="1419"/>
        <w:gridCol w:w="1556"/>
      </w:tblGrid>
      <w:tr w:rsidR="00A46124" w:rsidRPr="0009028A" w14:paraId="15D0AB7F" w14:textId="77777777" w:rsidTr="0067119C">
        <w:trPr>
          <w:trHeight w:val="68"/>
        </w:trPr>
        <w:tc>
          <w:tcPr>
            <w:tcW w:w="1929" w:type="pct"/>
            <w:shd w:val="clear" w:color="auto" w:fill="auto"/>
            <w:vAlign w:val="center"/>
            <w:hideMark/>
          </w:tcPr>
          <w:p w14:paraId="51E60537" w14:textId="77777777" w:rsidR="00615941" w:rsidRPr="0009028A" w:rsidRDefault="00615941" w:rsidP="00615941">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Marzo de 2018</w:t>
            </w:r>
          </w:p>
        </w:tc>
        <w:tc>
          <w:tcPr>
            <w:tcW w:w="786" w:type="pct"/>
            <w:shd w:val="clear" w:color="auto" w:fill="auto"/>
            <w:vAlign w:val="center"/>
            <w:hideMark/>
          </w:tcPr>
          <w:p w14:paraId="0062EC1F" w14:textId="77777777" w:rsidR="00615941" w:rsidRPr="0009028A" w:rsidRDefault="00615941" w:rsidP="00615941">
            <w:pPr>
              <w:spacing w:after="0" w:line="240" w:lineRule="auto"/>
              <w:rPr>
                <w:rFonts w:ascii="Arial" w:eastAsia="Times New Roman" w:hAnsi="Arial" w:cs="Arial"/>
                <w:color w:val="000000"/>
                <w:lang w:eastAsia="es-CO"/>
              </w:rPr>
            </w:pPr>
            <w:r w:rsidRPr="0009028A">
              <w:rPr>
                <w:rFonts w:ascii="Arial" w:eastAsia="Times New Roman" w:hAnsi="Arial" w:cs="Arial"/>
                <w:color w:val="000000"/>
                <w:lang w:eastAsia="es-CO"/>
              </w:rPr>
              <w:t> </w:t>
            </w:r>
          </w:p>
        </w:tc>
        <w:tc>
          <w:tcPr>
            <w:tcW w:w="786" w:type="pct"/>
            <w:shd w:val="clear" w:color="auto" w:fill="auto"/>
            <w:vAlign w:val="center"/>
            <w:hideMark/>
          </w:tcPr>
          <w:p w14:paraId="6E090C45" w14:textId="77777777" w:rsidR="00615941" w:rsidRPr="0009028A" w:rsidRDefault="00615941" w:rsidP="00615941">
            <w:pPr>
              <w:spacing w:after="0" w:line="240" w:lineRule="auto"/>
              <w:rPr>
                <w:rFonts w:ascii="Arial" w:eastAsia="Times New Roman" w:hAnsi="Arial" w:cs="Arial"/>
                <w:color w:val="000000"/>
                <w:lang w:eastAsia="es-CO"/>
              </w:rPr>
            </w:pPr>
            <w:r w:rsidRPr="0009028A">
              <w:rPr>
                <w:rFonts w:ascii="Arial" w:eastAsia="Times New Roman" w:hAnsi="Arial" w:cs="Arial"/>
                <w:color w:val="000000"/>
                <w:lang w:eastAsia="es-CO"/>
              </w:rPr>
              <w:t> </w:t>
            </w:r>
          </w:p>
        </w:tc>
        <w:tc>
          <w:tcPr>
            <w:tcW w:w="715" w:type="pct"/>
            <w:shd w:val="clear" w:color="auto" w:fill="auto"/>
            <w:vAlign w:val="center"/>
            <w:hideMark/>
          </w:tcPr>
          <w:p w14:paraId="6C2896F2" w14:textId="77777777" w:rsidR="00615941" w:rsidRPr="0009028A" w:rsidRDefault="00615941" w:rsidP="00615941">
            <w:pPr>
              <w:spacing w:after="0" w:line="240" w:lineRule="auto"/>
              <w:rPr>
                <w:rFonts w:ascii="Arial" w:eastAsia="Times New Roman" w:hAnsi="Arial" w:cs="Arial"/>
                <w:color w:val="000000"/>
                <w:lang w:eastAsia="es-CO"/>
              </w:rPr>
            </w:pPr>
            <w:r w:rsidRPr="0009028A">
              <w:rPr>
                <w:rFonts w:ascii="Arial" w:eastAsia="Times New Roman" w:hAnsi="Arial" w:cs="Arial"/>
                <w:color w:val="000000"/>
                <w:lang w:eastAsia="es-CO"/>
              </w:rPr>
              <w:t> </w:t>
            </w:r>
          </w:p>
        </w:tc>
        <w:tc>
          <w:tcPr>
            <w:tcW w:w="784" w:type="pct"/>
            <w:shd w:val="clear" w:color="auto" w:fill="auto"/>
            <w:vAlign w:val="center"/>
            <w:hideMark/>
          </w:tcPr>
          <w:p w14:paraId="6C33AF15" w14:textId="77777777" w:rsidR="00615941" w:rsidRPr="0009028A" w:rsidRDefault="00615941" w:rsidP="00615941">
            <w:pPr>
              <w:spacing w:after="0" w:line="240" w:lineRule="auto"/>
              <w:rPr>
                <w:rFonts w:ascii="Arial" w:eastAsia="Times New Roman" w:hAnsi="Arial" w:cs="Arial"/>
                <w:color w:val="000000"/>
                <w:lang w:eastAsia="es-CO"/>
              </w:rPr>
            </w:pPr>
            <w:r w:rsidRPr="0009028A">
              <w:rPr>
                <w:rFonts w:ascii="Arial" w:eastAsia="Times New Roman" w:hAnsi="Arial" w:cs="Arial"/>
                <w:color w:val="000000"/>
                <w:lang w:eastAsia="es-CO"/>
              </w:rPr>
              <w:t> </w:t>
            </w:r>
          </w:p>
        </w:tc>
      </w:tr>
      <w:tr w:rsidR="00A46124" w:rsidRPr="0009028A" w14:paraId="1EA5E984" w14:textId="77777777" w:rsidTr="0067119C">
        <w:trPr>
          <w:trHeight w:val="68"/>
        </w:trPr>
        <w:tc>
          <w:tcPr>
            <w:tcW w:w="1929" w:type="pct"/>
            <w:shd w:val="clear" w:color="auto" w:fill="auto"/>
            <w:vAlign w:val="center"/>
            <w:hideMark/>
          </w:tcPr>
          <w:p w14:paraId="014FEC26" w14:textId="77777777" w:rsidR="00615941" w:rsidRPr="0009028A" w:rsidRDefault="00615941"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Gasto de depreciación y amortización</w:t>
            </w:r>
          </w:p>
        </w:tc>
        <w:tc>
          <w:tcPr>
            <w:tcW w:w="786" w:type="pct"/>
            <w:shd w:val="clear" w:color="auto" w:fill="auto"/>
            <w:vAlign w:val="center"/>
            <w:hideMark/>
          </w:tcPr>
          <w:p w14:paraId="72232C71" w14:textId="77777777" w:rsidR="00615941" w:rsidRPr="0009028A" w:rsidRDefault="0067119C"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             </w:t>
            </w:r>
            <w:r w:rsidR="00615941" w:rsidRPr="0009028A">
              <w:rPr>
                <w:rFonts w:ascii="Arial" w:eastAsia="Times New Roman" w:hAnsi="Arial" w:cs="Arial"/>
                <w:color w:val="000000"/>
                <w:sz w:val="18"/>
                <w:szCs w:val="18"/>
                <w:lang w:eastAsia="es-CO"/>
              </w:rPr>
              <w:t>108.980</w:t>
            </w:r>
          </w:p>
        </w:tc>
        <w:tc>
          <w:tcPr>
            <w:tcW w:w="786" w:type="pct"/>
            <w:shd w:val="clear" w:color="auto" w:fill="auto"/>
            <w:vAlign w:val="center"/>
            <w:hideMark/>
          </w:tcPr>
          <w:p w14:paraId="4A6CE58F"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39.456.987</w:t>
            </w:r>
          </w:p>
        </w:tc>
        <w:tc>
          <w:tcPr>
            <w:tcW w:w="715" w:type="pct"/>
            <w:shd w:val="clear" w:color="auto" w:fill="auto"/>
            <w:vAlign w:val="center"/>
            <w:hideMark/>
          </w:tcPr>
          <w:p w14:paraId="4EAF83BA"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1.069.139</w:t>
            </w:r>
          </w:p>
        </w:tc>
        <w:tc>
          <w:tcPr>
            <w:tcW w:w="784" w:type="pct"/>
            <w:shd w:val="clear" w:color="auto" w:fill="auto"/>
            <w:vAlign w:val="center"/>
            <w:hideMark/>
          </w:tcPr>
          <w:p w14:paraId="3E5D5C2C"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519.202</w:t>
            </w:r>
          </w:p>
        </w:tc>
      </w:tr>
      <w:tr w:rsidR="00A46124" w:rsidRPr="0009028A" w14:paraId="518539F2" w14:textId="77777777" w:rsidTr="0067119C">
        <w:trPr>
          <w:trHeight w:val="68"/>
        </w:trPr>
        <w:tc>
          <w:tcPr>
            <w:tcW w:w="1929" w:type="pct"/>
            <w:shd w:val="clear" w:color="auto" w:fill="auto"/>
            <w:vAlign w:val="center"/>
            <w:hideMark/>
          </w:tcPr>
          <w:p w14:paraId="5DFC2526" w14:textId="77777777" w:rsidR="00615941" w:rsidRPr="0009028A" w:rsidRDefault="00615941"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Ingresos por intereses</w:t>
            </w:r>
          </w:p>
        </w:tc>
        <w:tc>
          <w:tcPr>
            <w:tcW w:w="786" w:type="pct"/>
            <w:shd w:val="clear" w:color="auto" w:fill="auto"/>
            <w:vAlign w:val="center"/>
            <w:hideMark/>
          </w:tcPr>
          <w:p w14:paraId="2D2A057D"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4.288.955</w:t>
            </w:r>
          </w:p>
        </w:tc>
        <w:tc>
          <w:tcPr>
            <w:tcW w:w="786" w:type="pct"/>
            <w:shd w:val="clear" w:color="auto" w:fill="auto"/>
            <w:vAlign w:val="center"/>
            <w:hideMark/>
          </w:tcPr>
          <w:p w14:paraId="4021485A"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3.362.692</w:t>
            </w:r>
          </w:p>
        </w:tc>
        <w:tc>
          <w:tcPr>
            <w:tcW w:w="715" w:type="pct"/>
            <w:shd w:val="clear" w:color="auto" w:fill="auto"/>
            <w:vAlign w:val="center"/>
            <w:hideMark/>
          </w:tcPr>
          <w:p w14:paraId="57E18A86"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296</w:t>
            </w:r>
          </w:p>
        </w:tc>
        <w:tc>
          <w:tcPr>
            <w:tcW w:w="784" w:type="pct"/>
            <w:shd w:val="clear" w:color="auto" w:fill="auto"/>
            <w:vAlign w:val="center"/>
            <w:hideMark/>
          </w:tcPr>
          <w:p w14:paraId="028C0AC1"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304</w:t>
            </w:r>
          </w:p>
        </w:tc>
      </w:tr>
      <w:tr w:rsidR="00A46124" w:rsidRPr="0009028A" w14:paraId="3DCA76ED" w14:textId="77777777" w:rsidTr="0067119C">
        <w:trPr>
          <w:trHeight w:val="68"/>
        </w:trPr>
        <w:tc>
          <w:tcPr>
            <w:tcW w:w="1929" w:type="pct"/>
            <w:shd w:val="clear" w:color="auto" w:fill="auto"/>
            <w:vAlign w:val="center"/>
            <w:hideMark/>
          </w:tcPr>
          <w:p w14:paraId="7F0CDCB8" w14:textId="77777777" w:rsidR="00615941" w:rsidRPr="0009028A" w:rsidRDefault="00615941"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Gastos por intereses</w:t>
            </w:r>
          </w:p>
        </w:tc>
        <w:tc>
          <w:tcPr>
            <w:tcW w:w="786" w:type="pct"/>
            <w:shd w:val="clear" w:color="auto" w:fill="auto"/>
            <w:vAlign w:val="center"/>
            <w:hideMark/>
          </w:tcPr>
          <w:p w14:paraId="2B7C6D97"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10.423.087</w:t>
            </w:r>
          </w:p>
        </w:tc>
        <w:tc>
          <w:tcPr>
            <w:tcW w:w="786" w:type="pct"/>
            <w:shd w:val="clear" w:color="auto" w:fill="auto"/>
            <w:vAlign w:val="center"/>
            <w:hideMark/>
          </w:tcPr>
          <w:p w14:paraId="5F84FF50"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17.782.180</w:t>
            </w:r>
          </w:p>
        </w:tc>
        <w:tc>
          <w:tcPr>
            <w:tcW w:w="715" w:type="pct"/>
            <w:shd w:val="clear" w:color="auto" w:fill="auto"/>
            <w:vAlign w:val="center"/>
            <w:hideMark/>
          </w:tcPr>
          <w:p w14:paraId="0C438884"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1.036.873</w:t>
            </w:r>
          </w:p>
        </w:tc>
        <w:tc>
          <w:tcPr>
            <w:tcW w:w="784" w:type="pct"/>
            <w:shd w:val="clear" w:color="auto" w:fill="auto"/>
            <w:vAlign w:val="center"/>
            <w:hideMark/>
          </w:tcPr>
          <w:p w14:paraId="15D8EB60"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19.518</w:t>
            </w:r>
          </w:p>
        </w:tc>
      </w:tr>
      <w:tr w:rsidR="00A46124" w:rsidRPr="0009028A" w14:paraId="7C676146" w14:textId="77777777" w:rsidTr="0067119C">
        <w:trPr>
          <w:trHeight w:val="68"/>
        </w:trPr>
        <w:tc>
          <w:tcPr>
            <w:tcW w:w="1929" w:type="pct"/>
            <w:shd w:val="clear" w:color="auto" w:fill="auto"/>
            <w:vAlign w:val="center"/>
            <w:hideMark/>
          </w:tcPr>
          <w:p w14:paraId="1B412CA7" w14:textId="77777777" w:rsidR="00615941" w:rsidRPr="0009028A" w:rsidRDefault="00615941" w:rsidP="0061594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Gasto por el impuesto sobre las ganancias</w:t>
            </w:r>
          </w:p>
        </w:tc>
        <w:tc>
          <w:tcPr>
            <w:tcW w:w="786" w:type="pct"/>
            <w:shd w:val="clear" w:color="auto" w:fill="auto"/>
            <w:vAlign w:val="center"/>
            <w:hideMark/>
          </w:tcPr>
          <w:p w14:paraId="2E5AD23E"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9.390.084</w:t>
            </w:r>
          </w:p>
        </w:tc>
        <w:tc>
          <w:tcPr>
            <w:tcW w:w="786" w:type="pct"/>
            <w:shd w:val="clear" w:color="auto" w:fill="auto"/>
            <w:vAlign w:val="center"/>
            <w:hideMark/>
          </w:tcPr>
          <w:p w14:paraId="6D406A9D" w14:textId="77777777" w:rsidR="00615941" w:rsidRPr="0009028A" w:rsidRDefault="00A46124"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w:t>
            </w:r>
            <w:r w:rsidR="00615941" w:rsidRPr="0009028A">
              <w:rPr>
                <w:rFonts w:ascii="Arial" w:eastAsia="Times New Roman" w:hAnsi="Arial" w:cs="Arial"/>
                <w:color w:val="000000"/>
                <w:sz w:val="18"/>
                <w:szCs w:val="18"/>
                <w:lang w:eastAsia="es-CO"/>
              </w:rPr>
              <w:t>410.759</w:t>
            </w:r>
            <w:r w:rsidRPr="0009028A">
              <w:rPr>
                <w:rFonts w:ascii="Arial" w:eastAsia="Times New Roman" w:hAnsi="Arial" w:cs="Arial"/>
                <w:color w:val="000000"/>
                <w:sz w:val="18"/>
                <w:szCs w:val="18"/>
                <w:lang w:eastAsia="es-CO"/>
              </w:rPr>
              <w:t>)</w:t>
            </w:r>
          </w:p>
        </w:tc>
        <w:tc>
          <w:tcPr>
            <w:tcW w:w="715" w:type="pct"/>
            <w:shd w:val="clear" w:color="auto" w:fill="auto"/>
            <w:vAlign w:val="center"/>
            <w:hideMark/>
          </w:tcPr>
          <w:p w14:paraId="5B46FDEC" w14:textId="77777777" w:rsidR="00615941" w:rsidRPr="0009028A" w:rsidRDefault="00615941"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w:t>
            </w:r>
          </w:p>
        </w:tc>
        <w:tc>
          <w:tcPr>
            <w:tcW w:w="784" w:type="pct"/>
            <w:shd w:val="clear" w:color="auto" w:fill="auto"/>
            <w:vAlign w:val="center"/>
            <w:hideMark/>
          </w:tcPr>
          <w:p w14:paraId="4D882E5C" w14:textId="77777777" w:rsidR="00615941" w:rsidRPr="0009028A" w:rsidRDefault="00A46124" w:rsidP="0061594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w:t>
            </w:r>
            <w:r w:rsidR="00615941" w:rsidRPr="0009028A">
              <w:rPr>
                <w:rFonts w:ascii="Arial" w:eastAsia="Times New Roman" w:hAnsi="Arial" w:cs="Arial"/>
                <w:color w:val="000000"/>
                <w:sz w:val="18"/>
                <w:szCs w:val="18"/>
                <w:lang w:eastAsia="es-CO"/>
              </w:rPr>
              <w:t>395.065</w:t>
            </w:r>
            <w:r w:rsidRPr="0009028A">
              <w:rPr>
                <w:rFonts w:ascii="Arial" w:eastAsia="Times New Roman" w:hAnsi="Arial" w:cs="Arial"/>
                <w:color w:val="000000"/>
                <w:sz w:val="18"/>
                <w:szCs w:val="18"/>
                <w:lang w:eastAsia="es-CO"/>
              </w:rPr>
              <w:t>)</w:t>
            </w:r>
          </w:p>
        </w:tc>
      </w:tr>
    </w:tbl>
    <w:p w14:paraId="250BC32D" w14:textId="77777777" w:rsidR="000B44E0" w:rsidRPr="0009028A" w:rsidRDefault="000B44E0" w:rsidP="00C46D94">
      <w:pPr>
        <w:rPr>
          <w:rFonts w:ascii="Arial" w:hAnsi="Arial" w:cs="Arial"/>
        </w:rPr>
      </w:pPr>
    </w:p>
    <w:p w14:paraId="4F4B5BDB" w14:textId="0E9FCF9B" w:rsidR="00821422" w:rsidRPr="0009028A" w:rsidRDefault="00835D2D" w:rsidP="00821422">
      <w:pPr>
        <w:pStyle w:val="Ttulo2"/>
        <w:spacing w:afterAutospacing="0"/>
        <w:rPr>
          <w:rFonts w:ascii="Arial" w:hAnsi="Arial" w:cs="Arial"/>
        </w:rPr>
      </w:pPr>
      <w:bookmarkStart w:id="298" w:name="_Toc8735104"/>
      <w:r w:rsidRPr="0009028A">
        <w:rPr>
          <w:rFonts w:ascii="Arial" w:hAnsi="Arial" w:cs="Arial"/>
        </w:rPr>
        <w:t>1</w:t>
      </w:r>
      <w:r w:rsidR="00964E83">
        <w:rPr>
          <w:rFonts w:ascii="Arial" w:hAnsi="Arial" w:cs="Arial"/>
        </w:rPr>
        <w:t>1</w:t>
      </w:r>
      <w:r w:rsidR="00821422" w:rsidRPr="0009028A">
        <w:rPr>
          <w:rFonts w:ascii="Arial" w:hAnsi="Arial" w:cs="Arial"/>
        </w:rPr>
        <w:t>.5 Restricciones y compromisos significativos</w:t>
      </w:r>
      <w:bookmarkEnd w:id="298"/>
      <w:r w:rsidR="00821422" w:rsidRPr="0009028A">
        <w:rPr>
          <w:rFonts w:ascii="Arial" w:hAnsi="Arial" w:cs="Arial"/>
        </w:rPr>
        <w:t xml:space="preserve">  </w:t>
      </w:r>
    </w:p>
    <w:p w14:paraId="190FB77A" w14:textId="77777777" w:rsidR="00821422" w:rsidRPr="0009028A" w:rsidRDefault="00821422" w:rsidP="00821422">
      <w:pPr>
        <w:spacing w:after="0"/>
        <w:jc w:val="both"/>
        <w:rPr>
          <w:rFonts w:ascii="Arial" w:hAnsi="Arial" w:cs="Arial"/>
          <w:color w:val="000000"/>
          <w:sz w:val="20"/>
          <w:szCs w:val="20"/>
          <w:lang w:val="es-ES"/>
        </w:rPr>
      </w:pPr>
    </w:p>
    <w:p w14:paraId="0AFE91C6" w14:textId="02BF4876" w:rsidR="00821422" w:rsidRPr="0009028A" w:rsidRDefault="00821422" w:rsidP="00821422">
      <w:pPr>
        <w:spacing w:after="0"/>
        <w:jc w:val="both"/>
        <w:rPr>
          <w:rFonts w:ascii="Arial" w:hAnsi="Arial" w:cs="Arial"/>
          <w:color w:val="000000"/>
          <w:sz w:val="20"/>
          <w:szCs w:val="20"/>
          <w:lang w:val="es-ES"/>
        </w:rPr>
      </w:pPr>
      <w:r w:rsidRPr="0009028A">
        <w:rPr>
          <w:rFonts w:ascii="Arial" w:hAnsi="Arial" w:cs="Arial"/>
          <w:color w:val="000000"/>
          <w:sz w:val="20"/>
          <w:szCs w:val="20"/>
          <w:lang w:val="es-ES"/>
        </w:rPr>
        <w:t xml:space="preserve">No existen restricciones significativas sobre la capacidad de los negocios conjuntos y </w:t>
      </w:r>
      <w:r w:rsidR="005744AF" w:rsidRPr="0009028A">
        <w:rPr>
          <w:rFonts w:ascii="Arial" w:hAnsi="Arial" w:cs="Arial"/>
          <w:color w:val="000000"/>
          <w:sz w:val="20"/>
          <w:szCs w:val="20"/>
          <w:lang w:val="es-ES"/>
        </w:rPr>
        <w:t xml:space="preserve">Compañías </w:t>
      </w:r>
      <w:r w:rsidRPr="0009028A">
        <w:rPr>
          <w:rFonts w:ascii="Arial" w:hAnsi="Arial" w:cs="Arial"/>
          <w:color w:val="000000"/>
          <w:sz w:val="20"/>
          <w:szCs w:val="20"/>
          <w:lang w:val="es-ES"/>
        </w:rPr>
        <w:t>asociadas para transferir fondos por dividendos, reembolso de préstamos, anticipos u otros. Asimismo, no se tienen compromisos no recono</w:t>
      </w:r>
      <w:r w:rsidR="00703DFE">
        <w:rPr>
          <w:rFonts w:ascii="Arial" w:hAnsi="Arial" w:cs="Arial"/>
          <w:color w:val="000000"/>
          <w:sz w:val="20"/>
          <w:szCs w:val="20"/>
          <w:lang w:val="es-ES"/>
        </w:rPr>
        <w:t>cidos con negocios conjuntos y C</w:t>
      </w:r>
      <w:r w:rsidRPr="0009028A">
        <w:rPr>
          <w:rFonts w:ascii="Arial" w:hAnsi="Arial" w:cs="Arial"/>
          <w:color w:val="000000"/>
          <w:sz w:val="20"/>
          <w:szCs w:val="20"/>
          <w:lang w:val="es-ES"/>
        </w:rPr>
        <w:t>ompañías asociadas a 3</w:t>
      </w:r>
      <w:r w:rsidR="005744AF" w:rsidRPr="0009028A">
        <w:rPr>
          <w:rFonts w:ascii="Arial" w:hAnsi="Arial" w:cs="Arial"/>
          <w:color w:val="000000"/>
          <w:sz w:val="20"/>
          <w:szCs w:val="20"/>
          <w:lang w:val="es-ES"/>
        </w:rPr>
        <w:t>1</w:t>
      </w:r>
      <w:r w:rsidRPr="0009028A">
        <w:rPr>
          <w:rFonts w:ascii="Arial" w:hAnsi="Arial" w:cs="Arial"/>
          <w:color w:val="000000"/>
          <w:sz w:val="20"/>
          <w:szCs w:val="20"/>
          <w:lang w:val="es-ES"/>
        </w:rPr>
        <w:t xml:space="preserve"> de </w:t>
      </w:r>
      <w:r w:rsidR="006B2613" w:rsidRPr="0009028A">
        <w:rPr>
          <w:rFonts w:ascii="Arial" w:hAnsi="Arial" w:cs="Arial"/>
          <w:color w:val="000000"/>
          <w:sz w:val="20"/>
          <w:szCs w:val="20"/>
          <w:lang w:val="es-ES"/>
        </w:rPr>
        <w:t>marzo de 2019</w:t>
      </w:r>
      <w:r w:rsidRPr="0009028A">
        <w:rPr>
          <w:rFonts w:ascii="Arial" w:hAnsi="Arial" w:cs="Arial"/>
          <w:color w:val="000000"/>
          <w:sz w:val="20"/>
          <w:szCs w:val="20"/>
          <w:lang w:val="es-ES"/>
        </w:rPr>
        <w:t xml:space="preserve"> que pueden dar lugar a salidas de efectivo u otros recursos en el futuro, tales como: aportación de fondos o recursos, compromisos de préstamos o apoyo financiero, compromisos de adquirir una participación en la asociada o negocio conjunto de otra parte.</w:t>
      </w:r>
    </w:p>
    <w:p w14:paraId="632B1339" w14:textId="77777777" w:rsidR="00821422" w:rsidRPr="0009028A" w:rsidRDefault="00821422" w:rsidP="00821422">
      <w:pPr>
        <w:spacing w:after="0"/>
        <w:jc w:val="both"/>
        <w:rPr>
          <w:rFonts w:ascii="Arial" w:hAnsi="Arial" w:cs="Arial"/>
          <w:color w:val="000000"/>
          <w:sz w:val="20"/>
          <w:szCs w:val="20"/>
          <w:highlight w:val="yellow"/>
          <w:lang w:val="es-ES"/>
        </w:rPr>
      </w:pPr>
    </w:p>
    <w:p w14:paraId="068D57B0" w14:textId="0909A136" w:rsidR="00656587" w:rsidRPr="0009028A" w:rsidRDefault="00656587" w:rsidP="00821422">
      <w:pPr>
        <w:spacing w:after="0"/>
        <w:jc w:val="both"/>
        <w:rPr>
          <w:rFonts w:ascii="Arial" w:hAnsi="Arial" w:cs="Arial"/>
          <w:color w:val="000000"/>
          <w:sz w:val="20"/>
          <w:szCs w:val="20"/>
        </w:rPr>
      </w:pPr>
      <w:r w:rsidRPr="0009028A">
        <w:rPr>
          <w:rFonts w:ascii="Arial" w:hAnsi="Arial" w:cs="Arial"/>
          <w:color w:val="000000"/>
          <w:sz w:val="20"/>
          <w:szCs w:val="20"/>
          <w:lang w:val="es-ES"/>
        </w:rPr>
        <w:t>Las inversiones en negocios conjunto</w:t>
      </w:r>
      <w:r w:rsidR="00A43D62" w:rsidRPr="0009028A">
        <w:rPr>
          <w:rFonts w:ascii="Arial" w:hAnsi="Arial" w:cs="Arial"/>
          <w:color w:val="000000"/>
          <w:sz w:val="20"/>
          <w:szCs w:val="20"/>
          <w:lang w:val="es-ES"/>
        </w:rPr>
        <w:t>s</w:t>
      </w:r>
      <w:r w:rsidRPr="0009028A">
        <w:rPr>
          <w:rFonts w:ascii="Arial" w:hAnsi="Arial" w:cs="Arial"/>
          <w:color w:val="000000"/>
          <w:sz w:val="20"/>
          <w:szCs w:val="20"/>
          <w:lang w:val="es-ES"/>
        </w:rPr>
        <w:t xml:space="preserve"> y asociadas no constituyen garantía para pasi</w:t>
      </w:r>
      <w:r w:rsidRPr="0009028A">
        <w:rPr>
          <w:rFonts w:ascii="Arial" w:hAnsi="Arial" w:cs="Arial"/>
          <w:color w:val="000000"/>
          <w:sz w:val="20"/>
          <w:szCs w:val="20"/>
        </w:rPr>
        <w:t>vos de la Compañía.</w:t>
      </w:r>
    </w:p>
    <w:p w14:paraId="532B1224" w14:textId="77777777" w:rsidR="001A0B25" w:rsidRPr="0009028A" w:rsidRDefault="001A0B25" w:rsidP="00560263">
      <w:pPr>
        <w:spacing w:after="0"/>
        <w:jc w:val="both"/>
        <w:rPr>
          <w:rFonts w:ascii="Arial" w:eastAsia="Arial" w:hAnsi="Arial" w:cs="Arial"/>
          <w:spacing w:val="-1"/>
          <w:sz w:val="20"/>
          <w:szCs w:val="20"/>
          <w:lang w:val="es-AR"/>
        </w:rPr>
      </w:pPr>
    </w:p>
    <w:p w14:paraId="2F8115A1" w14:textId="342B76C5" w:rsidR="008B5836" w:rsidRPr="00D100F1" w:rsidRDefault="00D22FC1" w:rsidP="00D100F1">
      <w:pPr>
        <w:pStyle w:val="Ttulo1"/>
      </w:pPr>
      <w:bookmarkStart w:id="299" w:name="_Toc506991928"/>
      <w:bookmarkStart w:id="300" w:name="_Toc8735105"/>
      <w:bookmarkStart w:id="301" w:name="_Hlk513020781"/>
      <w:r w:rsidRPr="0009028A">
        <w:t>Nota 1</w:t>
      </w:r>
      <w:r w:rsidR="00964E83">
        <w:t>2</w:t>
      </w:r>
      <w:r w:rsidRPr="0009028A">
        <w:t>: Inversiones en subsidiarias</w:t>
      </w:r>
      <w:bookmarkEnd w:id="299"/>
      <w:bookmarkEnd w:id="300"/>
    </w:p>
    <w:p w14:paraId="06277D36" w14:textId="11D5EED3" w:rsidR="008B5836" w:rsidRPr="0009028A" w:rsidRDefault="00172BC9" w:rsidP="008C7EE5">
      <w:pPr>
        <w:pStyle w:val="Ttulo2"/>
        <w:spacing w:afterAutospacing="0"/>
        <w:rPr>
          <w:rFonts w:ascii="Arial" w:hAnsi="Arial" w:cs="Arial"/>
        </w:rPr>
      </w:pPr>
      <w:bookmarkStart w:id="302" w:name="_Toc506991929"/>
      <w:bookmarkStart w:id="303" w:name="_Toc8735106"/>
      <w:r w:rsidRPr="0009028A">
        <w:rPr>
          <w:rFonts w:ascii="Arial" w:hAnsi="Arial" w:cs="Arial"/>
        </w:rPr>
        <w:t>1</w:t>
      </w:r>
      <w:r w:rsidR="00964E83">
        <w:rPr>
          <w:rFonts w:ascii="Arial" w:hAnsi="Arial" w:cs="Arial"/>
        </w:rPr>
        <w:t>2</w:t>
      </w:r>
      <w:r w:rsidR="008B5836" w:rsidRPr="0009028A">
        <w:rPr>
          <w:rFonts w:ascii="Arial" w:hAnsi="Arial" w:cs="Arial"/>
        </w:rPr>
        <w:t xml:space="preserve">.1 Información </w:t>
      </w:r>
      <w:r w:rsidR="00703DFE">
        <w:rPr>
          <w:rFonts w:ascii="Arial" w:hAnsi="Arial" w:cs="Arial"/>
        </w:rPr>
        <w:t>general y objeto social de las C</w:t>
      </w:r>
      <w:r w:rsidR="008B5836" w:rsidRPr="0009028A">
        <w:rPr>
          <w:rFonts w:ascii="Arial" w:hAnsi="Arial" w:cs="Arial"/>
        </w:rPr>
        <w:t>ompañías subsidiarias</w:t>
      </w:r>
      <w:bookmarkEnd w:id="302"/>
      <w:bookmarkEnd w:id="303"/>
    </w:p>
    <w:p w14:paraId="33FB2B2D" w14:textId="77777777" w:rsidR="002A6175" w:rsidRPr="0009028A" w:rsidRDefault="002A6175" w:rsidP="002A6175">
      <w:pPr>
        <w:rPr>
          <w:rFonts w:ascii="Arial" w:hAnsi="Arial" w:cs="Arial"/>
        </w:rPr>
      </w:pPr>
    </w:p>
    <w:tbl>
      <w:tblPr>
        <w:tblW w:w="10146" w:type="dxa"/>
        <w:tblLayout w:type="fixed"/>
        <w:tblCellMar>
          <w:left w:w="70" w:type="dxa"/>
          <w:right w:w="70" w:type="dxa"/>
        </w:tblCellMar>
        <w:tblLook w:val="04A0" w:firstRow="1" w:lastRow="0" w:firstColumn="1" w:lastColumn="0" w:noHBand="0" w:noVBand="1"/>
      </w:tblPr>
      <w:tblGrid>
        <w:gridCol w:w="1701"/>
        <w:gridCol w:w="1134"/>
        <w:gridCol w:w="1191"/>
        <w:gridCol w:w="1871"/>
        <w:gridCol w:w="850"/>
        <w:gridCol w:w="992"/>
        <w:gridCol w:w="1181"/>
        <w:gridCol w:w="1226"/>
      </w:tblGrid>
      <w:tr w:rsidR="00656587" w:rsidRPr="0009028A" w14:paraId="22557987" w14:textId="77777777" w:rsidTr="008B3749">
        <w:trPr>
          <w:trHeight w:val="227"/>
        </w:trPr>
        <w:tc>
          <w:tcPr>
            <w:tcW w:w="1701" w:type="dxa"/>
            <w:shd w:val="clear" w:color="auto" w:fill="auto"/>
            <w:noWrap/>
            <w:vAlign w:val="center"/>
            <w:hideMark/>
          </w:tcPr>
          <w:p w14:paraId="45B43DC8" w14:textId="77777777" w:rsidR="00656587" w:rsidRPr="0009028A" w:rsidRDefault="00656587" w:rsidP="00DD7A9E">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Nombre de la subsidiaria </w:t>
            </w:r>
          </w:p>
        </w:tc>
        <w:tc>
          <w:tcPr>
            <w:tcW w:w="1134" w:type="dxa"/>
            <w:shd w:val="clear" w:color="auto" w:fill="auto"/>
            <w:vAlign w:val="center"/>
            <w:hideMark/>
          </w:tcPr>
          <w:p w14:paraId="2EB2F2BB" w14:textId="77777777" w:rsidR="00656587" w:rsidRPr="0009028A" w:rsidRDefault="00656587" w:rsidP="00DD7A9E">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Actividad principal</w:t>
            </w:r>
          </w:p>
        </w:tc>
        <w:tc>
          <w:tcPr>
            <w:tcW w:w="1191" w:type="dxa"/>
            <w:shd w:val="clear" w:color="auto" w:fill="auto"/>
            <w:vAlign w:val="center"/>
            <w:hideMark/>
          </w:tcPr>
          <w:p w14:paraId="2216B7F1" w14:textId="77777777" w:rsidR="00656587" w:rsidRPr="0009028A" w:rsidRDefault="00656587" w:rsidP="00DD7A9E">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Lugar de constitución y de operaciones</w:t>
            </w:r>
          </w:p>
        </w:tc>
        <w:tc>
          <w:tcPr>
            <w:tcW w:w="1871" w:type="dxa"/>
            <w:shd w:val="clear" w:color="auto" w:fill="auto"/>
            <w:vAlign w:val="center"/>
            <w:hideMark/>
          </w:tcPr>
          <w:p w14:paraId="5C9B6161" w14:textId="77777777" w:rsidR="00656587" w:rsidRPr="0009028A" w:rsidRDefault="00656587" w:rsidP="00DD7A9E">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Moneda funcional</w:t>
            </w:r>
          </w:p>
        </w:tc>
        <w:tc>
          <w:tcPr>
            <w:tcW w:w="1842" w:type="dxa"/>
            <w:gridSpan w:val="2"/>
            <w:shd w:val="clear" w:color="auto" w:fill="auto"/>
            <w:vAlign w:val="center"/>
            <w:hideMark/>
          </w:tcPr>
          <w:p w14:paraId="4FF3B55B" w14:textId="77777777" w:rsidR="00656587" w:rsidRPr="0009028A" w:rsidRDefault="00656587" w:rsidP="00DD7A9E">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Porción de la participación accionaria directa</w:t>
            </w:r>
          </w:p>
        </w:tc>
        <w:tc>
          <w:tcPr>
            <w:tcW w:w="2407" w:type="dxa"/>
            <w:gridSpan w:val="2"/>
            <w:shd w:val="clear" w:color="auto" w:fill="auto"/>
            <w:vAlign w:val="center"/>
            <w:hideMark/>
          </w:tcPr>
          <w:p w14:paraId="53814C35" w14:textId="77777777" w:rsidR="00656587" w:rsidRPr="0009028A" w:rsidRDefault="00656587" w:rsidP="00DD7A9E">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Valor en libros</w:t>
            </w:r>
          </w:p>
        </w:tc>
      </w:tr>
      <w:tr w:rsidR="00656587" w:rsidRPr="0009028A" w14:paraId="3AE73FDD" w14:textId="77777777" w:rsidTr="008B3749">
        <w:trPr>
          <w:trHeight w:val="227"/>
        </w:trPr>
        <w:tc>
          <w:tcPr>
            <w:tcW w:w="1701" w:type="dxa"/>
            <w:shd w:val="clear" w:color="auto" w:fill="auto"/>
            <w:noWrap/>
            <w:vAlign w:val="center"/>
            <w:hideMark/>
          </w:tcPr>
          <w:p w14:paraId="4423F594" w14:textId="271AADBA" w:rsidR="00656587" w:rsidRPr="0009028A" w:rsidRDefault="00656587" w:rsidP="00A01FEB">
            <w:pPr>
              <w:spacing w:after="0" w:line="240" w:lineRule="auto"/>
              <w:jc w:val="center"/>
              <w:rPr>
                <w:rFonts w:ascii="Arial" w:eastAsia="Times New Roman" w:hAnsi="Arial" w:cs="Arial"/>
                <w:b/>
                <w:bCs/>
                <w:color w:val="103475"/>
                <w:sz w:val="16"/>
                <w:szCs w:val="16"/>
                <w:lang w:eastAsia="es-CO"/>
              </w:rPr>
            </w:pPr>
          </w:p>
        </w:tc>
        <w:tc>
          <w:tcPr>
            <w:tcW w:w="1134" w:type="dxa"/>
            <w:shd w:val="clear" w:color="auto" w:fill="auto"/>
            <w:vAlign w:val="center"/>
            <w:hideMark/>
          </w:tcPr>
          <w:p w14:paraId="3290F7D2" w14:textId="4587763C" w:rsidR="00656587" w:rsidRPr="0009028A" w:rsidRDefault="00656587" w:rsidP="00A01FEB">
            <w:pPr>
              <w:spacing w:after="0" w:line="240" w:lineRule="auto"/>
              <w:jc w:val="center"/>
              <w:rPr>
                <w:rFonts w:ascii="Arial" w:eastAsia="Times New Roman" w:hAnsi="Arial" w:cs="Arial"/>
                <w:b/>
                <w:bCs/>
                <w:color w:val="103475"/>
                <w:sz w:val="16"/>
                <w:szCs w:val="16"/>
                <w:lang w:eastAsia="es-CO"/>
              </w:rPr>
            </w:pPr>
          </w:p>
        </w:tc>
        <w:tc>
          <w:tcPr>
            <w:tcW w:w="1191" w:type="dxa"/>
            <w:shd w:val="clear" w:color="auto" w:fill="auto"/>
            <w:vAlign w:val="center"/>
            <w:hideMark/>
          </w:tcPr>
          <w:p w14:paraId="7E8010F2" w14:textId="78CFC871" w:rsidR="00656587" w:rsidRPr="0009028A" w:rsidRDefault="00656587" w:rsidP="00A01FEB">
            <w:pPr>
              <w:spacing w:after="0" w:line="240" w:lineRule="auto"/>
              <w:jc w:val="center"/>
              <w:rPr>
                <w:rFonts w:ascii="Arial" w:eastAsia="Times New Roman" w:hAnsi="Arial" w:cs="Arial"/>
                <w:b/>
                <w:bCs/>
                <w:color w:val="103475"/>
                <w:sz w:val="16"/>
                <w:szCs w:val="16"/>
                <w:lang w:eastAsia="es-CO"/>
              </w:rPr>
            </w:pPr>
          </w:p>
        </w:tc>
        <w:tc>
          <w:tcPr>
            <w:tcW w:w="1871" w:type="dxa"/>
            <w:shd w:val="clear" w:color="auto" w:fill="auto"/>
            <w:vAlign w:val="center"/>
            <w:hideMark/>
          </w:tcPr>
          <w:p w14:paraId="12171611" w14:textId="56497F6D" w:rsidR="00656587" w:rsidRPr="0009028A" w:rsidRDefault="00656587" w:rsidP="00A01FEB">
            <w:pPr>
              <w:spacing w:after="0" w:line="240" w:lineRule="auto"/>
              <w:jc w:val="center"/>
              <w:rPr>
                <w:rFonts w:ascii="Arial" w:eastAsia="Times New Roman" w:hAnsi="Arial" w:cs="Arial"/>
                <w:b/>
                <w:bCs/>
                <w:color w:val="103475"/>
                <w:sz w:val="16"/>
                <w:szCs w:val="16"/>
                <w:lang w:eastAsia="es-CO"/>
              </w:rPr>
            </w:pPr>
          </w:p>
        </w:tc>
        <w:tc>
          <w:tcPr>
            <w:tcW w:w="850" w:type="dxa"/>
            <w:shd w:val="clear" w:color="auto" w:fill="auto"/>
            <w:vAlign w:val="center"/>
            <w:hideMark/>
          </w:tcPr>
          <w:p w14:paraId="1AB65149" w14:textId="77777777" w:rsidR="00656587" w:rsidRPr="0009028A" w:rsidRDefault="00656587" w:rsidP="00A01FEB">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Marzo 2019</w:t>
            </w:r>
          </w:p>
        </w:tc>
        <w:tc>
          <w:tcPr>
            <w:tcW w:w="992" w:type="dxa"/>
            <w:shd w:val="clear" w:color="auto" w:fill="auto"/>
            <w:vAlign w:val="center"/>
            <w:hideMark/>
          </w:tcPr>
          <w:p w14:paraId="5F591F74" w14:textId="77777777" w:rsidR="00656587" w:rsidRPr="0009028A" w:rsidRDefault="00656587" w:rsidP="00A01FEB">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Diciembre 2018</w:t>
            </w:r>
          </w:p>
        </w:tc>
        <w:tc>
          <w:tcPr>
            <w:tcW w:w="1181" w:type="dxa"/>
            <w:shd w:val="clear" w:color="auto" w:fill="auto"/>
            <w:vAlign w:val="center"/>
            <w:hideMark/>
          </w:tcPr>
          <w:p w14:paraId="79189F58" w14:textId="77777777" w:rsidR="00656587" w:rsidRPr="0009028A" w:rsidRDefault="00656587" w:rsidP="00A01FEB">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Marzo 2019</w:t>
            </w:r>
          </w:p>
        </w:tc>
        <w:tc>
          <w:tcPr>
            <w:tcW w:w="1226" w:type="dxa"/>
            <w:shd w:val="clear" w:color="auto" w:fill="auto"/>
            <w:vAlign w:val="center"/>
            <w:hideMark/>
          </w:tcPr>
          <w:p w14:paraId="40A5FCFD" w14:textId="77777777" w:rsidR="00656587" w:rsidRPr="0009028A" w:rsidRDefault="00656587" w:rsidP="00A01FEB">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Diciembre 2018</w:t>
            </w:r>
          </w:p>
        </w:tc>
      </w:tr>
      <w:tr w:rsidR="00656587" w:rsidRPr="0009028A" w14:paraId="13A4F0A4" w14:textId="77777777" w:rsidTr="008B3749">
        <w:trPr>
          <w:trHeight w:val="227"/>
        </w:trPr>
        <w:tc>
          <w:tcPr>
            <w:tcW w:w="1701" w:type="dxa"/>
            <w:shd w:val="clear" w:color="auto" w:fill="auto"/>
            <w:vAlign w:val="center"/>
            <w:hideMark/>
          </w:tcPr>
          <w:p w14:paraId="5489E5D7"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Odinsa Holding Inc.</w:t>
            </w:r>
          </w:p>
        </w:tc>
        <w:tc>
          <w:tcPr>
            <w:tcW w:w="1134" w:type="dxa"/>
            <w:shd w:val="clear" w:color="auto" w:fill="auto"/>
            <w:vAlign w:val="center"/>
            <w:hideMark/>
          </w:tcPr>
          <w:p w14:paraId="494339CE"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Financiera </w:t>
            </w:r>
          </w:p>
        </w:tc>
        <w:tc>
          <w:tcPr>
            <w:tcW w:w="1191" w:type="dxa"/>
            <w:shd w:val="clear" w:color="auto" w:fill="auto"/>
            <w:noWrap/>
            <w:vAlign w:val="center"/>
            <w:hideMark/>
          </w:tcPr>
          <w:p w14:paraId="330D5F5D"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 Islas Vírgenes </w:t>
            </w:r>
          </w:p>
        </w:tc>
        <w:tc>
          <w:tcPr>
            <w:tcW w:w="1871" w:type="dxa"/>
            <w:shd w:val="clear" w:color="auto" w:fill="auto"/>
            <w:vAlign w:val="center"/>
            <w:hideMark/>
          </w:tcPr>
          <w:p w14:paraId="23105039"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Dólares de los Estados unidos de América</w:t>
            </w:r>
          </w:p>
        </w:tc>
        <w:tc>
          <w:tcPr>
            <w:tcW w:w="850" w:type="dxa"/>
            <w:shd w:val="clear" w:color="auto" w:fill="auto"/>
            <w:noWrap/>
            <w:vAlign w:val="center"/>
            <w:hideMark/>
          </w:tcPr>
          <w:p w14:paraId="43E26197"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100,00%</w:t>
            </w:r>
          </w:p>
        </w:tc>
        <w:tc>
          <w:tcPr>
            <w:tcW w:w="992" w:type="dxa"/>
            <w:shd w:val="clear" w:color="auto" w:fill="auto"/>
            <w:noWrap/>
            <w:vAlign w:val="center"/>
            <w:hideMark/>
          </w:tcPr>
          <w:p w14:paraId="5EC6B140"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100,00%</w:t>
            </w:r>
          </w:p>
        </w:tc>
        <w:tc>
          <w:tcPr>
            <w:tcW w:w="1181" w:type="dxa"/>
            <w:shd w:val="clear" w:color="auto" w:fill="auto"/>
            <w:noWrap/>
            <w:vAlign w:val="center"/>
            <w:hideMark/>
          </w:tcPr>
          <w:p w14:paraId="078AC476"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1.348.997.244</w:t>
            </w:r>
          </w:p>
        </w:tc>
        <w:tc>
          <w:tcPr>
            <w:tcW w:w="1226" w:type="dxa"/>
            <w:shd w:val="clear" w:color="auto" w:fill="auto"/>
            <w:noWrap/>
            <w:vAlign w:val="center"/>
            <w:hideMark/>
          </w:tcPr>
          <w:p w14:paraId="719F9F08"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1.395.292.781</w:t>
            </w:r>
          </w:p>
        </w:tc>
      </w:tr>
      <w:tr w:rsidR="00656587" w:rsidRPr="0009028A" w14:paraId="6F98712B" w14:textId="77777777" w:rsidTr="008B3749">
        <w:trPr>
          <w:trHeight w:val="227"/>
        </w:trPr>
        <w:tc>
          <w:tcPr>
            <w:tcW w:w="1701" w:type="dxa"/>
            <w:shd w:val="clear" w:color="auto" w:fill="auto"/>
            <w:vAlign w:val="center"/>
            <w:hideMark/>
          </w:tcPr>
          <w:p w14:paraId="39B08B6F"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Concesión Vial de los Llanos S.A.S.</w:t>
            </w:r>
          </w:p>
        </w:tc>
        <w:tc>
          <w:tcPr>
            <w:tcW w:w="1134" w:type="dxa"/>
            <w:shd w:val="clear" w:color="auto" w:fill="auto"/>
            <w:vAlign w:val="center"/>
            <w:hideMark/>
          </w:tcPr>
          <w:p w14:paraId="44E20295"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Construcción</w:t>
            </w:r>
          </w:p>
        </w:tc>
        <w:tc>
          <w:tcPr>
            <w:tcW w:w="1191" w:type="dxa"/>
            <w:shd w:val="clear" w:color="auto" w:fill="auto"/>
            <w:noWrap/>
            <w:vAlign w:val="center"/>
            <w:hideMark/>
          </w:tcPr>
          <w:p w14:paraId="2D89DF21"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 Colombia  </w:t>
            </w:r>
          </w:p>
        </w:tc>
        <w:tc>
          <w:tcPr>
            <w:tcW w:w="1871" w:type="dxa"/>
            <w:shd w:val="clear" w:color="auto" w:fill="auto"/>
            <w:vAlign w:val="center"/>
            <w:hideMark/>
          </w:tcPr>
          <w:p w14:paraId="1D41B607"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Pesos Colombianos</w:t>
            </w:r>
          </w:p>
        </w:tc>
        <w:tc>
          <w:tcPr>
            <w:tcW w:w="850" w:type="dxa"/>
            <w:shd w:val="clear" w:color="auto" w:fill="auto"/>
            <w:noWrap/>
            <w:vAlign w:val="center"/>
            <w:hideMark/>
          </w:tcPr>
          <w:p w14:paraId="7CF0F77E"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51,00%</w:t>
            </w:r>
          </w:p>
        </w:tc>
        <w:tc>
          <w:tcPr>
            <w:tcW w:w="992" w:type="dxa"/>
            <w:shd w:val="clear" w:color="auto" w:fill="auto"/>
            <w:noWrap/>
            <w:vAlign w:val="center"/>
            <w:hideMark/>
          </w:tcPr>
          <w:p w14:paraId="43538B85"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51,00%</w:t>
            </w:r>
          </w:p>
        </w:tc>
        <w:tc>
          <w:tcPr>
            <w:tcW w:w="1181" w:type="dxa"/>
            <w:shd w:val="clear" w:color="auto" w:fill="auto"/>
            <w:noWrap/>
            <w:vAlign w:val="center"/>
            <w:hideMark/>
          </w:tcPr>
          <w:p w14:paraId="771C32C6"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91.905.176</w:t>
            </w:r>
          </w:p>
        </w:tc>
        <w:tc>
          <w:tcPr>
            <w:tcW w:w="1226" w:type="dxa"/>
            <w:shd w:val="clear" w:color="auto" w:fill="auto"/>
            <w:noWrap/>
            <w:vAlign w:val="center"/>
            <w:hideMark/>
          </w:tcPr>
          <w:p w14:paraId="0FD4BE62"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92.273.799</w:t>
            </w:r>
          </w:p>
        </w:tc>
      </w:tr>
      <w:tr w:rsidR="00656587" w:rsidRPr="0009028A" w14:paraId="27A320A3" w14:textId="77777777" w:rsidTr="008B3749">
        <w:trPr>
          <w:trHeight w:val="227"/>
        </w:trPr>
        <w:tc>
          <w:tcPr>
            <w:tcW w:w="1701" w:type="dxa"/>
            <w:shd w:val="clear" w:color="auto" w:fill="auto"/>
            <w:vAlign w:val="center"/>
            <w:hideMark/>
          </w:tcPr>
          <w:p w14:paraId="463A67F8" w14:textId="77777777" w:rsidR="00656587" w:rsidRPr="0009028A" w:rsidRDefault="00656587" w:rsidP="00DD7A9E">
            <w:pPr>
              <w:spacing w:after="0" w:line="240" w:lineRule="auto"/>
              <w:rPr>
                <w:rFonts w:ascii="Arial" w:eastAsia="Times New Roman" w:hAnsi="Arial" w:cs="Arial"/>
                <w:color w:val="000000"/>
                <w:sz w:val="16"/>
                <w:szCs w:val="16"/>
                <w:lang w:val="en-US" w:eastAsia="es-CO"/>
              </w:rPr>
            </w:pPr>
            <w:r w:rsidRPr="0009028A">
              <w:rPr>
                <w:rFonts w:ascii="Arial" w:eastAsia="Times New Roman" w:hAnsi="Arial" w:cs="Arial"/>
                <w:color w:val="000000"/>
                <w:sz w:val="16"/>
                <w:szCs w:val="16"/>
                <w:lang w:val="en-US" w:eastAsia="es-CO"/>
              </w:rPr>
              <w:t xml:space="preserve">Caribbean Infraestructure Company N.V. </w:t>
            </w:r>
          </w:p>
        </w:tc>
        <w:tc>
          <w:tcPr>
            <w:tcW w:w="1134" w:type="dxa"/>
            <w:shd w:val="clear" w:color="auto" w:fill="auto"/>
            <w:vAlign w:val="center"/>
            <w:hideMark/>
          </w:tcPr>
          <w:p w14:paraId="49B37DEB"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Construcción</w:t>
            </w:r>
          </w:p>
        </w:tc>
        <w:tc>
          <w:tcPr>
            <w:tcW w:w="1191" w:type="dxa"/>
            <w:shd w:val="clear" w:color="auto" w:fill="auto"/>
            <w:noWrap/>
            <w:vAlign w:val="center"/>
            <w:hideMark/>
          </w:tcPr>
          <w:p w14:paraId="05F27EA2"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 Aruba </w:t>
            </w:r>
          </w:p>
        </w:tc>
        <w:tc>
          <w:tcPr>
            <w:tcW w:w="1871" w:type="dxa"/>
            <w:shd w:val="clear" w:color="auto" w:fill="auto"/>
            <w:vAlign w:val="center"/>
            <w:hideMark/>
          </w:tcPr>
          <w:p w14:paraId="42F0D3A9"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Dólares de los Estados unidos de América</w:t>
            </w:r>
          </w:p>
        </w:tc>
        <w:tc>
          <w:tcPr>
            <w:tcW w:w="850" w:type="dxa"/>
            <w:shd w:val="clear" w:color="auto" w:fill="auto"/>
            <w:noWrap/>
            <w:vAlign w:val="center"/>
            <w:hideMark/>
          </w:tcPr>
          <w:p w14:paraId="2BF4C6D3"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100,00%</w:t>
            </w:r>
          </w:p>
        </w:tc>
        <w:tc>
          <w:tcPr>
            <w:tcW w:w="992" w:type="dxa"/>
            <w:shd w:val="clear" w:color="auto" w:fill="auto"/>
            <w:noWrap/>
            <w:vAlign w:val="center"/>
            <w:hideMark/>
          </w:tcPr>
          <w:p w14:paraId="687C4A9E"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100,00%</w:t>
            </w:r>
          </w:p>
        </w:tc>
        <w:tc>
          <w:tcPr>
            <w:tcW w:w="1181" w:type="dxa"/>
            <w:shd w:val="clear" w:color="auto" w:fill="auto"/>
            <w:noWrap/>
            <w:vAlign w:val="center"/>
            <w:hideMark/>
          </w:tcPr>
          <w:p w14:paraId="0347718F"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49.512.117</w:t>
            </w:r>
          </w:p>
        </w:tc>
        <w:tc>
          <w:tcPr>
            <w:tcW w:w="1226" w:type="dxa"/>
            <w:shd w:val="clear" w:color="auto" w:fill="auto"/>
            <w:noWrap/>
            <w:vAlign w:val="center"/>
            <w:hideMark/>
          </w:tcPr>
          <w:p w14:paraId="66DC2C7A"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48.795.952</w:t>
            </w:r>
          </w:p>
        </w:tc>
      </w:tr>
      <w:tr w:rsidR="00656587" w:rsidRPr="0009028A" w14:paraId="4B8D2DB0" w14:textId="77777777" w:rsidTr="008B3749">
        <w:trPr>
          <w:trHeight w:val="227"/>
        </w:trPr>
        <w:tc>
          <w:tcPr>
            <w:tcW w:w="1701" w:type="dxa"/>
            <w:shd w:val="clear" w:color="auto" w:fill="auto"/>
            <w:vAlign w:val="center"/>
            <w:hideMark/>
          </w:tcPr>
          <w:p w14:paraId="3827CF4D"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Odinsa Proyectos e Inversiones S.A.</w:t>
            </w:r>
          </w:p>
        </w:tc>
        <w:tc>
          <w:tcPr>
            <w:tcW w:w="1134" w:type="dxa"/>
            <w:shd w:val="clear" w:color="auto" w:fill="auto"/>
            <w:vAlign w:val="center"/>
            <w:hideMark/>
          </w:tcPr>
          <w:p w14:paraId="6A489EC0"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Financiera </w:t>
            </w:r>
          </w:p>
        </w:tc>
        <w:tc>
          <w:tcPr>
            <w:tcW w:w="1191" w:type="dxa"/>
            <w:shd w:val="clear" w:color="auto" w:fill="auto"/>
            <w:noWrap/>
            <w:vAlign w:val="center"/>
            <w:hideMark/>
          </w:tcPr>
          <w:p w14:paraId="7EFF2D86"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 Colombia  </w:t>
            </w:r>
          </w:p>
        </w:tc>
        <w:tc>
          <w:tcPr>
            <w:tcW w:w="1871" w:type="dxa"/>
            <w:shd w:val="clear" w:color="auto" w:fill="auto"/>
            <w:vAlign w:val="center"/>
            <w:hideMark/>
          </w:tcPr>
          <w:p w14:paraId="1E825E99"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Pesos Colombianos</w:t>
            </w:r>
          </w:p>
        </w:tc>
        <w:tc>
          <w:tcPr>
            <w:tcW w:w="850" w:type="dxa"/>
            <w:shd w:val="clear" w:color="auto" w:fill="auto"/>
            <w:noWrap/>
            <w:vAlign w:val="center"/>
            <w:hideMark/>
          </w:tcPr>
          <w:p w14:paraId="0A73E33C"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99,66%</w:t>
            </w:r>
          </w:p>
        </w:tc>
        <w:tc>
          <w:tcPr>
            <w:tcW w:w="992" w:type="dxa"/>
            <w:shd w:val="clear" w:color="auto" w:fill="auto"/>
            <w:noWrap/>
            <w:vAlign w:val="center"/>
            <w:hideMark/>
          </w:tcPr>
          <w:p w14:paraId="1AE12B7F"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99,66%</w:t>
            </w:r>
          </w:p>
        </w:tc>
        <w:tc>
          <w:tcPr>
            <w:tcW w:w="1181" w:type="dxa"/>
            <w:shd w:val="clear" w:color="auto" w:fill="auto"/>
            <w:noWrap/>
            <w:vAlign w:val="center"/>
            <w:hideMark/>
          </w:tcPr>
          <w:p w14:paraId="4B4E718A"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31.969.203</w:t>
            </w:r>
          </w:p>
        </w:tc>
        <w:tc>
          <w:tcPr>
            <w:tcW w:w="1226" w:type="dxa"/>
            <w:shd w:val="clear" w:color="auto" w:fill="auto"/>
            <w:noWrap/>
            <w:vAlign w:val="center"/>
            <w:hideMark/>
          </w:tcPr>
          <w:p w14:paraId="1B66A323"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39.828.723</w:t>
            </w:r>
          </w:p>
        </w:tc>
      </w:tr>
      <w:tr w:rsidR="00656587" w:rsidRPr="0009028A" w14:paraId="32CE029B" w14:textId="77777777" w:rsidTr="008B3749">
        <w:trPr>
          <w:trHeight w:val="227"/>
        </w:trPr>
        <w:tc>
          <w:tcPr>
            <w:tcW w:w="1701" w:type="dxa"/>
            <w:shd w:val="clear" w:color="auto" w:fill="auto"/>
            <w:vAlign w:val="center"/>
            <w:hideMark/>
          </w:tcPr>
          <w:p w14:paraId="021E86B8"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Autopistas de los Llanos S.A.</w:t>
            </w:r>
          </w:p>
        </w:tc>
        <w:tc>
          <w:tcPr>
            <w:tcW w:w="1134" w:type="dxa"/>
            <w:shd w:val="clear" w:color="auto" w:fill="auto"/>
            <w:vAlign w:val="center"/>
            <w:hideMark/>
          </w:tcPr>
          <w:p w14:paraId="6822E2C9"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Construcción </w:t>
            </w:r>
          </w:p>
        </w:tc>
        <w:tc>
          <w:tcPr>
            <w:tcW w:w="1191" w:type="dxa"/>
            <w:shd w:val="clear" w:color="auto" w:fill="auto"/>
            <w:noWrap/>
            <w:vAlign w:val="center"/>
            <w:hideMark/>
          </w:tcPr>
          <w:p w14:paraId="1D631DBA"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 Colombia  </w:t>
            </w:r>
          </w:p>
        </w:tc>
        <w:tc>
          <w:tcPr>
            <w:tcW w:w="1871" w:type="dxa"/>
            <w:shd w:val="clear" w:color="auto" w:fill="auto"/>
            <w:vAlign w:val="center"/>
            <w:hideMark/>
          </w:tcPr>
          <w:p w14:paraId="7E7837D7"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Pesos Colombianos</w:t>
            </w:r>
          </w:p>
        </w:tc>
        <w:tc>
          <w:tcPr>
            <w:tcW w:w="850" w:type="dxa"/>
            <w:shd w:val="clear" w:color="auto" w:fill="auto"/>
            <w:noWrap/>
            <w:vAlign w:val="center"/>
            <w:hideMark/>
          </w:tcPr>
          <w:p w14:paraId="65033A0D"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68,46%</w:t>
            </w:r>
          </w:p>
        </w:tc>
        <w:tc>
          <w:tcPr>
            <w:tcW w:w="992" w:type="dxa"/>
            <w:shd w:val="clear" w:color="auto" w:fill="auto"/>
            <w:noWrap/>
            <w:vAlign w:val="center"/>
            <w:hideMark/>
          </w:tcPr>
          <w:p w14:paraId="47D6E3CE"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68,46%</w:t>
            </w:r>
          </w:p>
        </w:tc>
        <w:tc>
          <w:tcPr>
            <w:tcW w:w="1181" w:type="dxa"/>
            <w:shd w:val="clear" w:color="auto" w:fill="auto"/>
            <w:noWrap/>
            <w:vAlign w:val="center"/>
            <w:hideMark/>
          </w:tcPr>
          <w:p w14:paraId="19EE42EF"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8.592.659</w:t>
            </w:r>
          </w:p>
        </w:tc>
        <w:tc>
          <w:tcPr>
            <w:tcW w:w="1226" w:type="dxa"/>
            <w:shd w:val="clear" w:color="auto" w:fill="auto"/>
            <w:noWrap/>
            <w:vAlign w:val="center"/>
            <w:hideMark/>
          </w:tcPr>
          <w:p w14:paraId="648A9048"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8.646.954</w:t>
            </w:r>
          </w:p>
        </w:tc>
      </w:tr>
      <w:tr w:rsidR="00656587" w:rsidRPr="0009028A" w14:paraId="5B7BF118" w14:textId="77777777" w:rsidTr="008B3749">
        <w:trPr>
          <w:trHeight w:val="227"/>
        </w:trPr>
        <w:tc>
          <w:tcPr>
            <w:tcW w:w="1701" w:type="dxa"/>
            <w:shd w:val="clear" w:color="auto" w:fill="auto"/>
            <w:vAlign w:val="center"/>
            <w:hideMark/>
          </w:tcPr>
          <w:p w14:paraId="2446D618"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Consorcio Grupo Constructor Autopistas del Café </w:t>
            </w:r>
          </w:p>
        </w:tc>
        <w:tc>
          <w:tcPr>
            <w:tcW w:w="1134" w:type="dxa"/>
            <w:shd w:val="clear" w:color="auto" w:fill="auto"/>
            <w:vAlign w:val="center"/>
            <w:hideMark/>
          </w:tcPr>
          <w:p w14:paraId="4C900BC4"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Construcción </w:t>
            </w:r>
          </w:p>
        </w:tc>
        <w:tc>
          <w:tcPr>
            <w:tcW w:w="1191" w:type="dxa"/>
            <w:shd w:val="clear" w:color="auto" w:fill="auto"/>
            <w:noWrap/>
            <w:vAlign w:val="center"/>
            <w:hideMark/>
          </w:tcPr>
          <w:p w14:paraId="4D204F1F"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 Colombia  </w:t>
            </w:r>
          </w:p>
        </w:tc>
        <w:tc>
          <w:tcPr>
            <w:tcW w:w="1871" w:type="dxa"/>
            <w:shd w:val="clear" w:color="auto" w:fill="auto"/>
            <w:vAlign w:val="center"/>
            <w:hideMark/>
          </w:tcPr>
          <w:p w14:paraId="6B8827D5"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Pesos Colombianos</w:t>
            </w:r>
          </w:p>
        </w:tc>
        <w:tc>
          <w:tcPr>
            <w:tcW w:w="850" w:type="dxa"/>
            <w:shd w:val="clear" w:color="auto" w:fill="auto"/>
            <w:noWrap/>
            <w:vAlign w:val="center"/>
            <w:hideMark/>
          </w:tcPr>
          <w:p w14:paraId="616D12D5"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59,67%</w:t>
            </w:r>
          </w:p>
        </w:tc>
        <w:tc>
          <w:tcPr>
            <w:tcW w:w="992" w:type="dxa"/>
            <w:shd w:val="clear" w:color="auto" w:fill="auto"/>
            <w:noWrap/>
            <w:vAlign w:val="center"/>
            <w:hideMark/>
          </w:tcPr>
          <w:p w14:paraId="30786A58"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59,67%</w:t>
            </w:r>
          </w:p>
        </w:tc>
        <w:tc>
          <w:tcPr>
            <w:tcW w:w="1181" w:type="dxa"/>
            <w:shd w:val="clear" w:color="auto" w:fill="auto"/>
            <w:noWrap/>
            <w:vAlign w:val="center"/>
            <w:hideMark/>
          </w:tcPr>
          <w:p w14:paraId="16947A34"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6.945.274</w:t>
            </w:r>
          </w:p>
        </w:tc>
        <w:tc>
          <w:tcPr>
            <w:tcW w:w="1226" w:type="dxa"/>
            <w:shd w:val="clear" w:color="auto" w:fill="auto"/>
            <w:noWrap/>
            <w:vAlign w:val="center"/>
            <w:hideMark/>
          </w:tcPr>
          <w:p w14:paraId="5920D443"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6.302.709</w:t>
            </w:r>
          </w:p>
        </w:tc>
      </w:tr>
      <w:tr w:rsidR="00656587" w:rsidRPr="0009028A" w14:paraId="7E61BE72" w14:textId="77777777" w:rsidTr="008B3749">
        <w:trPr>
          <w:trHeight w:val="227"/>
        </w:trPr>
        <w:tc>
          <w:tcPr>
            <w:tcW w:w="1701" w:type="dxa"/>
            <w:shd w:val="clear" w:color="auto" w:fill="auto"/>
            <w:vAlign w:val="center"/>
            <w:hideMark/>
          </w:tcPr>
          <w:p w14:paraId="3CDD0EFE"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Constructora Bogotá Fase III S.A. - CONFASE</w:t>
            </w:r>
          </w:p>
        </w:tc>
        <w:tc>
          <w:tcPr>
            <w:tcW w:w="1134" w:type="dxa"/>
            <w:shd w:val="clear" w:color="auto" w:fill="auto"/>
            <w:vAlign w:val="center"/>
            <w:hideMark/>
          </w:tcPr>
          <w:p w14:paraId="079507FC"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Construcción </w:t>
            </w:r>
          </w:p>
        </w:tc>
        <w:tc>
          <w:tcPr>
            <w:tcW w:w="1191" w:type="dxa"/>
            <w:shd w:val="clear" w:color="auto" w:fill="auto"/>
            <w:noWrap/>
            <w:vAlign w:val="center"/>
            <w:hideMark/>
          </w:tcPr>
          <w:p w14:paraId="7B5FFCA0"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Colombia </w:t>
            </w:r>
          </w:p>
        </w:tc>
        <w:tc>
          <w:tcPr>
            <w:tcW w:w="1871" w:type="dxa"/>
            <w:shd w:val="clear" w:color="auto" w:fill="auto"/>
            <w:vAlign w:val="center"/>
            <w:hideMark/>
          </w:tcPr>
          <w:p w14:paraId="2C6B7B2A"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Pesos Colombianos</w:t>
            </w:r>
          </w:p>
        </w:tc>
        <w:tc>
          <w:tcPr>
            <w:tcW w:w="850" w:type="dxa"/>
            <w:shd w:val="clear" w:color="auto" w:fill="auto"/>
            <w:noWrap/>
            <w:vAlign w:val="center"/>
            <w:hideMark/>
          </w:tcPr>
          <w:p w14:paraId="3260C99C"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50,00%</w:t>
            </w:r>
          </w:p>
        </w:tc>
        <w:tc>
          <w:tcPr>
            <w:tcW w:w="992" w:type="dxa"/>
            <w:shd w:val="clear" w:color="auto" w:fill="auto"/>
            <w:noWrap/>
            <w:vAlign w:val="center"/>
            <w:hideMark/>
          </w:tcPr>
          <w:p w14:paraId="462326DC"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50,00%</w:t>
            </w:r>
          </w:p>
        </w:tc>
        <w:tc>
          <w:tcPr>
            <w:tcW w:w="1181" w:type="dxa"/>
            <w:shd w:val="clear" w:color="auto" w:fill="auto"/>
            <w:noWrap/>
            <w:vAlign w:val="center"/>
            <w:hideMark/>
          </w:tcPr>
          <w:p w14:paraId="4D96A0CF"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2.946.915</w:t>
            </w:r>
          </w:p>
        </w:tc>
        <w:tc>
          <w:tcPr>
            <w:tcW w:w="1226" w:type="dxa"/>
            <w:shd w:val="clear" w:color="auto" w:fill="auto"/>
            <w:noWrap/>
            <w:vAlign w:val="center"/>
            <w:hideMark/>
          </w:tcPr>
          <w:p w14:paraId="26A40BB4"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2.974.181</w:t>
            </w:r>
          </w:p>
        </w:tc>
      </w:tr>
      <w:tr w:rsidR="00656587" w:rsidRPr="0009028A" w14:paraId="5A38E9B6" w14:textId="77777777" w:rsidTr="008B3749">
        <w:trPr>
          <w:trHeight w:val="227"/>
        </w:trPr>
        <w:tc>
          <w:tcPr>
            <w:tcW w:w="1701" w:type="dxa"/>
            <w:shd w:val="clear" w:color="auto" w:fill="auto"/>
            <w:vAlign w:val="center"/>
            <w:hideMark/>
          </w:tcPr>
          <w:p w14:paraId="06D41540"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Odinsa Servicios S.A.S.</w:t>
            </w:r>
          </w:p>
        </w:tc>
        <w:tc>
          <w:tcPr>
            <w:tcW w:w="1134" w:type="dxa"/>
            <w:shd w:val="clear" w:color="auto" w:fill="auto"/>
            <w:vAlign w:val="center"/>
            <w:hideMark/>
          </w:tcPr>
          <w:p w14:paraId="113FF937"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Financiera </w:t>
            </w:r>
          </w:p>
        </w:tc>
        <w:tc>
          <w:tcPr>
            <w:tcW w:w="1191" w:type="dxa"/>
            <w:shd w:val="clear" w:color="auto" w:fill="auto"/>
            <w:noWrap/>
            <w:vAlign w:val="center"/>
            <w:hideMark/>
          </w:tcPr>
          <w:p w14:paraId="5E4878F6"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 Colombia  </w:t>
            </w:r>
          </w:p>
        </w:tc>
        <w:tc>
          <w:tcPr>
            <w:tcW w:w="1871" w:type="dxa"/>
            <w:shd w:val="clear" w:color="auto" w:fill="auto"/>
            <w:vAlign w:val="center"/>
            <w:hideMark/>
          </w:tcPr>
          <w:p w14:paraId="1D55683C"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Pesos Colombianos</w:t>
            </w:r>
          </w:p>
        </w:tc>
        <w:tc>
          <w:tcPr>
            <w:tcW w:w="850" w:type="dxa"/>
            <w:shd w:val="clear" w:color="auto" w:fill="auto"/>
            <w:noWrap/>
            <w:vAlign w:val="center"/>
            <w:hideMark/>
          </w:tcPr>
          <w:p w14:paraId="708C8ABA"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100,00%</w:t>
            </w:r>
          </w:p>
        </w:tc>
        <w:tc>
          <w:tcPr>
            <w:tcW w:w="992" w:type="dxa"/>
            <w:shd w:val="clear" w:color="auto" w:fill="auto"/>
            <w:noWrap/>
            <w:vAlign w:val="center"/>
            <w:hideMark/>
          </w:tcPr>
          <w:p w14:paraId="5AB305F8"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100,00%</w:t>
            </w:r>
          </w:p>
        </w:tc>
        <w:tc>
          <w:tcPr>
            <w:tcW w:w="1181" w:type="dxa"/>
            <w:shd w:val="clear" w:color="auto" w:fill="auto"/>
            <w:noWrap/>
            <w:vAlign w:val="center"/>
            <w:hideMark/>
          </w:tcPr>
          <w:p w14:paraId="20F8D370"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2.683.915</w:t>
            </w:r>
          </w:p>
        </w:tc>
        <w:tc>
          <w:tcPr>
            <w:tcW w:w="1226" w:type="dxa"/>
            <w:shd w:val="clear" w:color="auto" w:fill="auto"/>
            <w:noWrap/>
            <w:vAlign w:val="center"/>
            <w:hideMark/>
          </w:tcPr>
          <w:p w14:paraId="04D42916"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4.011.053</w:t>
            </w:r>
          </w:p>
        </w:tc>
      </w:tr>
      <w:tr w:rsidR="00656587" w:rsidRPr="0009028A" w14:paraId="34CF0C8D" w14:textId="77777777" w:rsidTr="008B3749">
        <w:trPr>
          <w:trHeight w:val="227"/>
        </w:trPr>
        <w:tc>
          <w:tcPr>
            <w:tcW w:w="1701" w:type="dxa"/>
            <w:shd w:val="clear" w:color="auto" w:fill="auto"/>
            <w:vAlign w:val="center"/>
            <w:hideMark/>
          </w:tcPr>
          <w:p w14:paraId="546AD836"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Boulevard Turístico del Atlántico S.A.</w:t>
            </w:r>
          </w:p>
        </w:tc>
        <w:tc>
          <w:tcPr>
            <w:tcW w:w="1134" w:type="dxa"/>
            <w:shd w:val="clear" w:color="auto" w:fill="auto"/>
            <w:vAlign w:val="center"/>
            <w:hideMark/>
          </w:tcPr>
          <w:p w14:paraId="21F57B71"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Construcción</w:t>
            </w:r>
          </w:p>
        </w:tc>
        <w:tc>
          <w:tcPr>
            <w:tcW w:w="1191" w:type="dxa"/>
            <w:shd w:val="clear" w:color="auto" w:fill="auto"/>
            <w:noWrap/>
            <w:vAlign w:val="center"/>
            <w:hideMark/>
          </w:tcPr>
          <w:p w14:paraId="618D6023"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 República Dominicana  </w:t>
            </w:r>
          </w:p>
        </w:tc>
        <w:tc>
          <w:tcPr>
            <w:tcW w:w="1871" w:type="dxa"/>
            <w:shd w:val="clear" w:color="auto" w:fill="auto"/>
            <w:vAlign w:val="center"/>
            <w:hideMark/>
          </w:tcPr>
          <w:p w14:paraId="07AE0080"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Dólares de los Estados unidos de América</w:t>
            </w:r>
          </w:p>
        </w:tc>
        <w:tc>
          <w:tcPr>
            <w:tcW w:w="850" w:type="dxa"/>
            <w:shd w:val="clear" w:color="auto" w:fill="auto"/>
            <w:noWrap/>
            <w:vAlign w:val="center"/>
            <w:hideMark/>
          </w:tcPr>
          <w:p w14:paraId="3955E38D"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0,50%</w:t>
            </w:r>
          </w:p>
        </w:tc>
        <w:tc>
          <w:tcPr>
            <w:tcW w:w="992" w:type="dxa"/>
            <w:shd w:val="clear" w:color="auto" w:fill="auto"/>
            <w:noWrap/>
            <w:vAlign w:val="center"/>
            <w:hideMark/>
          </w:tcPr>
          <w:p w14:paraId="2F0762C7"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0,50%</w:t>
            </w:r>
          </w:p>
        </w:tc>
        <w:tc>
          <w:tcPr>
            <w:tcW w:w="1181" w:type="dxa"/>
            <w:shd w:val="clear" w:color="auto" w:fill="auto"/>
            <w:noWrap/>
            <w:vAlign w:val="center"/>
            <w:hideMark/>
          </w:tcPr>
          <w:p w14:paraId="49653BDE"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2.133.071</w:t>
            </w:r>
          </w:p>
        </w:tc>
        <w:tc>
          <w:tcPr>
            <w:tcW w:w="1226" w:type="dxa"/>
            <w:shd w:val="clear" w:color="auto" w:fill="auto"/>
            <w:noWrap/>
            <w:vAlign w:val="center"/>
            <w:hideMark/>
          </w:tcPr>
          <w:p w14:paraId="4BB689BE"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2.144.199</w:t>
            </w:r>
          </w:p>
        </w:tc>
      </w:tr>
      <w:tr w:rsidR="00656587" w:rsidRPr="0009028A" w14:paraId="448E7968" w14:textId="77777777" w:rsidTr="008B3749">
        <w:trPr>
          <w:trHeight w:val="227"/>
        </w:trPr>
        <w:tc>
          <w:tcPr>
            <w:tcW w:w="1701" w:type="dxa"/>
            <w:shd w:val="clear" w:color="auto" w:fill="auto"/>
            <w:vAlign w:val="center"/>
            <w:hideMark/>
          </w:tcPr>
          <w:p w14:paraId="06213E7D"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Autopistas del Café S.A.</w:t>
            </w:r>
          </w:p>
        </w:tc>
        <w:tc>
          <w:tcPr>
            <w:tcW w:w="1134" w:type="dxa"/>
            <w:shd w:val="clear" w:color="auto" w:fill="auto"/>
            <w:vAlign w:val="center"/>
            <w:hideMark/>
          </w:tcPr>
          <w:p w14:paraId="4466FCE7"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Construcción</w:t>
            </w:r>
          </w:p>
        </w:tc>
        <w:tc>
          <w:tcPr>
            <w:tcW w:w="1191" w:type="dxa"/>
            <w:shd w:val="clear" w:color="auto" w:fill="auto"/>
            <w:noWrap/>
            <w:vAlign w:val="center"/>
            <w:hideMark/>
          </w:tcPr>
          <w:p w14:paraId="3E010C4D"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 Colombia  </w:t>
            </w:r>
          </w:p>
        </w:tc>
        <w:tc>
          <w:tcPr>
            <w:tcW w:w="1871" w:type="dxa"/>
            <w:shd w:val="clear" w:color="auto" w:fill="auto"/>
            <w:vAlign w:val="center"/>
            <w:hideMark/>
          </w:tcPr>
          <w:p w14:paraId="4941AC68"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Pesos Colombianos</w:t>
            </w:r>
          </w:p>
        </w:tc>
        <w:tc>
          <w:tcPr>
            <w:tcW w:w="850" w:type="dxa"/>
            <w:shd w:val="clear" w:color="auto" w:fill="auto"/>
            <w:noWrap/>
            <w:vAlign w:val="center"/>
            <w:hideMark/>
          </w:tcPr>
          <w:p w14:paraId="777FE1BA"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59,67%</w:t>
            </w:r>
          </w:p>
        </w:tc>
        <w:tc>
          <w:tcPr>
            <w:tcW w:w="992" w:type="dxa"/>
            <w:shd w:val="clear" w:color="auto" w:fill="auto"/>
            <w:noWrap/>
            <w:vAlign w:val="center"/>
            <w:hideMark/>
          </w:tcPr>
          <w:p w14:paraId="00039582"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59,67%</w:t>
            </w:r>
          </w:p>
        </w:tc>
        <w:tc>
          <w:tcPr>
            <w:tcW w:w="1181" w:type="dxa"/>
            <w:shd w:val="clear" w:color="auto" w:fill="auto"/>
            <w:noWrap/>
            <w:vAlign w:val="center"/>
            <w:hideMark/>
          </w:tcPr>
          <w:p w14:paraId="248B564C"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2.110.264</w:t>
            </w:r>
          </w:p>
        </w:tc>
        <w:tc>
          <w:tcPr>
            <w:tcW w:w="1226" w:type="dxa"/>
            <w:shd w:val="clear" w:color="auto" w:fill="auto"/>
            <w:noWrap/>
            <w:vAlign w:val="center"/>
            <w:hideMark/>
          </w:tcPr>
          <w:p w14:paraId="107A72B0"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12.651.679</w:t>
            </w:r>
          </w:p>
        </w:tc>
      </w:tr>
      <w:tr w:rsidR="00656587" w:rsidRPr="0009028A" w14:paraId="3EB55F5E" w14:textId="77777777" w:rsidTr="008B3749">
        <w:trPr>
          <w:trHeight w:val="227"/>
        </w:trPr>
        <w:tc>
          <w:tcPr>
            <w:tcW w:w="1701" w:type="dxa"/>
            <w:shd w:val="clear" w:color="auto" w:fill="auto"/>
            <w:vAlign w:val="center"/>
            <w:hideMark/>
          </w:tcPr>
          <w:p w14:paraId="28D4541A"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Autopista del Nordeste Cayman Ltd.</w:t>
            </w:r>
          </w:p>
        </w:tc>
        <w:tc>
          <w:tcPr>
            <w:tcW w:w="1134" w:type="dxa"/>
            <w:shd w:val="clear" w:color="auto" w:fill="auto"/>
            <w:vAlign w:val="center"/>
            <w:hideMark/>
          </w:tcPr>
          <w:p w14:paraId="74AB25FC"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Construcción</w:t>
            </w:r>
          </w:p>
        </w:tc>
        <w:tc>
          <w:tcPr>
            <w:tcW w:w="1191" w:type="dxa"/>
            <w:shd w:val="clear" w:color="auto" w:fill="auto"/>
            <w:noWrap/>
            <w:vAlign w:val="center"/>
            <w:hideMark/>
          </w:tcPr>
          <w:p w14:paraId="64DD2BC2"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 Cayman Islands </w:t>
            </w:r>
          </w:p>
        </w:tc>
        <w:tc>
          <w:tcPr>
            <w:tcW w:w="1871" w:type="dxa"/>
            <w:shd w:val="clear" w:color="auto" w:fill="auto"/>
            <w:vAlign w:val="center"/>
            <w:hideMark/>
          </w:tcPr>
          <w:p w14:paraId="13E48B05"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Dólares de los Estados unidos de América</w:t>
            </w:r>
          </w:p>
        </w:tc>
        <w:tc>
          <w:tcPr>
            <w:tcW w:w="850" w:type="dxa"/>
            <w:shd w:val="clear" w:color="auto" w:fill="auto"/>
            <w:noWrap/>
            <w:vAlign w:val="center"/>
            <w:hideMark/>
          </w:tcPr>
          <w:p w14:paraId="41B5F49D"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0,10%</w:t>
            </w:r>
          </w:p>
        </w:tc>
        <w:tc>
          <w:tcPr>
            <w:tcW w:w="992" w:type="dxa"/>
            <w:shd w:val="clear" w:color="auto" w:fill="auto"/>
            <w:noWrap/>
            <w:vAlign w:val="center"/>
            <w:hideMark/>
          </w:tcPr>
          <w:p w14:paraId="7C7614E8"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0,10%</w:t>
            </w:r>
          </w:p>
        </w:tc>
        <w:tc>
          <w:tcPr>
            <w:tcW w:w="1181" w:type="dxa"/>
            <w:shd w:val="clear" w:color="auto" w:fill="auto"/>
            <w:noWrap/>
            <w:vAlign w:val="center"/>
            <w:hideMark/>
          </w:tcPr>
          <w:p w14:paraId="590CFB5F"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781.274</w:t>
            </w:r>
          </w:p>
        </w:tc>
        <w:tc>
          <w:tcPr>
            <w:tcW w:w="1226" w:type="dxa"/>
            <w:shd w:val="clear" w:color="auto" w:fill="auto"/>
            <w:noWrap/>
            <w:vAlign w:val="center"/>
            <w:hideMark/>
          </w:tcPr>
          <w:p w14:paraId="62144559"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791.595</w:t>
            </w:r>
          </w:p>
        </w:tc>
      </w:tr>
      <w:tr w:rsidR="00656587" w:rsidRPr="0009028A" w14:paraId="0EE4D78D" w14:textId="77777777" w:rsidTr="008B3749">
        <w:trPr>
          <w:trHeight w:val="227"/>
        </w:trPr>
        <w:tc>
          <w:tcPr>
            <w:tcW w:w="1701" w:type="dxa"/>
            <w:shd w:val="clear" w:color="auto" w:fill="auto"/>
            <w:vAlign w:val="center"/>
            <w:hideMark/>
          </w:tcPr>
          <w:p w14:paraId="4F18728A"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JV Proyectos ADN S.A.</w:t>
            </w:r>
          </w:p>
        </w:tc>
        <w:tc>
          <w:tcPr>
            <w:tcW w:w="1134" w:type="dxa"/>
            <w:shd w:val="clear" w:color="auto" w:fill="auto"/>
            <w:vAlign w:val="center"/>
            <w:hideMark/>
          </w:tcPr>
          <w:p w14:paraId="77EEE65B"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Construcción</w:t>
            </w:r>
          </w:p>
        </w:tc>
        <w:tc>
          <w:tcPr>
            <w:tcW w:w="1191" w:type="dxa"/>
            <w:shd w:val="clear" w:color="auto" w:fill="auto"/>
            <w:noWrap/>
            <w:vAlign w:val="center"/>
            <w:hideMark/>
          </w:tcPr>
          <w:p w14:paraId="2308232D"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 República Dominicana  </w:t>
            </w:r>
          </w:p>
        </w:tc>
        <w:tc>
          <w:tcPr>
            <w:tcW w:w="1871" w:type="dxa"/>
            <w:shd w:val="clear" w:color="auto" w:fill="auto"/>
            <w:vAlign w:val="center"/>
            <w:hideMark/>
          </w:tcPr>
          <w:p w14:paraId="0A3A4167"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Dólares de los Estados unidos de América</w:t>
            </w:r>
          </w:p>
        </w:tc>
        <w:tc>
          <w:tcPr>
            <w:tcW w:w="850" w:type="dxa"/>
            <w:shd w:val="clear" w:color="auto" w:fill="auto"/>
            <w:noWrap/>
            <w:vAlign w:val="center"/>
            <w:hideMark/>
          </w:tcPr>
          <w:p w14:paraId="77EBCDE7"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0,50%</w:t>
            </w:r>
          </w:p>
        </w:tc>
        <w:tc>
          <w:tcPr>
            <w:tcW w:w="992" w:type="dxa"/>
            <w:shd w:val="clear" w:color="auto" w:fill="auto"/>
            <w:noWrap/>
            <w:vAlign w:val="center"/>
            <w:hideMark/>
          </w:tcPr>
          <w:p w14:paraId="2C470DAE"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0,50%</w:t>
            </w:r>
          </w:p>
        </w:tc>
        <w:tc>
          <w:tcPr>
            <w:tcW w:w="1181" w:type="dxa"/>
            <w:shd w:val="clear" w:color="auto" w:fill="auto"/>
            <w:noWrap/>
            <w:vAlign w:val="center"/>
            <w:hideMark/>
          </w:tcPr>
          <w:p w14:paraId="3CE4A24E"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57.188</w:t>
            </w:r>
          </w:p>
        </w:tc>
        <w:tc>
          <w:tcPr>
            <w:tcW w:w="1226" w:type="dxa"/>
            <w:shd w:val="clear" w:color="auto" w:fill="auto"/>
            <w:noWrap/>
            <w:vAlign w:val="center"/>
            <w:hideMark/>
          </w:tcPr>
          <w:p w14:paraId="2A3358DD"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56.045</w:t>
            </w:r>
          </w:p>
        </w:tc>
      </w:tr>
      <w:tr w:rsidR="00656587" w:rsidRPr="0009028A" w14:paraId="789DA8B8" w14:textId="77777777" w:rsidTr="008B3749">
        <w:trPr>
          <w:trHeight w:val="227"/>
        </w:trPr>
        <w:tc>
          <w:tcPr>
            <w:tcW w:w="1701" w:type="dxa"/>
            <w:shd w:val="clear" w:color="auto" w:fill="auto"/>
            <w:vAlign w:val="center"/>
            <w:hideMark/>
          </w:tcPr>
          <w:p w14:paraId="7C2DF7B6"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JV Proyectos BTA SRL </w:t>
            </w:r>
          </w:p>
        </w:tc>
        <w:tc>
          <w:tcPr>
            <w:tcW w:w="1134" w:type="dxa"/>
            <w:shd w:val="clear" w:color="auto" w:fill="auto"/>
            <w:vAlign w:val="center"/>
            <w:hideMark/>
          </w:tcPr>
          <w:p w14:paraId="0A8509DD"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Construcción</w:t>
            </w:r>
          </w:p>
        </w:tc>
        <w:tc>
          <w:tcPr>
            <w:tcW w:w="1191" w:type="dxa"/>
            <w:shd w:val="clear" w:color="auto" w:fill="auto"/>
            <w:noWrap/>
            <w:vAlign w:val="center"/>
            <w:hideMark/>
          </w:tcPr>
          <w:p w14:paraId="2CD829CB"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 República Dominicana  </w:t>
            </w:r>
          </w:p>
        </w:tc>
        <w:tc>
          <w:tcPr>
            <w:tcW w:w="1871" w:type="dxa"/>
            <w:shd w:val="clear" w:color="auto" w:fill="auto"/>
            <w:vAlign w:val="center"/>
            <w:hideMark/>
          </w:tcPr>
          <w:p w14:paraId="7BC827A9"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Dólares de los Estados unidos de América</w:t>
            </w:r>
          </w:p>
        </w:tc>
        <w:tc>
          <w:tcPr>
            <w:tcW w:w="850" w:type="dxa"/>
            <w:shd w:val="clear" w:color="auto" w:fill="auto"/>
            <w:noWrap/>
            <w:vAlign w:val="center"/>
            <w:hideMark/>
          </w:tcPr>
          <w:p w14:paraId="48A67335"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67,50%</w:t>
            </w:r>
          </w:p>
        </w:tc>
        <w:tc>
          <w:tcPr>
            <w:tcW w:w="992" w:type="dxa"/>
            <w:shd w:val="clear" w:color="auto" w:fill="auto"/>
            <w:noWrap/>
            <w:vAlign w:val="center"/>
            <w:hideMark/>
          </w:tcPr>
          <w:p w14:paraId="349E98FD"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67,50%</w:t>
            </w:r>
          </w:p>
        </w:tc>
        <w:tc>
          <w:tcPr>
            <w:tcW w:w="1181" w:type="dxa"/>
            <w:shd w:val="clear" w:color="auto" w:fill="auto"/>
            <w:noWrap/>
            <w:vAlign w:val="center"/>
            <w:hideMark/>
          </w:tcPr>
          <w:p w14:paraId="435FE87E"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50.971</w:t>
            </w:r>
          </w:p>
        </w:tc>
        <w:tc>
          <w:tcPr>
            <w:tcW w:w="1226" w:type="dxa"/>
            <w:shd w:val="clear" w:color="auto" w:fill="auto"/>
            <w:noWrap/>
            <w:vAlign w:val="center"/>
            <w:hideMark/>
          </w:tcPr>
          <w:p w14:paraId="516707A8"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52.156</w:t>
            </w:r>
          </w:p>
        </w:tc>
      </w:tr>
      <w:tr w:rsidR="00656587" w:rsidRPr="0009028A" w14:paraId="093AC64D" w14:textId="77777777" w:rsidTr="008B3749">
        <w:trPr>
          <w:trHeight w:val="227"/>
        </w:trPr>
        <w:tc>
          <w:tcPr>
            <w:tcW w:w="1701" w:type="dxa"/>
            <w:shd w:val="clear" w:color="auto" w:fill="auto"/>
            <w:vAlign w:val="center"/>
            <w:hideMark/>
          </w:tcPr>
          <w:p w14:paraId="535EA23D"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Autopista del Nordeste S.A.</w:t>
            </w:r>
          </w:p>
        </w:tc>
        <w:tc>
          <w:tcPr>
            <w:tcW w:w="1134" w:type="dxa"/>
            <w:shd w:val="clear" w:color="auto" w:fill="auto"/>
            <w:vAlign w:val="center"/>
            <w:hideMark/>
          </w:tcPr>
          <w:p w14:paraId="7082E0B0"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Construcción</w:t>
            </w:r>
          </w:p>
        </w:tc>
        <w:tc>
          <w:tcPr>
            <w:tcW w:w="1191" w:type="dxa"/>
            <w:shd w:val="clear" w:color="auto" w:fill="auto"/>
            <w:noWrap/>
            <w:vAlign w:val="center"/>
            <w:hideMark/>
          </w:tcPr>
          <w:p w14:paraId="67F2BAAB"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 xml:space="preserve"> República Dominicana  </w:t>
            </w:r>
          </w:p>
        </w:tc>
        <w:tc>
          <w:tcPr>
            <w:tcW w:w="1871" w:type="dxa"/>
            <w:shd w:val="clear" w:color="auto" w:fill="auto"/>
            <w:vAlign w:val="center"/>
            <w:hideMark/>
          </w:tcPr>
          <w:p w14:paraId="65F02057" w14:textId="77777777" w:rsidR="00656587" w:rsidRPr="0009028A" w:rsidRDefault="00656587" w:rsidP="00DD7A9E">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Dólares de los Estados unidos de América</w:t>
            </w:r>
          </w:p>
        </w:tc>
        <w:tc>
          <w:tcPr>
            <w:tcW w:w="850" w:type="dxa"/>
            <w:shd w:val="clear" w:color="auto" w:fill="auto"/>
            <w:noWrap/>
            <w:vAlign w:val="center"/>
            <w:hideMark/>
          </w:tcPr>
          <w:p w14:paraId="48158ADD"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0,01%</w:t>
            </w:r>
          </w:p>
        </w:tc>
        <w:tc>
          <w:tcPr>
            <w:tcW w:w="992" w:type="dxa"/>
            <w:shd w:val="clear" w:color="auto" w:fill="auto"/>
            <w:noWrap/>
            <w:vAlign w:val="center"/>
            <w:hideMark/>
          </w:tcPr>
          <w:p w14:paraId="7D7D1147"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0,01%</w:t>
            </w:r>
          </w:p>
        </w:tc>
        <w:tc>
          <w:tcPr>
            <w:tcW w:w="1181" w:type="dxa"/>
            <w:shd w:val="clear" w:color="auto" w:fill="auto"/>
            <w:noWrap/>
            <w:vAlign w:val="center"/>
            <w:hideMark/>
          </w:tcPr>
          <w:p w14:paraId="420CDE8F"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41.492</w:t>
            </w:r>
          </w:p>
        </w:tc>
        <w:tc>
          <w:tcPr>
            <w:tcW w:w="1226" w:type="dxa"/>
            <w:shd w:val="clear" w:color="auto" w:fill="auto"/>
            <w:noWrap/>
            <w:vAlign w:val="center"/>
            <w:hideMark/>
          </w:tcPr>
          <w:p w14:paraId="02C2E0E8" w14:textId="77777777" w:rsidR="00656587" w:rsidRPr="0009028A" w:rsidRDefault="00656587" w:rsidP="00DD7A9E">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42.006</w:t>
            </w:r>
          </w:p>
        </w:tc>
      </w:tr>
      <w:tr w:rsidR="00656587" w:rsidRPr="0009028A" w14:paraId="12C50129" w14:textId="77777777" w:rsidTr="008B3749">
        <w:trPr>
          <w:trHeight w:val="450"/>
        </w:trPr>
        <w:tc>
          <w:tcPr>
            <w:tcW w:w="1701" w:type="dxa"/>
            <w:vMerge w:val="restart"/>
            <w:shd w:val="clear" w:color="auto" w:fill="auto"/>
            <w:noWrap/>
            <w:vAlign w:val="center"/>
            <w:hideMark/>
          </w:tcPr>
          <w:p w14:paraId="2ED63D49" w14:textId="16222714" w:rsidR="00656587" w:rsidRPr="0009028A" w:rsidRDefault="00656587" w:rsidP="00DD7A9E">
            <w:pPr>
              <w:spacing w:after="0" w:line="240" w:lineRule="auto"/>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Tota</w:t>
            </w:r>
          </w:p>
        </w:tc>
        <w:tc>
          <w:tcPr>
            <w:tcW w:w="1134" w:type="dxa"/>
            <w:vMerge w:val="restart"/>
            <w:shd w:val="clear" w:color="auto" w:fill="auto"/>
            <w:noWrap/>
            <w:vAlign w:val="center"/>
            <w:hideMark/>
          </w:tcPr>
          <w:p w14:paraId="6BF9E4A9" w14:textId="77777777" w:rsidR="00656587" w:rsidRPr="0009028A" w:rsidRDefault="00656587" w:rsidP="00DD7A9E">
            <w:pPr>
              <w:spacing w:after="0" w:line="240" w:lineRule="auto"/>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 </w:t>
            </w:r>
          </w:p>
        </w:tc>
        <w:tc>
          <w:tcPr>
            <w:tcW w:w="1191" w:type="dxa"/>
            <w:vMerge w:val="restart"/>
            <w:shd w:val="clear" w:color="auto" w:fill="auto"/>
            <w:noWrap/>
            <w:vAlign w:val="center"/>
            <w:hideMark/>
          </w:tcPr>
          <w:p w14:paraId="6CC61F77" w14:textId="77777777" w:rsidR="00656587" w:rsidRPr="0009028A" w:rsidRDefault="00656587" w:rsidP="00DD7A9E">
            <w:pPr>
              <w:spacing w:after="0" w:line="240" w:lineRule="auto"/>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 </w:t>
            </w:r>
          </w:p>
        </w:tc>
        <w:tc>
          <w:tcPr>
            <w:tcW w:w="1871" w:type="dxa"/>
            <w:vMerge w:val="restart"/>
            <w:shd w:val="clear" w:color="auto" w:fill="auto"/>
            <w:noWrap/>
            <w:vAlign w:val="center"/>
            <w:hideMark/>
          </w:tcPr>
          <w:p w14:paraId="07B20867" w14:textId="77777777" w:rsidR="00656587" w:rsidRPr="0009028A" w:rsidRDefault="00656587" w:rsidP="00DD7A9E">
            <w:pPr>
              <w:spacing w:after="0" w:line="240" w:lineRule="auto"/>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 </w:t>
            </w:r>
          </w:p>
        </w:tc>
        <w:tc>
          <w:tcPr>
            <w:tcW w:w="850" w:type="dxa"/>
            <w:vMerge w:val="restart"/>
            <w:shd w:val="clear" w:color="auto" w:fill="auto"/>
            <w:noWrap/>
            <w:vAlign w:val="center"/>
            <w:hideMark/>
          </w:tcPr>
          <w:p w14:paraId="53F907BF" w14:textId="77777777" w:rsidR="00656587" w:rsidRPr="0009028A" w:rsidRDefault="00656587" w:rsidP="00DD7A9E">
            <w:pPr>
              <w:spacing w:after="0" w:line="240" w:lineRule="auto"/>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 </w:t>
            </w:r>
          </w:p>
        </w:tc>
        <w:tc>
          <w:tcPr>
            <w:tcW w:w="992" w:type="dxa"/>
            <w:vMerge w:val="restart"/>
            <w:shd w:val="clear" w:color="auto" w:fill="auto"/>
            <w:noWrap/>
            <w:vAlign w:val="center"/>
            <w:hideMark/>
          </w:tcPr>
          <w:p w14:paraId="13AB0A4C" w14:textId="77777777" w:rsidR="00656587" w:rsidRPr="0009028A" w:rsidRDefault="00656587" w:rsidP="00DD7A9E">
            <w:pPr>
              <w:spacing w:after="0" w:line="240" w:lineRule="auto"/>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 </w:t>
            </w:r>
          </w:p>
        </w:tc>
        <w:tc>
          <w:tcPr>
            <w:tcW w:w="1181" w:type="dxa"/>
            <w:vMerge w:val="restart"/>
            <w:shd w:val="clear" w:color="auto" w:fill="auto"/>
            <w:noWrap/>
            <w:vAlign w:val="center"/>
            <w:hideMark/>
          </w:tcPr>
          <w:p w14:paraId="23B6CC45" w14:textId="77777777" w:rsidR="00656587" w:rsidRPr="0009028A" w:rsidRDefault="00656587" w:rsidP="00DD7A9E">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1.548.726.763</w:t>
            </w:r>
          </w:p>
        </w:tc>
        <w:tc>
          <w:tcPr>
            <w:tcW w:w="1226" w:type="dxa"/>
            <w:vMerge w:val="restart"/>
            <w:shd w:val="clear" w:color="auto" w:fill="auto"/>
            <w:noWrap/>
            <w:vAlign w:val="center"/>
            <w:hideMark/>
          </w:tcPr>
          <w:p w14:paraId="36C7318F" w14:textId="77777777" w:rsidR="00656587" w:rsidRPr="0009028A" w:rsidRDefault="00656587" w:rsidP="00DD7A9E">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color w:val="103475"/>
                <w:sz w:val="16"/>
                <w:szCs w:val="16"/>
                <w:lang w:eastAsia="es-CO"/>
              </w:rPr>
              <w:t>1.613.863.832</w:t>
            </w:r>
          </w:p>
        </w:tc>
      </w:tr>
      <w:tr w:rsidR="00656587" w:rsidRPr="0009028A" w14:paraId="1FF1E67F" w14:textId="77777777" w:rsidTr="008B3749">
        <w:trPr>
          <w:trHeight w:val="450"/>
        </w:trPr>
        <w:tc>
          <w:tcPr>
            <w:tcW w:w="1701" w:type="dxa"/>
            <w:vMerge/>
            <w:shd w:val="clear" w:color="auto" w:fill="auto"/>
            <w:vAlign w:val="center"/>
            <w:hideMark/>
          </w:tcPr>
          <w:p w14:paraId="2ACA3CF1" w14:textId="77777777" w:rsidR="00656587" w:rsidRPr="0009028A" w:rsidRDefault="00656587" w:rsidP="00DD7A9E">
            <w:pPr>
              <w:spacing w:after="0" w:line="240" w:lineRule="auto"/>
              <w:rPr>
                <w:rFonts w:ascii="Arial" w:eastAsia="Times New Roman" w:hAnsi="Arial" w:cs="Arial"/>
                <w:b/>
                <w:bCs/>
                <w:color w:val="103475"/>
                <w:sz w:val="16"/>
                <w:szCs w:val="16"/>
                <w:lang w:eastAsia="es-CO"/>
              </w:rPr>
            </w:pPr>
          </w:p>
        </w:tc>
        <w:tc>
          <w:tcPr>
            <w:tcW w:w="1134" w:type="dxa"/>
            <w:vMerge/>
            <w:shd w:val="clear" w:color="auto" w:fill="auto"/>
            <w:vAlign w:val="center"/>
            <w:hideMark/>
          </w:tcPr>
          <w:p w14:paraId="2B90A220" w14:textId="77777777" w:rsidR="00656587" w:rsidRPr="0009028A" w:rsidRDefault="00656587" w:rsidP="00DD7A9E">
            <w:pPr>
              <w:spacing w:after="0" w:line="240" w:lineRule="auto"/>
              <w:rPr>
                <w:rFonts w:ascii="Arial" w:eastAsia="Times New Roman" w:hAnsi="Arial" w:cs="Arial"/>
                <w:b/>
                <w:bCs/>
                <w:color w:val="103475"/>
                <w:sz w:val="16"/>
                <w:szCs w:val="16"/>
                <w:lang w:eastAsia="es-CO"/>
              </w:rPr>
            </w:pPr>
          </w:p>
        </w:tc>
        <w:tc>
          <w:tcPr>
            <w:tcW w:w="1191" w:type="dxa"/>
            <w:vMerge/>
            <w:shd w:val="clear" w:color="auto" w:fill="auto"/>
            <w:vAlign w:val="center"/>
            <w:hideMark/>
          </w:tcPr>
          <w:p w14:paraId="66A85E6B" w14:textId="77777777" w:rsidR="00656587" w:rsidRPr="0009028A" w:rsidRDefault="00656587" w:rsidP="00DD7A9E">
            <w:pPr>
              <w:spacing w:after="0" w:line="240" w:lineRule="auto"/>
              <w:rPr>
                <w:rFonts w:ascii="Arial" w:eastAsia="Times New Roman" w:hAnsi="Arial" w:cs="Arial"/>
                <w:b/>
                <w:bCs/>
                <w:color w:val="103475"/>
                <w:sz w:val="16"/>
                <w:szCs w:val="16"/>
                <w:lang w:eastAsia="es-CO"/>
              </w:rPr>
            </w:pPr>
          </w:p>
        </w:tc>
        <w:tc>
          <w:tcPr>
            <w:tcW w:w="1871" w:type="dxa"/>
            <w:vMerge/>
            <w:shd w:val="clear" w:color="auto" w:fill="auto"/>
            <w:vAlign w:val="center"/>
            <w:hideMark/>
          </w:tcPr>
          <w:p w14:paraId="643B22EF" w14:textId="77777777" w:rsidR="00656587" w:rsidRPr="0009028A" w:rsidRDefault="00656587" w:rsidP="00DD7A9E">
            <w:pPr>
              <w:spacing w:after="0" w:line="240" w:lineRule="auto"/>
              <w:rPr>
                <w:rFonts w:ascii="Arial" w:eastAsia="Times New Roman" w:hAnsi="Arial" w:cs="Arial"/>
                <w:b/>
                <w:bCs/>
                <w:color w:val="103475"/>
                <w:sz w:val="16"/>
                <w:szCs w:val="16"/>
                <w:lang w:eastAsia="es-CO"/>
              </w:rPr>
            </w:pPr>
          </w:p>
        </w:tc>
        <w:tc>
          <w:tcPr>
            <w:tcW w:w="850" w:type="dxa"/>
            <w:vMerge/>
            <w:shd w:val="clear" w:color="auto" w:fill="auto"/>
            <w:vAlign w:val="center"/>
            <w:hideMark/>
          </w:tcPr>
          <w:p w14:paraId="4BB81286" w14:textId="77777777" w:rsidR="00656587" w:rsidRPr="0009028A" w:rsidRDefault="00656587" w:rsidP="00DD7A9E">
            <w:pPr>
              <w:spacing w:after="0" w:line="240" w:lineRule="auto"/>
              <w:rPr>
                <w:rFonts w:ascii="Arial" w:eastAsia="Times New Roman" w:hAnsi="Arial" w:cs="Arial"/>
                <w:b/>
                <w:bCs/>
                <w:color w:val="103475"/>
                <w:sz w:val="16"/>
                <w:szCs w:val="16"/>
                <w:lang w:eastAsia="es-CO"/>
              </w:rPr>
            </w:pPr>
          </w:p>
        </w:tc>
        <w:tc>
          <w:tcPr>
            <w:tcW w:w="992" w:type="dxa"/>
            <w:vMerge/>
            <w:shd w:val="clear" w:color="auto" w:fill="auto"/>
            <w:vAlign w:val="center"/>
            <w:hideMark/>
          </w:tcPr>
          <w:p w14:paraId="6FAB8780" w14:textId="77777777" w:rsidR="00656587" w:rsidRPr="0009028A" w:rsidRDefault="00656587" w:rsidP="00DD7A9E">
            <w:pPr>
              <w:spacing w:after="0" w:line="240" w:lineRule="auto"/>
              <w:rPr>
                <w:rFonts w:ascii="Arial" w:eastAsia="Times New Roman" w:hAnsi="Arial" w:cs="Arial"/>
                <w:b/>
                <w:bCs/>
                <w:color w:val="103475"/>
                <w:sz w:val="16"/>
                <w:szCs w:val="16"/>
                <w:lang w:eastAsia="es-CO"/>
              </w:rPr>
            </w:pPr>
          </w:p>
        </w:tc>
        <w:tc>
          <w:tcPr>
            <w:tcW w:w="1181" w:type="dxa"/>
            <w:vMerge/>
            <w:shd w:val="clear" w:color="auto" w:fill="auto"/>
            <w:vAlign w:val="center"/>
            <w:hideMark/>
          </w:tcPr>
          <w:p w14:paraId="227A3E20" w14:textId="77777777" w:rsidR="00656587" w:rsidRPr="0009028A" w:rsidRDefault="00656587" w:rsidP="00DD7A9E">
            <w:pPr>
              <w:spacing w:after="0" w:line="240" w:lineRule="auto"/>
              <w:rPr>
                <w:rFonts w:ascii="Arial" w:eastAsia="Times New Roman" w:hAnsi="Arial" w:cs="Arial"/>
                <w:b/>
                <w:bCs/>
                <w:color w:val="103475"/>
                <w:sz w:val="16"/>
                <w:szCs w:val="16"/>
                <w:lang w:eastAsia="es-CO"/>
              </w:rPr>
            </w:pPr>
          </w:p>
        </w:tc>
        <w:tc>
          <w:tcPr>
            <w:tcW w:w="1226" w:type="dxa"/>
            <w:vMerge/>
            <w:shd w:val="clear" w:color="auto" w:fill="auto"/>
            <w:vAlign w:val="center"/>
            <w:hideMark/>
          </w:tcPr>
          <w:p w14:paraId="46AE1895" w14:textId="77777777" w:rsidR="00656587" w:rsidRPr="0009028A" w:rsidRDefault="00656587" w:rsidP="00DD7A9E">
            <w:pPr>
              <w:spacing w:after="0" w:line="240" w:lineRule="auto"/>
              <w:rPr>
                <w:rFonts w:ascii="Arial" w:eastAsia="Times New Roman" w:hAnsi="Arial" w:cs="Arial"/>
                <w:b/>
                <w:bCs/>
                <w:color w:val="103475"/>
                <w:sz w:val="16"/>
                <w:szCs w:val="16"/>
                <w:lang w:eastAsia="es-CO"/>
              </w:rPr>
            </w:pPr>
          </w:p>
        </w:tc>
      </w:tr>
    </w:tbl>
    <w:p w14:paraId="717F19D3" w14:textId="77777777" w:rsidR="008B5836" w:rsidRPr="0009028A" w:rsidRDefault="008B5836" w:rsidP="00727CE5">
      <w:pPr>
        <w:rPr>
          <w:rFonts w:ascii="Arial" w:eastAsia="Arial" w:hAnsi="Arial" w:cs="Arial"/>
          <w:sz w:val="20"/>
          <w:szCs w:val="20"/>
          <w:lang w:val="es-AR"/>
        </w:rPr>
      </w:pPr>
      <w:r w:rsidRPr="0009028A">
        <w:rPr>
          <w:rFonts w:ascii="Arial" w:eastAsia="Arial" w:hAnsi="Arial" w:cs="Arial"/>
          <w:sz w:val="20"/>
          <w:szCs w:val="20"/>
          <w:lang w:val="es-AR"/>
        </w:rPr>
        <w:t>Las siguientes son las principales subsidiarias incluidas en los estados financieros de la Compañía:</w:t>
      </w:r>
    </w:p>
    <w:tbl>
      <w:tblPr>
        <w:tblW w:w="517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980"/>
        <w:gridCol w:w="1192"/>
        <w:gridCol w:w="7086"/>
      </w:tblGrid>
      <w:tr w:rsidR="00D8520F" w:rsidRPr="0009028A" w14:paraId="3AFBA870" w14:textId="77777777" w:rsidTr="00A076C1">
        <w:trPr>
          <w:trHeight w:val="315"/>
          <w:tblHeader/>
        </w:trPr>
        <w:tc>
          <w:tcPr>
            <w:tcW w:w="965" w:type="pct"/>
            <w:shd w:val="clear" w:color="auto" w:fill="auto"/>
            <w:vAlign w:val="center"/>
            <w:hideMark/>
          </w:tcPr>
          <w:p w14:paraId="340EAADD" w14:textId="77777777" w:rsidR="000A3D91" w:rsidRPr="0009028A" w:rsidRDefault="000A3D91" w:rsidP="000A3D91">
            <w:pPr>
              <w:spacing w:after="0" w:line="276" w:lineRule="auto"/>
              <w:jc w:val="center"/>
              <w:rPr>
                <w:rFonts w:ascii="Arial" w:eastAsia="Times New Roman" w:hAnsi="Arial" w:cs="Arial"/>
                <w:b/>
                <w:bCs/>
                <w:sz w:val="18"/>
                <w:szCs w:val="18"/>
                <w:lang w:val="es-419" w:eastAsia="es-419"/>
              </w:rPr>
            </w:pPr>
            <w:r w:rsidRPr="0009028A">
              <w:rPr>
                <w:rFonts w:ascii="Arial" w:eastAsia="Times New Roman" w:hAnsi="Arial" w:cs="Arial"/>
                <w:b/>
                <w:bCs/>
                <w:color w:val="103475"/>
                <w:sz w:val="18"/>
                <w:szCs w:val="18"/>
                <w:lang w:eastAsia="es-CO"/>
              </w:rPr>
              <w:t>Sociedad</w:t>
            </w:r>
          </w:p>
        </w:tc>
        <w:tc>
          <w:tcPr>
            <w:tcW w:w="581" w:type="pct"/>
            <w:shd w:val="clear" w:color="auto" w:fill="auto"/>
            <w:vAlign w:val="center"/>
            <w:hideMark/>
          </w:tcPr>
          <w:p w14:paraId="31BDB9D3" w14:textId="77777777" w:rsidR="000A3D91" w:rsidRPr="0009028A" w:rsidRDefault="000A3D91" w:rsidP="000A3D91">
            <w:pPr>
              <w:spacing w:after="0" w:line="276" w:lineRule="auto"/>
              <w:jc w:val="center"/>
              <w:rPr>
                <w:rFonts w:ascii="Arial" w:eastAsia="Times New Roman" w:hAnsi="Arial" w:cs="Arial"/>
                <w:b/>
                <w:bCs/>
                <w:sz w:val="18"/>
                <w:szCs w:val="18"/>
                <w:lang w:val="es-419" w:eastAsia="es-419"/>
              </w:rPr>
            </w:pPr>
            <w:r w:rsidRPr="0009028A">
              <w:rPr>
                <w:rFonts w:ascii="Arial" w:eastAsia="Times New Roman" w:hAnsi="Arial" w:cs="Arial"/>
                <w:b/>
                <w:bCs/>
                <w:color w:val="103475"/>
                <w:sz w:val="18"/>
                <w:szCs w:val="18"/>
                <w:lang w:eastAsia="es-CO"/>
              </w:rPr>
              <w:t>Tipo</w:t>
            </w:r>
          </w:p>
        </w:tc>
        <w:tc>
          <w:tcPr>
            <w:tcW w:w="3454" w:type="pct"/>
            <w:shd w:val="clear" w:color="auto" w:fill="auto"/>
            <w:vAlign w:val="center"/>
            <w:hideMark/>
          </w:tcPr>
          <w:p w14:paraId="568EAFD0" w14:textId="77777777" w:rsidR="000A3D91" w:rsidRPr="0009028A" w:rsidRDefault="000A3D91" w:rsidP="000A3D91">
            <w:pPr>
              <w:spacing w:after="0" w:line="276" w:lineRule="auto"/>
              <w:jc w:val="center"/>
              <w:rPr>
                <w:rFonts w:ascii="Arial" w:eastAsia="Times New Roman" w:hAnsi="Arial" w:cs="Arial"/>
                <w:b/>
                <w:bCs/>
                <w:sz w:val="18"/>
                <w:szCs w:val="18"/>
                <w:lang w:val="es-419" w:eastAsia="es-419"/>
              </w:rPr>
            </w:pPr>
            <w:r w:rsidRPr="0009028A">
              <w:rPr>
                <w:rFonts w:ascii="Arial" w:eastAsia="Times New Roman" w:hAnsi="Arial" w:cs="Arial"/>
                <w:b/>
                <w:bCs/>
                <w:color w:val="103475"/>
                <w:sz w:val="18"/>
                <w:szCs w:val="18"/>
                <w:lang w:eastAsia="es-CO"/>
              </w:rPr>
              <w:t>Actividad Principal</w:t>
            </w:r>
          </w:p>
        </w:tc>
      </w:tr>
      <w:tr w:rsidR="00D8520F" w:rsidRPr="0009028A" w14:paraId="74E134C0" w14:textId="77777777" w:rsidTr="00A076C1">
        <w:trPr>
          <w:trHeight w:val="525"/>
        </w:trPr>
        <w:tc>
          <w:tcPr>
            <w:tcW w:w="965" w:type="pct"/>
            <w:shd w:val="clear" w:color="auto" w:fill="auto"/>
            <w:vAlign w:val="center"/>
          </w:tcPr>
          <w:p w14:paraId="63799D6A" w14:textId="77777777" w:rsidR="00FE07DB" w:rsidRPr="0009028A" w:rsidRDefault="00FE07DB" w:rsidP="00FE07DB">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Odinsa Holding Inc</w:t>
            </w:r>
            <w:r w:rsidR="00485DEA" w:rsidRPr="0009028A">
              <w:rPr>
                <w:rFonts w:ascii="Arial" w:eastAsia="Times New Roman" w:hAnsi="Arial" w:cs="Arial"/>
                <w:color w:val="000000"/>
                <w:sz w:val="18"/>
                <w:szCs w:val="18"/>
                <w:lang w:val="es-ES" w:eastAsia="es-419"/>
              </w:rPr>
              <w:t>.</w:t>
            </w:r>
          </w:p>
        </w:tc>
        <w:tc>
          <w:tcPr>
            <w:tcW w:w="581" w:type="pct"/>
            <w:shd w:val="clear" w:color="auto" w:fill="auto"/>
            <w:vAlign w:val="center"/>
          </w:tcPr>
          <w:p w14:paraId="4B98C559" w14:textId="77777777" w:rsidR="00FE07DB" w:rsidRPr="0009028A" w:rsidRDefault="00FE07DB" w:rsidP="00FE07DB">
            <w:pPr>
              <w:spacing w:after="0" w:line="276" w:lineRule="auto"/>
              <w:jc w:val="center"/>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Subsidiaria</w:t>
            </w:r>
          </w:p>
        </w:tc>
        <w:tc>
          <w:tcPr>
            <w:tcW w:w="3454" w:type="pct"/>
            <w:shd w:val="clear" w:color="auto" w:fill="auto"/>
            <w:vAlign w:val="center"/>
          </w:tcPr>
          <w:p w14:paraId="3ED7B901" w14:textId="77777777" w:rsidR="00FE07DB" w:rsidRPr="0009028A" w:rsidRDefault="00FE07DB" w:rsidP="00FE07DB">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 xml:space="preserve">Sociedad anónima de tipo comercial, constituida con el ánimo de participar en proyectos de las distintas ramas de la ingeniería a nivel internacional con inversiones en sociedades extranjeras que la convierten en matriz de las siguientes sociedades (Quadrat, Autopistas del Oeste, GENA, GENPAC, La Concepción, Boulevard Turístico del </w:t>
            </w:r>
            <w:r w:rsidR="00D8520F" w:rsidRPr="0009028A">
              <w:rPr>
                <w:rFonts w:ascii="Arial" w:eastAsia="Times New Roman" w:hAnsi="Arial" w:cs="Arial"/>
                <w:color w:val="000000"/>
                <w:sz w:val="18"/>
                <w:szCs w:val="18"/>
                <w:lang w:val="es-ES" w:eastAsia="es-419"/>
              </w:rPr>
              <w:t>Atlántico</w:t>
            </w:r>
            <w:r w:rsidRPr="0009028A">
              <w:rPr>
                <w:rFonts w:ascii="Arial" w:eastAsia="Times New Roman" w:hAnsi="Arial" w:cs="Arial"/>
                <w:color w:val="000000"/>
                <w:sz w:val="18"/>
                <w:szCs w:val="18"/>
                <w:lang w:val="es-ES" w:eastAsia="es-419"/>
              </w:rPr>
              <w:t>, Autopistas del Nordeste, Jv Proyecto BTA, JV Proyectos ADN, Autopistas del Nordeste Cayman, Chamba Blou N.V. y Marjoram) A su vez Marjoram es Matriz de las siguientes Sociedades (Black Coral, Red Coral, Green Coral).</w:t>
            </w:r>
          </w:p>
        </w:tc>
      </w:tr>
      <w:tr w:rsidR="00D8520F" w:rsidRPr="0009028A" w14:paraId="21567DE3" w14:textId="77777777" w:rsidTr="00A076C1">
        <w:trPr>
          <w:trHeight w:val="525"/>
        </w:trPr>
        <w:tc>
          <w:tcPr>
            <w:tcW w:w="965" w:type="pct"/>
            <w:shd w:val="clear" w:color="auto" w:fill="auto"/>
            <w:vAlign w:val="center"/>
          </w:tcPr>
          <w:p w14:paraId="7EB19E56" w14:textId="77777777" w:rsidR="00FE07DB" w:rsidRPr="0009028A" w:rsidRDefault="00FE07DB" w:rsidP="00FE07DB">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Concesión Vial de Llanos</w:t>
            </w:r>
          </w:p>
        </w:tc>
        <w:tc>
          <w:tcPr>
            <w:tcW w:w="581" w:type="pct"/>
            <w:shd w:val="clear" w:color="auto" w:fill="auto"/>
            <w:vAlign w:val="center"/>
          </w:tcPr>
          <w:p w14:paraId="7F143B5B" w14:textId="77777777" w:rsidR="00FE07DB" w:rsidRPr="0009028A" w:rsidRDefault="00FE07DB" w:rsidP="00FE07DB">
            <w:pPr>
              <w:spacing w:after="0" w:line="276" w:lineRule="auto"/>
              <w:jc w:val="center"/>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Subsidiaria</w:t>
            </w:r>
          </w:p>
        </w:tc>
        <w:tc>
          <w:tcPr>
            <w:tcW w:w="3454" w:type="pct"/>
            <w:shd w:val="clear" w:color="auto" w:fill="auto"/>
            <w:vAlign w:val="center"/>
          </w:tcPr>
          <w:p w14:paraId="46360479" w14:textId="77777777" w:rsidR="00FE07DB" w:rsidRPr="0009028A" w:rsidRDefault="00FE07DB" w:rsidP="00FE07DB">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Celebración y ejecución del contrato estatal de concesión adjudicado mediante la resolución N.638 de 2015 por la ANI para realizar estudios, diseño, financiación, construcción, operación y mantenimiento en el corredor Villavicencio - Granada, Villavicencio - Puerto López.</w:t>
            </w:r>
          </w:p>
        </w:tc>
      </w:tr>
      <w:tr w:rsidR="00D8520F" w:rsidRPr="0009028A" w14:paraId="7C7ED19D" w14:textId="77777777" w:rsidTr="00A076C1">
        <w:trPr>
          <w:trHeight w:val="525"/>
        </w:trPr>
        <w:tc>
          <w:tcPr>
            <w:tcW w:w="965" w:type="pct"/>
            <w:shd w:val="clear" w:color="auto" w:fill="auto"/>
            <w:vAlign w:val="center"/>
          </w:tcPr>
          <w:p w14:paraId="0E281E79" w14:textId="77777777" w:rsidR="00FE07DB" w:rsidRPr="0009028A" w:rsidRDefault="00FE07DB" w:rsidP="00FE07DB">
            <w:pPr>
              <w:spacing w:after="0" w:line="276" w:lineRule="auto"/>
              <w:rPr>
                <w:rFonts w:ascii="Arial" w:eastAsia="Times New Roman" w:hAnsi="Arial" w:cs="Arial"/>
                <w:color w:val="000000"/>
                <w:sz w:val="18"/>
                <w:szCs w:val="18"/>
                <w:lang w:val="en-US" w:eastAsia="es-419"/>
              </w:rPr>
            </w:pPr>
            <w:r w:rsidRPr="0009028A">
              <w:rPr>
                <w:rFonts w:ascii="Arial" w:eastAsia="Times New Roman" w:hAnsi="Arial" w:cs="Arial"/>
                <w:color w:val="000000"/>
                <w:sz w:val="18"/>
                <w:szCs w:val="18"/>
                <w:lang w:val="en-US" w:eastAsia="es-419"/>
              </w:rPr>
              <w:t>Caribbean Infraestructure Company N.V.</w:t>
            </w:r>
          </w:p>
        </w:tc>
        <w:tc>
          <w:tcPr>
            <w:tcW w:w="581" w:type="pct"/>
            <w:shd w:val="clear" w:color="auto" w:fill="auto"/>
            <w:vAlign w:val="center"/>
          </w:tcPr>
          <w:p w14:paraId="3425B37E" w14:textId="77777777" w:rsidR="00FE07DB" w:rsidRPr="0009028A" w:rsidRDefault="00FE07DB" w:rsidP="00FE07DB">
            <w:pPr>
              <w:spacing w:after="0" w:line="276" w:lineRule="auto"/>
              <w:jc w:val="center"/>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Subsidiaria</w:t>
            </w:r>
          </w:p>
        </w:tc>
        <w:tc>
          <w:tcPr>
            <w:tcW w:w="3454" w:type="pct"/>
            <w:shd w:val="clear" w:color="auto" w:fill="auto"/>
            <w:vAlign w:val="center"/>
          </w:tcPr>
          <w:p w14:paraId="2563B0B5" w14:textId="77777777" w:rsidR="00FE07DB" w:rsidRPr="0009028A" w:rsidRDefault="00FE07DB" w:rsidP="00FE07DB">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Servicios de construcción en el corredor vial de Aruba.</w:t>
            </w:r>
          </w:p>
        </w:tc>
      </w:tr>
      <w:tr w:rsidR="00D8520F" w:rsidRPr="0009028A" w14:paraId="266CC97F" w14:textId="77777777" w:rsidTr="00A076C1">
        <w:trPr>
          <w:trHeight w:val="525"/>
        </w:trPr>
        <w:tc>
          <w:tcPr>
            <w:tcW w:w="965" w:type="pct"/>
            <w:shd w:val="clear" w:color="auto" w:fill="auto"/>
            <w:vAlign w:val="center"/>
          </w:tcPr>
          <w:p w14:paraId="283C6747" w14:textId="77777777" w:rsidR="00FE07DB" w:rsidRPr="0009028A" w:rsidRDefault="00FE07DB" w:rsidP="00FE07DB">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Odinsa Proyectos e Inversiones S.A.</w:t>
            </w:r>
          </w:p>
        </w:tc>
        <w:tc>
          <w:tcPr>
            <w:tcW w:w="581" w:type="pct"/>
            <w:shd w:val="clear" w:color="auto" w:fill="auto"/>
            <w:vAlign w:val="center"/>
          </w:tcPr>
          <w:p w14:paraId="3052D05B" w14:textId="77777777" w:rsidR="00FE07DB" w:rsidRPr="0009028A" w:rsidRDefault="00FE07DB" w:rsidP="00FE07DB">
            <w:pPr>
              <w:spacing w:after="0" w:line="276" w:lineRule="auto"/>
              <w:jc w:val="center"/>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Subsidiaria</w:t>
            </w:r>
          </w:p>
        </w:tc>
        <w:tc>
          <w:tcPr>
            <w:tcW w:w="3454" w:type="pct"/>
            <w:shd w:val="clear" w:color="auto" w:fill="auto"/>
            <w:vAlign w:val="center"/>
          </w:tcPr>
          <w:p w14:paraId="74100A6C" w14:textId="77777777" w:rsidR="00FE07DB" w:rsidRPr="0009028A" w:rsidRDefault="00FE07DB" w:rsidP="00FE07DB">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Vehículo de inversión con asignación del contrato de Concesión No. 250-11 que no se encuentra en ejecución, ya que al cierre de ejercicio el contrato no ha sido cancelado.</w:t>
            </w:r>
          </w:p>
        </w:tc>
      </w:tr>
      <w:tr w:rsidR="00D8520F" w:rsidRPr="0009028A" w14:paraId="72227E39" w14:textId="77777777" w:rsidTr="00A076C1">
        <w:trPr>
          <w:trHeight w:val="525"/>
        </w:trPr>
        <w:tc>
          <w:tcPr>
            <w:tcW w:w="965" w:type="pct"/>
            <w:shd w:val="clear" w:color="auto" w:fill="auto"/>
            <w:vAlign w:val="center"/>
          </w:tcPr>
          <w:p w14:paraId="367AD525" w14:textId="77777777" w:rsidR="00FE07DB" w:rsidRPr="0009028A" w:rsidRDefault="000A3D91" w:rsidP="00FE07DB">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Autopistas de los Llanos S.A.</w:t>
            </w:r>
          </w:p>
        </w:tc>
        <w:tc>
          <w:tcPr>
            <w:tcW w:w="581" w:type="pct"/>
            <w:shd w:val="clear" w:color="auto" w:fill="auto"/>
            <w:vAlign w:val="center"/>
          </w:tcPr>
          <w:p w14:paraId="214FB546" w14:textId="77777777" w:rsidR="00FE07DB" w:rsidRPr="0009028A" w:rsidRDefault="000A3D91" w:rsidP="00FE07DB">
            <w:pPr>
              <w:spacing w:after="0" w:line="276" w:lineRule="auto"/>
              <w:jc w:val="center"/>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Subsidiaria</w:t>
            </w:r>
          </w:p>
        </w:tc>
        <w:tc>
          <w:tcPr>
            <w:tcW w:w="3454" w:type="pct"/>
            <w:shd w:val="clear" w:color="auto" w:fill="auto"/>
            <w:vAlign w:val="center"/>
          </w:tcPr>
          <w:p w14:paraId="09EA0730" w14:textId="77777777" w:rsidR="00FE07DB" w:rsidRPr="0009028A" w:rsidRDefault="000A3D91" w:rsidP="00FE07DB">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Concesión a cargo la operación y mantenimiento de tres carreteras que comunican a Villavicencio con Granada, Puerto Lopez, Cumaral y Veracruz por medio del contrato 446- de 1994.</w:t>
            </w:r>
          </w:p>
        </w:tc>
      </w:tr>
      <w:tr w:rsidR="00D8520F" w:rsidRPr="0009028A" w14:paraId="6BFFEC1A" w14:textId="77777777" w:rsidTr="00A076C1">
        <w:trPr>
          <w:trHeight w:val="525"/>
        </w:trPr>
        <w:tc>
          <w:tcPr>
            <w:tcW w:w="965" w:type="pct"/>
            <w:shd w:val="clear" w:color="auto" w:fill="auto"/>
            <w:vAlign w:val="center"/>
          </w:tcPr>
          <w:p w14:paraId="30513CFB" w14:textId="77777777" w:rsidR="000A3D91" w:rsidRPr="0009028A" w:rsidRDefault="000A3D91" w:rsidP="000A3D91">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 xml:space="preserve">Consorcios Grupo Constructor Autopistas del Café </w:t>
            </w:r>
          </w:p>
        </w:tc>
        <w:tc>
          <w:tcPr>
            <w:tcW w:w="581" w:type="pct"/>
            <w:shd w:val="clear" w:color="auto" w:fill="auto"/>
            <w:vAlign w:val="center"/>
          </w:tcPr>
          <w:p w14:paraId="379D2ECB" w14:textId="77777777" w:rsidR="000A3D91" w:rsidRPr="0009028A" w:rsidRDefault="000A3D91" w:rsidP="000A3D91">
            <w:pPr>
              <w:spacing w:after="0" w:line="276" w:lineRule="auto"/>
              <w:jc w:val="center"/>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Subsidiaria</w:t>
            </w:r>
          </w:p>
        </w:tc>
        <w:tc>
          <w:tcPr>
            <w:tcW w:w="3454" w:type="pct"/>
            <w:shd w:val="clear" w:color="auto" w:fill="auto"/>
            <w:vAlign w:val="center"/>
          </w:tcPr>
          <w:p w14:paraId="2418F1C6" w14:textId="77777777" w:rsidR="000A3D91" w:rsidRPr="0009028A" w:rsidRDefault="000A3D91" w:rsidP="000A3D91">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Ejecución del diseño, rehabilitación y construcción de las obras básicas en el Eje Cafetero</w:t>
            </w:r>
          </w:p>
        </w:tc>
      </w:tr>
      <w:tr w:rsidR="00D8520F" w:rsidRPr="0009028A" w14:paraId="076B9DEA" w14:textId="77777777" w:rsidTr="00A076C1">
        <w:trPr>
          <w:trHeight w:val="525"/>
        </w:trPr>
        <w:tc>
          <w:tcPr>
            <w:tcW w:w="965" w:type="pct"/>
            <w:shd w:val="clear" w:color="auto" w:fill="auto"/>
            <w:vAlign w:val="center"/>
          </w:tcPr>
          <w:p w14:paraId="5411A3F8" w14:textId="77777777" w:rsidR="000A3D91" w:rsidRPr="0009028A" w:rsidRDefault="000A3D91" w:rsidP="000A3D91">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 xml:space="preserve">Constructora Bogotá Fase III S.A. - CONFASE </w:t>
            </w:r>
          </w:p>
        </w:tc>
        <w:tc>
          <w:tcPr>
            <w:tcW w:w="581" w:type="pct"/>
            <w:shd w:val="clear" w:color="auto" w:fill="auto"/>
            <w:vAlign w:val="center"/>
          </w:tcPr>
          <w:p w14:paraId="43CC4B1E" w14:textId="77777777" w:rsidR="000A3D91" w:rsidRPr="0009028A" w:rsidRDefault="000A3D91" w:rsidP="000A3D91">
            <w:pPr>
              <w:spacing w:after="0" w:line="276" w:lineRule="auto"/>
              <w:jc w:val="center"/>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Subsidiaria</w:t>
            </w:r>
          </w:p>
        </w:tc>
        <w:tc>
          <w:tcPr>
            <w:tcW w:w="3454" w:type="pct"/>
            <w:shd w:val="clear" w:color="auto" w:fill="auto"/>
            <w:vAlign w:val="center"/>
          </w:tcPr>
          <w:p w14:paraId="0F6A9891" w14:textId="77777777" w:rsidR="000A3D91" w:rsidRPr="0009028A" w:rsidRDefault="000A3D91" w:rsidP="000A3D91">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Sociedad encargada del mantenimiento Rutinario de los cuatro tramos asignados por el IDU en obras del Parque Bicentenario en Bogotá por medio del contrato 136-2007.</w:t>
            </w:r>
          </w:p>
        </w:tc>
      </w:tr>
      <w:tr w:rsidR="00D8520F" w:rsidRPr="0009028A" w14:paraId="26541B1A" w14:textId="77777777" w:rsidTr="00A076C1">
        <w:trPr>
          <w:trHeight w:val="525"/>
        </w:trPr>
        <w:tc>
          <w:tcPr>
            <w:tcW w:w="965" w:type="pct"/>
            <w:shd w:val="clear" w:color="auto" w:fill="auto"/>
            <w:vAlign w:val="center"/>
          </w:tcPr>
          <w:p w14:paraId="4695C611" w14:textId="77777777" w:rsidR="000A3D91" w:rsidRPr="0009028A" w:rsidRDefault="000A3D91" w:rsidP="000A3D91">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Odinsa Servicios S</w:t>
            </w:r>
            <w:r w:rsidR="00485DEA" w:rsidRPr="0009028A">
              <w:rPr>
                <w:rFonts w:ascii="Arial" w:eastAsia="Times New Roman" w:hAnsi="Arial" w:cs="Arial"/>
                <w:color w:val="000000"/>
                <w:sz w:val="18"/>
                <w:szCs w:val="18"/>
                <w:lang w:val="es-ES" w:eastAsia="es-419"/>
              </w:rPr>
              <w:t>.</w:t>
            </w:r>
            <w:r w:rsidRPr="0009028A">
              <w:rPr>
                <w:rFonts w:ascii="Arial" w:eastAsia="Times New Roman" w:hAnsi="Arial" w:cs="Arial"/>
                <w:color w:val="000000"/>
                <w:sz w:val="18"/>
                <w:szCs w:val="18"/>
                <w:lang w:val="es-ES" w:eastAsia="es-419"/>
              </w:rPr>
              <w:t>A</w:t>
            </w:r>
            <w:r w:rsidR="00485DEA" w:rsidRPr="0009028A">
              <w:rPr>
                <w:rFonts w:ascii="Arial" w:eastAsia="Times New Roman" w:hAnsi="Arial" w:cs="Arial"/>
                <w:color w:val="000000"/>
                <w:sz w:val="18"/>
                <w:szCs w:val="18"/>
                <w:lang w:val="es-ES" w:eastAsia="es-419"/>
              </w:rPr>
              <w:t>.</w:t>
            </w:r>
            <w:r w:rsidRPr="0009028A">
              <w:rPr>
                <w:rFonts w:ascii="Arial" w:eastAsia="Times New Roman" w:hAnsi="Arial" w:cs="Arial"/>
                <w:color w:val="000000"/>
                <w:sz w:val="18"/>
                <w:szCs w:val="18"/>
                <w:lang w:val="es-ES" w:eastAsia="es-419"/>
              </w:rPr>
              <w:t>S</w:t>
            </w:r>
            <w:r w:rsidR="00485DEA" w:rsidRPr="0009028A">
              <w:rPr>
                <w:rFonts w:ascii="Arial" w:eastAsia="Times New Roman" w:hAnsi="Arial" w:cs="Arial"/>
                <w:color w:val="000000"/>
                <w:sz w:val="18"/>
                <w:szCs w:val="18"/>
                <w:lang w:val="es-ES" w:eastAsia="es-419"/>
              </w:rPr>
              <w:t>.</w:t>
            </w:r>
          </w:p>
        </w:tc>
        <w:tc>
          <w:tcPr>
            <w:tcW w:w="581" w:type="pct"/>
            <w:shd w:val="clear" w:color="auto" w:fill="auto"/>
            <w:vAlign w:val="center"/>
          </w:tcPr>
          <w:p w14:paraId="7ADC4C85" w14:textId="77777777" w:rsidR="000A3D91" w:rsidRPr="0009028A" w:rsidRDefault="000A3D91" w:rsidP="000A3D91">
            <w:pPr>
              <w:spacing w:after="0" w:line="276" w:lineRule="auto"/>
              <w:jc w:val="center"/>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Subsidiaria</w:t>
            </w:r>
          </w:p>
        </w:tc>
        <w:tc>
          <w:tcPr>
            <w:tcW w:w="3454" w:type="pct"/>
            <w:shd w:val="clear" w:color="auto" w:fill="auto"/>
            <w:vAlign w:val="center"/>
          </w:tcPr>
          <w:p w14:paraId="70707C0E" w14:textId="77777777" w:rsidR="000A3D91" w:rsidRPr="0009028A" w:rsidRDefault="000A3D91" w:rsidP="000A3D91">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Proveedor Servicios para señalización vial en las Concesiones.</w:t>
            </w:r>
          </w:p>
        </w:tc>
      </w:tr>
      <w:tr w:rsidR="00D8520F" w:rsidRPr="0009028A" w14:paraId="02216C23" w14:textId="77777777" w:rsidTr="00A076C1">
        <w:trPr>
          <w:trHeight w:val="525"/>
        </w:trPr>
        <w:tc>
          <w:tcPr>
            <w:tcW w:w="965" w:type="pct"/>
            <w:shd w:val="clear" w:color="auto" w:fill="auto"/>
            <w:vAlign w:val="center"/>
          </w:tcPr>
          <w:p w14:paraId="03A06B39" w14:textId="77777777" w:rsidR="000A3D91" w:rsidRPr="0009028A" w:rsidRDefault="000A3D91" w:rsidP="000A3D91">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Boulevard Turístico del Atlántico S.A.</w:t>
            </w:r>
          </w:p>
        </w:tc>
        <w:tc>
          <w:tcPr>
            <w:tcW w:w="581" w:type="pct"/>
            <w:shd w:val="clear" w:color="auto" w:fill="auto"/>
            <w:vAlign w:val="center"/>
          </w:tcPr>
          <w:p w14:paraId="3C3E14B7" w14:textId="77777777" w:rsidR="000A3D91" w:rsidRPr="0009028A" w:rsidRDefault="000A3D91" w:rsidP="000A3D91">
            <w:pPr>
              <w:spacing w:after="0" w:line="276" w:lineRule="auto"/>
              <w:jc w:val="center"/>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Subsidiaria</w:t>
            </w:r>
          </w:p>
        </w:tc>
        <w:tc>
          <w:tcPr>
            <w:tcW w:w="3454" w:type="pct"/>
            <w:shd w:val="clear" w:color="auto" w:fill="auto"/>
            <w:vAlign w:val="center"/>
          </w:tcPr>
          <w:p w14:paraId="34AD945C" w14:textId="77777777" w:rsidR="000A3D91" w:rsidRPr="0009028A" w:rsidRDefault="000A3D91" w:rsidP="000A3D91">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 xml:space="preserve">Concesión a cargo del desarrollo, construcción y rehabilitación de la Autopista Nagua - Sánchez - Samaná - El Limón y Las Terrenas, está en la segunda etapa del Contrato de Concesión en Administración de peaje. </w:t>
            </w:r>
          </w:p>
        </w:tc>
      </w:tr>
      <w:tr w:rsidR="00D8520F" w:rsidRPr="0009028A" w14:paraId="524EB8AE" w14:textId="77777777" w:rsidTr="00A076C1">
        <w:trPr>
          <w:trHeight w:val="525"/>
        </w:trPr>
        <w:tc>
          <w:tcPr>
            <w:tcW w:w="965" w:type="pct"/>
            <w:shd w:val="clear" w:color="auto" w:fill="auto"/>
            <w:vAlign w:val="center"/>
          </w:tcPr>
          <w:p w14:paraId="573E1E9B" w14:textId="77777777" w:rsidR="000A3D91" w:rsidRPr="0009028A" w:rsidRDefault="000A3D91" w:rsidP="000A3D91">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Autopistas del Café S.A.</w:t>
            </w:r>
          </w:p>
        </w:tc>
        <w:tc>
          <w:tcPr>
            <w:tcW w:w="581" w:type="pct"/>
            <w:shd w:val="clear" w:color="auto" w:fill="auto"/>
            <w:vAlign w:val="center"/>
          </w:tcPr>
          <w:p w14:paraId="0528FA61" w14:textId="77777777" w:rsidR="000A3D91" w:rsidRPr="0009028A" w:rsidRDefault="000A3D91" w:rsidP="000A3D91">
            <w:pPr>
              <w:spacing w:after="0" w:line="276" w:lineRule="auto"/>
              <w:jc w:val="center"/>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Subsidiaria</w:t>
            </w:r>
          </w:p>
        </w:tc>
        <w:tc>
          <w:tcPr>
            <w:tcW w:w="3454" w:type="pct"/>
            <w:shd w:val="clear" w:color="auto" w:fill="auto"/>
            <w:vAlign w:val="center"/>
          </w:tcPr>
          <w:p w14:paraId="101A0C18" w14:textId="77777777" w:rsidR="000A3D91" w:rsidRPr="0009028A" w:rsidRDefault="000A3D91" w:rsidP="000A3D91">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Concesión encargada de los estudios, diseños definitivos, las obras de rehabilitación, la operación y el mantenimiento de la carreta Armenia – Pereira – Manizales por medio del contrato 113 de 1997.</w:t>
            </w:r>
          </w:p>
        </w:tc>
      </w:tr>
      <w:tr w:rsidR="00D8520F" w:rsidRPr="0009028A" w14:paraId="79B0D2B2" w14:textId="77777777" w:rsidTr="00A076C1">
        <w:trPr>
          <w:trHeight w:val="525"/>
        </w:trPr>
        <w:tc>
          <w:tcPr>
            <w:tcW w:w="965" w:type="pct"/>
            <w:shd w:val="clear" w:color="auto" w:fill="auto"/>
            <w:vAlign w:val="center"/>
          </w:tcPr>
          <w:p w14:paraId="310FBB63" w14:textId="77777777" w:rsidR="000A3D91" w:rsidRPr="0009028A" w:rsidRDefault="000A3D91" w:rsidP="000A3D91">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Autopista del Nordeste Cayman Ltd.</w:t>
            </w:r>
          </w:p>
        </w:tc>
        <w:tc>
          <w:tcPr>
            <w:tcW w:w="581" w:type="pct"/>
            <w:shd w:val="clear" w:color="auto" w:fill="auto"/>
            <w:vAlign w:val="center"/>
          </w:tcPr>
          <w:p w14:paraId="43948614" w14:textId="77777777" w:rsidR="000A3D91" w:rsidRPr="0009028A" w:rsidRDefault="000A3D91" w:rsidP="000A3D91">
            <w:pPr>
              <w:spacing w:after="0" w:line="276" w:lineRule="auto"/>
              <w:jc w:val="center"/>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Subsidiaria</w:t>
            </w:r>
          </w:p>
        </w:tc>
        <w:tc>
          <w:tcPr>
            <w:tcW w:w="3454" w:type="pct"/>
            <w:shd w:val="clear" w:color="auto" w:fill="auto"/>
            <w:vAlign w:val="center"/>
          </w:tcPr>
          <w:p w14:paraId="33E88130" w14:textId="77777777" w:rsidR="000A3D91" w:rsidRPr="0009028A" w:rsidRDefault="000A3D91" w:rsidP="000A3D91">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 xml:space="preserve">Vehículo corporativo especial de inversión. </w:t>
            </w:r>
          </w:p>
        </w:tc>
      </w:tr>
      <w:tr w:rsidR="00D8520F" w:rsidRPr="0009028A" w14:paraId="63310B2C" w14:textId="77777777" w:rsidTr="00A076C1">
        <w:trPr>
          <w:trHeight w:val="525"/>
        </w:trPr>
        <w:tc>
          <w:tcPr>
            <w:tcW w:w="965" w:type="pct"/>
            <w:shd w:val="clear" w:color="auto" w:fill="auto"/>
            <w:vAlign w:val="center"/>
          </w:tcPr>
          <w:p w14:paraId="0F8FE2B7" w14:textId="77777777" w:rsidR="000A3D91" w:rsidRPr="0009028A" w:rsidRDefault="000A3D91" w:rsidP="000A3D91">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JV Proyectos ADN S.R.L.</w:t>
            </w:r>
          </w:p>
        </w:tc>
        <w:tc>
          <w:tcPr>
            <w:tcW w:w="581" w:type="pct"/>
            <w:shd w:val="clear" w:color="auto" w:fill="auto"/>
            <w:vAlign w:val="center"/>
          </w:tcPr>
          <w:p w14:paraId="1DF93743" w14:textId="77777777" w:rsidR="000A3D91" w:rsidRPr="0009028A" w:rsidRDefault="000A3D91" w:rsidP="000A3D91">
            <w:pPr>
              <w:spacing w:after="0" w:line="276" w:lineRule="auto"/>
              <w:jc w:val="center"/>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Subsidiaria</w:t>
            </w:r>
          </w:p>
        </w:tc>
        <w:tc>
          <w:tcPr>
            <w:tcW w:w="3454" w:type="pct"/>
            <w:shd w:val="clear" w:color="auto" w:fill="auto"/>
            <w:vAlign w:val="center"/>
          </w:tcPr>
          <w:p w14:paraId="7CC9C254" w14:textId="13B49844" w:rsidR="000A3D91" w:rsidRPr="0009028A" w:rsidRDefault="000A3D91" w:rsidP="000A3D91">
            <w:pPr>
              <w:spacing w:after="0" w:line="276" w:lineRule="auto"/>
              <w:rPr>
                <w:rFonts w:ascii="Arial" w:eastAsia="Times New Roman" w:hAnsi="Arial" w:cs="Arial"/>
                <w:color w:val="000000"/>
                <w:sz w:val="18"/>
                <w:szCs w:val="18"/>
                <w:lang w:val="es-ES" w:eastAsia="es-419"/>
              </w:rPr>
            </w:pPr>
            <w:r w:rsidRPr="0009028A">
              <w:rPr>
                <w:rFonts w:ascii="Arial" w:eastAsia="Times New Roman" w:hAnsi="Arial" w:cs="Arial"/>
                <w:color w:val="000000"/>
                <w:sz w:val="18"/>
                <w:szCs w:val="18"/>
                <w:lang w:val="es-ES" w:eastAsia="es-419"/>
              </w:rPr>
              <w:t>La sociedad tiene por objetivo principal la construcción de desarrollos viales, la contratación y subcontratación de obras de ingeniera con empresas nacionales e inte</w:t>
            </w:r>
            <w:r w:rsidR="00703DFE">
              <w:rPr>
                <w:rFonts w:ascii="Arial" w:eastAsia="Times New Roman" w:hAnsi="Arial" w:cs="Arial"/>
                <w:color w:val="000000"/>
                <w:sz w:val="18"/>
                <w:szCs w:val="18"/>
                <w:lang w:val="es-ES" w:eastAsia="es-419"/>
              </w:rPr>
              <w:t>rnacionales, actualmente es la C</w:t>
            </w:r>
            <w:r w:rsidRPr="0009028A">
              <w:rPr>
                <w:rFonts w:ascii="Arial" w:eastAsia="Times New Roman" w:hAnsi="Arial" w:cs="Arial"/>
                <w:color w:val="000000"/>
                <w:sz w:val="18"/>
                <w:szCs w:val="18"/>
                <w:lang w:val="es-ES" w:eastAsia="es-419"/>
              </w:rPr>
              <w:t xml:space="preserve">ompañía que realiza el mantenimiento de las vías del Contrato de Concesión de Autopistas de Nordeste. </w:t>
            </w:r>
          </w:p>
        </w:tc>
      </w:tr>
      <w:tr w:rsidR="00D8520F" w:rsidRPr="0009028A" w14:paraId="24EB0BD1" w14:textId="77777777" w:rsidTr="00A076C1">
        <w:trPr>
          <w:trHeight w:val="525"/>
        </w:trPr>
        <w:tc>
          <w:tcPr>
            <w:tcW w:w="965" w:type="pct"/>
            <w:shd w:val="clear" w:color="auto" w:fill="auto"/>
            <w:vAlign w:val="center"/>
          </w:tcPr>
          <w:p w14:paraId="6B867E29" w14:textId="77777777" w:rsidR="000A3D91" w:rsidRPr="0009028A" w:rsidRDefault="000A3D91" w:rsidP="000A3D91">
            <w:pPr>
              <w:spacing w:after="0" w:line="276" w:lineRule="auto"/>
              <w:rPr>
                <w:rFonts w:ascii="Arial" w:eastAsia="Times New Roman" w:hAnsi="Arial" w:cs="Arial"/>
                <w:color w:val="000000"/>
                <w:sz w:val="18"/>
                <w:szCs w:val="18"/>
                <w:lang w:val="es-419" w:eastAsia="es-419"/>
              </w:rPr>
            </w:pPr>
            <w:r w:rsidRPr="0009028A">
              <w:rPr>
                <w:rFonts w:ascii="Arial" w:eastAsia="Times New Roman" w:hAnsi="Arial" w:cs="Arial"/>
                <w:color w:val="000000"/>
                <w:sz w:val="18"/>
                <w:szCs w:val="18"/>
                <w:lang w:val="es-ES" w:eastAsia="es-419"/>
              </w:rPr>
              <w:t xml:space="preserve">JV Proyectos BTA S.R.L. </w:t>
            </w:r>
          </w:p>
        </w:tc>
        <w:tc>
          <w:tcPr>
            <w:tcW w:w="581" w:type="pct"/>
            <w:shd w:val="clear" w:color="auto" w:fill="auto"/>
            <w:vAlign w:val="center"/>
          </w:tcPr>
          <w:p w14:paraId="21A2C94E" w14:textId="77777777" w:rsidR="000A3D91" w:rsidRPr="0009028A" w:rsidRDefault="000A3D91" w:rsidP="000A3D91">
            <w:pPr>
              <w:spacing w:after="0" w:line="276" w:lineRule="auto"/>
              <w:jc w:val="center"/>
              <w:rPr>
                <w:rFonts w:ascii="Arial" w:eastAsia="Times New Roman" w:hAnsi="Arial" w:cs="Arial"/>
                <w:color w:val="000000"/>
                <w:sz w:val="18"/>
                <w:szCs w:val="18"/>
                <w:lang w:val="es-419" w:eastAsia="es-419"/>
              </w:rPr>
            </w:pPr>
            <w:r w:rsidRPr="0009028A">
              <w:rPr>
                <w:rFonts w:ascii="Arial" w:eastAsia="Times New Roman" w:hAnsi="Arial" w:cs="Arial"/>
                <w:color w:val="000000"/>
                <w:sz w:val="18"/>
                <w:szCs w:val="18"/>
                <w:lang w:val="es-ES" w:eastAsia="es-419"/>
              </w:rPr>
              <w:t>Subsidiaria</w:t>
            </w:r>
          </w:p>
        </w:tc>
        <w:tc>
          <w:tcPr>
            <w:tcW w:w="3454" w:type="pct"/>
            <w:shd w:val="clear" w:color="auto" w:fill="auto"/>
            <w:vAlign w:val="center"/>
          </w:tcPr>
          <w:p w14:paraId="7D118A14" w14:textId="0C87EAAA" w:rsidR="000A3D91" w:rsidRPr="0009028A" w:rsidRDefault="000A3D91" w:rsidP="000A3D91">
            <w:pPr>
              <w:spacing w:after="0" w:line="276" w:lineRule="auto"/>
              <w:rPr>
                <w:rFonts w:ascii="Arial" w:eastAsia="Times New Roman" w:hAnsi="Arial" w:cs="Arial"/>
                <w:color w:val="000000"/>
                <w:sz w:val="18"/>
                <w:szCs w:val="18"/>
                <w:lang w:val="es-419" w:eastAsia="es-419"/>
              </w:rPr>
            </w:pPr>
            <w:r w:rsidRPr="0009028A">
              <w:rPr>
                <w:rFonts w:ascii="Arial" w:eastAsia="Times New Roman" w:hAnsi="Arial" w:cs="Arial"/>
                <w:color w:val="000000"/>
                <w:sz w:val="18"/>
                <w:szCs w:val="18"/>
                <w:lang w:val="es-ES" w:eastAsia="es-419"/>
              </w:rPr>
              <w:t>La sociedad tiene por objetivo principal la construcción de desarrollos viales, la contratación y subcontratación de obras de ingeniera con empresas nacionales e inte</w:t>
            </w:r>
            <w:r w:rsidR="00703DFE">
              <w:rPr>
                <w:rFonts w:ascii="Arial" w:eastAsia="Times New Roman" w:hAnsi="Arial" w:cs="Arial"/>
                <w:color w:val="000000"/>
                <w:sz w:val="18"/>
                <w:szCs w:val="18"/>
                <w:lang w:val="es-ES" w:eastAsia="es-419"/>
              </w:rPr>
              <w:t>rnacionales, actualmente es la C</w:t>
            </w:r>
            <w:r w:rsidRPr="0009028A">
              <w:rPr>
                <w:rFonts w:ascii="Arial" w:eastAsia="Times New Roman" w:hAnsi="Arial" w:cs="Arial"/>
                <w:color w:val="000000"/>
                <w:sz w:val="18"/>
                <w:szCs w:val="18"/>
                <w:lang w:val="es-ES" w:eastAsia="es-419"/>
              </w:rPr>
              <w:t xml:space="preserve">ompañía que realiza el mantenimiento de las vías del Contrato de Concesión de Boulevard Turístico del Atlántico S.A. </w:t>
            </w:r>
          </w:p>
        </w:tc>
      </w:tr>
      <w:tr w:rsidR="00D8520F" w:rsidRPr="0009028A" w14:paraId="14C7686F" w14:textId="77777777" w:rsidTr="00A076C1">
        <w:trPr>
          <w:trHeight w:val="1035"/>
        </w:trPr>
        <w:tc>
          <w:tcPr>
            <w:tcW w:w="965" w:type="pct"/>
            <w:shd w:val="clear" w:color="auto" w:fill="auto"/>
            <w:vAlign w:val="center"/>
            <w:hideMark/>
          </w:tcPr>
          <w:p w14:paraId="68310FCA" w14:textId="77777777" w:rsidR="000A3D91" w:rsidRPr="0009028A" w:rsidRDefault="000A3D91" w:rsidP="000A3D91">
            <w:pPr>
              <w:spacing w:after="0" w:line="276" w:lineRule="auto"/>
              <w:rPr>
                <w:rFonts w:ascii="Arial" w:eastAsia="Times New Roman" w:hAnsi="Arial" w:cs="Arial"/>
                <w:color w:val="000000"/>
                <w:sz w:val="18"/>
                <w:szCs w:val="18"/>
                <w:lang w:val="es-419" w:eastAsia="es-419"/>
              </w:rPr>
            </w:pPr>
            <w:r w:rsidRPr="0009028A">
              <w:rPr>
                <w:rFonts w:ascii="Arial" w:eastAsia="Times New Roman" w:hAnsi="Arial" w:cs="Arial"/>
                <w:color w:val="000000"/>
                <w:sz w:val="18"/>
                <w:szCs w:val="18"/>
                <w:lang w:val="es-ES" w:eastAsia="es-419"/>
              </w:rPr>
              <w:t>Autopista del Nordeste S.A.</w:t>
            </w:r>
          </w:p>
        </w:tc>
        <w:tc>
          <w:tcPr>
            <w:tcW w:w="581" w:type="pct"/>
            <w:shd w:val="clear" w:color="auto" w:fill="auto"/>
            <w:vAlign w:val="center"/>
            <w:hideMark/>
          </w:tcPr>
          <w:p w14:paraId="3D37A16F" w14:textId="77777777" w:rsidR="000A3D91" w:rsidRPr="0009028A" w:rsidRDefault="000A3D91" w:rsidP="000A3D91">
            <w:pPr>
              <w:spacing w:after="0" w:line="276" w:lineRule="auto"/>
              <w:jc w:val="center"/>
              <w:rPr>
                <w:rFonts w:ascii="Arial" w:eastAsia="Times New Roman" w:hAnsi="Arial" w:cs="Arial"/>
                <w:color w:val="000000"/>
                <w:sz w:val="18"/>
                <w:szCs w:val="18"/>
                <w:lang w:val="es-419" w:eastAsia="es-419"/>
              </w:rPr>
            </w:pPr>
            <w:r w:rsidRPr="0009028A">
              <w:rPr>
                <w:rFonts w:ascii="Arial" w:eastAsia="Times New Roman" w:hAnsi="Arial" w:cs="Arial"/>
                <w:color w:val="000000"/>
                <w:sz w:val="18"/>
                <w:szCs w:val="18"/>
                <w:lang w:val="es-ES" w:eastAsia="es-419"/>
              </w:rPr>
              <w:t>Subsidiaria</w:t>
            </w:r>
          </w:p>
        </w:tc>
        <w:tc>
          <w:tcPr>
            <w:tcW w:w="3454" w:type="pct"/>
            <w:shd w:val="clear" w:color="auto" w:fill="auto"/>
            <w:vAlign w:val="center"/>
            <w:hideMark/>
          </w:tcPr>
          <w:p w14:paraId="1A38EC21" w14:textId="77777777" w:rsidR="000A3D91" w:rsidRPr="0009028A" w:rsidRDefault="000A3D91" w:rsidP="000A3D91">
            <w:pPr>
              <w:spacing w:after="0" w:line="276" w:lineRule="auto"/>
              <w:rPr>
                <w:rFonts w:ascii="Arial" w:eastAsia="Times New Roman" w:hAnsi="Arial" w:cs="Arial"/>
                <w:color w:val="000000"/>
                <w:sz w:val="18"/>
                <w:szCs w:val="18"/>
                <w:lang w:val="es-419" w:eastAsia="es-419"/>
              </w:rPr>
            </w:pPr>
            <w:r w:rsidRPr="0009028A">
              <w:rPr>
                <w:rFonts w:ascii="Arial" w:eastAsia="Times New Roman" w:hAnsi="Arial" w:cs="Arial"/>
                <w:color w:val="000000"/>
                <w:sz w:val="18"/>
                <w:szCs w:val="18"/>
                <w:lang w:val="es-ES" w:eastAsia="es-419"/>
              </w:rPr>
              <w:t>Concesión a cargo de la construcción de la Carretera Santo Domingo - Rincón de Molinillos para su posterior gestión a través de una concesión. La empresa firmó un contrato de concesión con el Gobierno dominicano el 18 de julio de 2001 por un período de treinta años.</w:t>
            </w:r>
          </w:p>
        </w:tc>
      </w:tr>
      <w:tr w:rsidR="00D8520F" w:rsidRPr="0009028A" w14:paraId="4A1FFF3E" w14:textId="77777777" w:rsidTr="00A076C1">
        <w:trPr>
          <w:trHeight w:val="780"/>
        </w:trPr>
        <w:tc>
          <w:tcPr>
            <w:tcW w:w="965" w:type="pct"/>
            <w:shd w:val="clear" w:color="auto" w:fill="auto"/>
            <w:vAlign w:val="center"/>
            <w:hideMark/>
          </w:tcPr>
          <w:p w14:paraId="40FE37E0" w14:textId="77777777" w:rsidR="000A3D91" w:rsidRPr="0009028A" w:rsidRDefault="000A3D91" w:rsidP="000A3D91">
            <w:pPr>
              <w:spacing w:after="0" w:line="276" w:lineRule="auto"/>
              <w:rPr>
                <w:rFonts w:ascii="Arial" w:eastAsia="Times New Roman" w:hAnsi="Arial" w:cs="Arial"/>
                <w:color w:val="000000"/>
                <w:sz w:val="18"/>
                <w:szCs w:val="18"/>
                <w:lang w:val="es-419" w:eastAsia="es-419"/>
              </w:rPr>
            </w:pPr>
            <w:r w:rsidRPr="0009028A">
              <w:rPr>
                <w:rFonts w:ascii="Arial" w:eastAsia="Times New Roman" w:hAnsi="Arial" w:cs="Arial"/>
                <w:color w:val="000000"/>
                <w:sz w:val="18"/>
                <w:szCs w:val="18"/>
                <w:lang w:val="es-ES" w:eastAsia="es-419"/>
              </w:rPr>
              <w:t xml:space="preserve">Consorcio Vial de Los Llanos </w:t>
            </w:r>
          </w:p>
        </w:tc>
        <w:tc>
          <w:tcPr>
            <w:tcW w:w="581" w:type="pct"/>
            <w:shd w:val="clear" w:color="auto" w:fill="auto"/>
            <w:vAlign w:val="center"/>
            <w:hideMark/>
          </w:tcPr>
          <w:p w14:paraId="73B26623" w14:textId="77777777" w:rsidR="000A3D91" w:rsidRPr="0009028A" w:rsidRDefault="000A3D91" w:rsidP="000A3D91">
            <w:pPr>
              <w:spacing w:after="0" w:line="276" w:lineRule="auto"/>
              <w:jc w:val="center"/>
              <w:rPr>
                <w:rFonts w:ascii="Arial" w:eastAsia="Times New Roman" w:hAnsi="Arial" w:cs="Arial"/>
                <w:color w:val="000000"/>
                <w:sz w:val="18"/>
                <w:szCs w:val="18"/>
                <w:lang w:val="es-419" w:eastAsia="es-419"/>
              </w:rPr>
            </w:pPr>
            <w:r w:rsidRPr="0009028A">
              <w:rPr>
                <w:rFonts w:ascii="Arial" w:eastAsia="Times New Roman" w:hAnsi="Arial" w:cs="Arial"/>
                <w:color w:val="000000"/>
                <w:sz w:val="18"/>
                <w:szCs w:val="18"/>
                <w:lang w:val="es-ES" w:eastAsia="es-419"/>
              </w:rPr>
              <w:t>Subsidiaria</w:t>
            </w:r>
          </w:p>
        </w:tc>
        <w:tc>
          <w:tcPr>
            <w:tcW w:w="3454" w:type="pct"/>
            <w:shd w:val="clear" w:color="auto" w:fill="auto"/>
            <w:vAlign w:val="center"/>
            <w:hideMark/>
          </w:tcPr>
          <w:p w14:paraId="1E053DC9" w14:textId="77777777" w:rsidR="000A3D91" w:rsidRPr="0009028A" w:rsidRDefault="000A3D91" w:rsidP="000A3D91">
            <w:pPr>
              <w:spacing w:after="0" w:line="276" w:lineRule="auto"/>
              <w:rPr>
                <w:rFonts w:ascii="Arial" w:eastAsia="Times New Roman" w:hAnsi="Arial" w:cs="Arial"/>
                <w:color w:val="000000"/>
                <w:sz w:val="18"/>
                <w:szCs w:val="18"/>
                <w:lang w:val="es-419" w:eastAsia="es-419"/>
              </w:rPr>
            </w:pPr>
            <w:r w:rsidRPr="0009028A">
              <w:rPr>
                <w:rFonts w:ascii="Arial" w:eastAsia="Times New Roman" w:hAnsi="Arial" w:cs="Arial"/>
                <w:color w:val="000000"/>
                <w:sz w:val="18"/>
                <w:szCs w:val="18"/>
                <w:lang w:val="es-ES" w:eastAsia="es-419"/>
              </w:rPr>
              <w:t>Construcción, administración, operación y mantenimiento del corredor vial Granada - Villavicencio - Puente Arimena y anillo vial de Villavicencio y accesos a la ciudad</w:t>
            </w:r>
          </w:p>
        </w:tc>
      </w:tr>
    </w:tbl>
    <w:p w14:paraId="2DD14FD5" w14:textId="77777777" w:rsidR="00835D2D" w:rsidRPr="0009028A" w:rsidRDefault="00835D2D" w:rsidP="00835D2D">
      <w:pPr>
        <w:rPr>
          <w:rFonts w:ascii="Arial" w:hAnsi="Arial" w:cs="Arial"/>
        </w:rPr>
      </w:pPr>
      <w:bookmarkStart w:id="304" w:name="_Toc506991930"/>
      <w:bookmarkStart w:id="305" w:name="_Hlk513127639"/>
    </w:p>
    <w:p w14:paraId="488FC258" w14:textId="0DE1B97E" w:rsidR="008B5836" w:rsidRPr="0009028A" w:rsidRDefault="008B5836" w:rsidP="008C7EE5">
      <w:pPr>
        <w:pStyle w:val="Ttulo2"/>
        <w:spacing w:afterAutospacing="0"/>
        <w:rPr>
          <w:rFonts w:ascii="Arial" w:hAnsi="Arial" w:cs="Arial"/>
        </w:rPr>
      </w:pPr>
      <w:bookmarkStart w:id="306" w:name="_Toc8735107"/>
      <w:r w:rsidRPr="0009028A">
        <w:rPr>
          <w:rFonts w:ascii="Arial" w:hAnsi="Arial" w:cs="Arial"/>
        </w:rPr>
        <w:t>1</w:t>
      </w:r>
      <w:r w:rsidR="00964E83">
        <w:rPr>
          <w:rFonts w:ascii="Arial" w:hAnsi="Arial" w:cs="Arial"/>
        </w:rPr>
        <w:t>2</w:t>
      </w:r>
      <w:r w:rsidRPr="0009028A">
        <w:rPr>
          <w:rFonts w:ascii="Arial" w:hAnsi="Arial" w:cs="Arial"/>
        </w:rPr>
        <w:t>.2 Cambios en la participación de propiedad en una subsidiaria</w:t>
      </w:r>
      <w:bookmarkEnd w:id="304"/>
      <w:bookmarkEnd w:id="306"/>
      <w:r w:rsidRPr="0009028A">
        <w:rPr>
          <w:rFonts w:ascii="Arial" w:hAnsi="Arial" w:cs="Arial"/>
        </w:rPr>
        <w:t xml:space="preserve"> </w:t>
      </w:r>
    </w:p>
    <w:p w14:paraId="4E1F751F" w14:textId="77777777" w:rsidR="008B5836" w:rsidRPr="0009028A" w:rsidRDefault="008B5836" w:rsidP="008B5836">
      <w:pPr>
        <w:spacing w:after="0"/>
        <w:jc w:val="both"/>
        <w:rPr>
          <w:rFonts w:ascii="Arial" w:eastAsia="Arial" w:hAnsi="Arial" w:cs="Arial"/>
          <w:b/>
          <w:sz w:val="20"/>
          <w:szCs w:val="20"/>
          <w:highlight w:val="yellow"/>
          <w:lang w:val="es-AR"/>
        </w:rPr>
      </w:pPr>
    </w:p>
    <w:p w14:paraId="27DD0739" w14:textId="77777777" w:rsidR="008B5836" w:rsidRPr="0009028A" w:rsidRDefault="009E7488" w:rsidP="008B5836">
      <w:pPr>
        <w:spacing w:after="0"/>
        <w:jc w:val="both"/>
        <w:rPr>
          <w:rFonts w:ascii="Arial" w:eastAsia="Arial" w:hAnsi="Arial" w:cs="Arial"/>
          <w:sz w:val="20"/>
          <w:szCs w:val="20"/>
          <w:lang w:val="es-AR"/>
        </w:rPr>
      </w:pPr>
      <w:r w:rsidRPr="0009028A">
        <w:rPr>
          <w:rFonts w:ascii="Arial" w:eastAsia="Arial" w:hAnsi="Arial" w:cs="Arial"/>
          <w:sz w:val="20"/>
          <w:szCs w:val="20"/>
          <w:lang w:val="es-AR"/>
        </w:rPr>
        <w:t>Durante el trimestre de 2019 no se presentaron cambios en la participación de las subsidiarias.</w:t>
      </w:r>
    </w:p>
    <w:p w14:paraId="656ACAD4" w14:textId="77777777" w:rsidR="008B5836" w:rsidRPr="0009028A" w:rsidRDefault="008B5836" w:rsidP="008B5836">
      <w:pPr>
        <w:spacing w:after="0"/>
        <w:jc w:val="both"/>
        <w:rPr>
          <w:rFonts w:ascii="Arial" w:eastAsia="Arial" w:hAnsi="Arial" w:cs="Arial"/>
          <w:b/>
          <w:sz w:val="20"/>
          <w:szCs w:val="20"/>
          <w:highlight w:val="yellow"/>
          <w:lang w:val="es-AR"/>
        </w:rPr>
      </w:pPr>
    </w:p>
    <w:p w14:paraId="4CF41EE7" w14:textId="35FE5E59" w:rsidR="0038781B" w:rsidRPr="0009028A" w:rsidRDefault="009E7488" w:rsidP="00E30D85">
      <w:pPr>
        <w:spacing w:after="0"/>
        <w:jc w:val="both"/>
        <w:rPr>
          <w:rFonts w:ascii="Arial" w:eastAsia="Arial" w:hAnsi="Arial" w:cs="Arial"/>
          <w:b/>
          <w:color w:val="002060"/>
          <w:sz w:val="20"/>
          <w:szCs w:val="20"/>
          <w:highlight w:val="yellow"/>
          <w:lang w:val="es-AR"/>
        </w:rPr>
      </w:pPr>
      <w:r w:rsidRPr="0009028A">
        <w:rPr>
          <w:rFonts w:ascii="Arial" w:eastAsia="Arial" w:hAnsi="Arial" w:cs="Arial"/>
          <w:b/>
          <w:color w:val="002060"/>
          <w:sz w:val="20"/>
          <w:szCs w:val="20"/>
          <w:lang w:val="es-AR"/>
        </w:rPr>
        <w:t>Odinsa Holding</w:t>
      </w:r>
      <w:r w:rsidR="0038781B" w:rsidRPr="0009028A">
        <w:rPr>
          <w:rFonts w:ascii="Arial" w:eastAsia="Arial" w:hAnsi="Arial" w:cs="Arial"/>
          <w:b/>
          <w:color w:val="002060"/>
          <w:sz w:val="20"/>
          <w:szCs w:val="20"/>
          <w:lang w:val="es-AR"/>
        </w:rPr>
        <w:t xml:space="preserve">: </w:t>
      </w:r>
      <w:r w:rsidRPr="0009028A">
        <w:rPr>
          <w:rFonts w:ascii="Arial" w:eastAsia="Arial" w:hAnsi="Arial" w:cs="Arial"/>
          <w:sz w:val="20"/>
          <w:szCs w:val="20"/>
          <w:lang w:val="es-AR"/>
        </w:rPr>
        <w:t xml:space="preserve">durante el primer trimestre se realizó </w:t>
      </w:r>
      <w:r w:rsidR="00BD76FA" w:rsidRPr="0009028A">
        <w:rPr>
          <w:rFonts w:ascii="Arial" w:eastAsia="Arial" w:hAnsi="Arial" w:cs="Arial"/>
          <w:sz w:val="20"/>
          <w:szCs w:val="20"/>
          <w:lang w:val="es-AR"/>
        </w:rPr>
        <w:t xml:space="preserve">restitución de la </w:t>
      </w:r>
      <w:r w:rsidRPr="0009028A">
        <w:rPr>
          <w:rFonts w:ascii="Arial" w:eastAsia="Arial" w:hAnsi="Arial" w:cs="Arial"/>
          <w:sz w:val="20"/>
          <w:szCs w:val="20"/>
          <w:lang w:val="es-AR"/>
        </w:rPr>
        <w:t xml:space="preserve">prima de emisión de acciones por </w:t>
      </w:r>
      <w:r w:rsidR="00835D2D" w:rsidRPr="0009028A">
        <w:rPr>
          <w:rFonts w:ascii="Arial" w:eastAsia="Arial" w:hAnsi="Arial" w:cs="Arial"/>
          <w:sz w:val="20"/>
          <w:szCs w:val="20"/>
          <w:lang w:val="es-AR"/>
        </w:rPr>
        <w:t xml:space="preserve">$41.487.360 </w:t>
      </w:r>
      <w:r w:rsidRPr="0009028A">
        <w:rPr>
          <w:rFonts w:ascii="Arial" w:eastAsia="Arial" w:hAnsi="Arial" w:cs="Arial"/>
          <w:sz w:val="20"/>
          <w:szCs w:val="20"/>
          <w:lang w:val="es-AR"/>
        </w:rPr>
        <w:t xml:space="preserve">(2018 – </w:t>
      </w:r>
      <w:r w:rsidR="00835D2D" w:rsidRPr="0009028A">
        <w:rPr>
          <w:rFonts w:ascii="Arial" w:eastAsia="Arial" w:hAnsi="Arial" w:cs="Arial"/>
          <w:sz w:val="20"/>
          <w:szCs w:val="20"/>
          <w:lang w:val="es-AR"/>
        </w:rPr>
        <w:t>$11.286.219</w:t>
      </w:r>
      <w:r w:rsidRPr="0009028A">
        <w:rPr>
          <w:rFonts w:ascii="Arial" w:eastAsia="Arial" w:hAnsi="Arial" w:cs="Arial"/>
          <w:sz w:val="20"/>
          <w:szCs w:val="20"/>
          <w:lang w:val="es-AR"/>
        </w:rPr>
        <w:t>).</w:t>
      </w:r>
    </w:p>
    <w:p w14:paraId="4C524F5F" w14:textId="77777777" w:rsidR="00E9195B" w:rsidRPr="0009028A" w:rsidRDefault="00E9195B" w:rsidP="00E30D85">
      <w:pPr>
        <w:spacing w:after="0"/>
        <w:jc w:val="both"/>
        <w:rPr>
          <w:rFonts w:ascii="Arial" w:eastAsia="Arial" w:hAnsi="Arial" w:cs="Arial"/>
          <w:b/>
          <w:color w:val="002060"/>
          <w:sz w:val="20"/>
          <w:szCs w:val="20"/>
          <w:highlight w:val="yellow"/>
          <w:lang w:val="es-AR"/>
        </w:rPr>
      </w:pPr>
    </w:p>
    <w:p w14:paraId="0CBBC5FC" w14:textId="367D21F1" w:rsidR="008B5836" w:rsidRPr="0009028A" w:rsidRDefault="004F7AAE" w:rsidP="008C7EE5">
      <w:pPr>
        <w:pStyle w:val="Ttulo2"/>
        <w:spacing w:afterAutospacing="0"/>
        <w:rPr>
          <w:rFonts w:ascii="Arial" w:hAnsi="Arial" w:cs="Arial"/>
        </w:rPr>
      </w:pPr>
      <w:bookmarkStart w:id="307" w:name="_Toc506991932"/>
      <w:bookmarkStart w:id="308" w:name="_Toc8735108"/>
      <w:bookmarkEnd w:id="305"/>
      <w:r w:rsidRPr="0009028A">
        <w:rPr>
          <w:rFonts w:ascii="Arial" w:hAnsi="Arial" w:cs="Arial"/>
        </w:rPr>
        <w:t>1</w:t>
      </w:r>
      <w:r w:rsidR="00964E83">
        <w:rPr>
          <w:rFonts w:ascii="Arial" w:hAnsi="Arial" w:cs="Arial"/>
        </w:rPr>
        <w:t>2</w:t>
      </w:r>
      <w:r w:rsidR="008B5836" w:rsidRPr="0009028A">
        <w:rPr>
          <w:rFonts w:ascii="Arial" w:hAnsi="Arial" w:cs="Arial"/>
        </w:rPr>
        <w:t>.</w:t>
      </w:r>
      <w:r w:rsidR="00DF46E3" w:rsidRPr="0009028A">
        <w:rPr>
          <w:rFonts w:ascii="Arial" w:hAnsi="Arial" w:cs="Arial"/>
        </w:rPr>
        <w:t>3</w:t>
      </w:r>
      <w:r w:rsidR="008B5836" w:rsidRPr="0009028A">
        <w:rPr>
          <w:rFonts w:ascii="Arial" w:hAnsi="Arial" w:cs="Arial"/>
        </w:rPr>
        <w:t xml:space="preserve"> Restricciones </w:t>
      </w:r>
      <w:r w:rsidR="00791515" w:rsidRPr="0009028A">
        <w:rPr>
          <w:rFonts w:ascii="Arial" w:hAnsi="Arial" w:cs="Arial"/>
        </w:rPr>
        <w:t xml:space="preserve">y compromisos </w:t>
      </w:r>
      <w:r w:rsidR="008B5836" w:rsidRPr="0009028A">
        <w:rPr>
          <w:rFonts w:ascii="Arial" w:hAnsi="Arial" w:cs="Arial"/>
        </w:rPr>
        <w:t>significativas</w:t>
      </w:r>
      <w:bookmarkEnd w:id="307"/>
      <w:bookmarkEnd w:id="308"/>
    </w:p>
    <w:p w14:paraId="1AA6F930" w14:textId="77777777" w:rsidR="008B5836" w:rsidRPr="0009028A" w:rsidRDefault="008B5836" w:rsidP="008B5836">
      <w:pPr>
        <w:spacing w:after="0" w:line="276" w:lineRule="auto"/>
        <w:jc w:val="both"/>
        <w:rPr>
          <w:rFonts w:ascii="Arial" w:eastAsia="Arial" w:hAnsi="Arial" w:cs="Arial"/>
          <w:sz w:val="20"/>
          <w:szCs w:val="20"/>
          <w:lang w:val="es-AR"/>
        </w:rPr>
      </w:pPr>
    </w:p>
    <w:p w14:paraId="12B27976" w14:textId="77777777" w:rsidR="008B5836" w:rsidRPr="0009028A" w:rsidRDefault="008B5836" w:rsidP="008B5836">
      <w:pPr>
        <w:spacing w:after="0" w:line="276" w:lineRule="auto"/>
        <w:jc w:val="both"/>
        <w:rPr>
          <w:rFonts w:ascii="Arial" w:eastAsia="Arial" w:hAnsi="Arial" w:cs="Arial"/>
          <w:sz w:val="20"/>
          <w:szCs w:val="20"/>
          <w:lang w:val="es-AR"/>
        </w:rPr>
      </w:pPr>
      <w:r w:rsidRPr="0009028A">
        <w:rPr>
          <w:rFonts w:ascii="Arial" w:eastAsia="Arial" w:hAnsi="Arial" w:cs="Arial"/>
          <w:sz w:val="20"/>
          <w:szCs w:val="20"/>
          <w:lang w:val="es-AR"/>
        </w:rPr>
        <w:t>No existen restricciones que limiten la capacidad de las controladas directas para transferir fondos a la Compañía en forma de dividendos en efectivo, reembolso de préstamos, anticipos u otros.</w:t>
      </w:r>
    </w:p>
    <w:p w14:paraId="63EA613B" w14:textId="77777777" w:rsidR="008B5836" w:rsidRPr="0009028A" w:rsidRDefault="008B5836" w:rsidP="008B5836">
      <w:pPr>
        <w:spacing w:after="0" w:line="276" w:lineRule="auto"/>
        <w:rPr>
          <w:rFonts w:ascii="Arial" w:eastAsia="Arial" w:hAnsi="Arial" w:cs="Arial"/>
          <w:b/>
          <w:color w:val="7F7F7F" w:themeColor="text1" w:themeTint="80"/>
          <w:sz w:val="20"/>
          <w:szCs w:val="20"/>
          <w:highlight w:val="yellow"/>
          <w:lang w:val="es-AR"/>
        </w:rPr>
      </w:pPr>
    </w:p>
    <w:p w14:paraId="5532A98C" w14:textId="693D4214" w:rsidR="00160F79" w:rsidRPr="0009028A" w:rsidRDefault="008B5836" w:rsidP="000550B9">
      <w:pPr>
        <w:spacing w:after="0" w:line="276" w:lineRule="auto"/>
        <w:jc w:val="both"/>
        <w:rPr>
          <w:rFonts w:ascii="Arial" w:eastAsia="Arial" w:hAnsi="Arial" w:cs="Arial"/>
          <w:sz w:val="20"/>
          <w:szCs w:val="20"/>
          <w:lang w:val="es-AR"/>
        </w:rPr>
      </w:pPr>
      <w:r w:rsidRPr="0009028A">
        <w:rPr>
          <w:rFonts w:ascii="Arial" w:eastAsia="Arial" w:hAnsi="Arial" w:cs="Arial"/>
          <w:sz w:val="20"/>
          <w:szCs w:val="20"/>
          <w:lang w:val="es-AR"/>
        </w:rPr>
        <w:t>Ninguna de las inversiones en subsidiarias presentó indicios de deter</w:t>
      </w:r>
      <w:bookmarkStart w:id="309" w:name="_Toc506991941"/>
      <w:bookmarkStart w:id="310" w:name="_Hlk499130966"/>
      <w:r w:rsidR="004F7AAE" w:rsidRPr="0009028A">
        <w:rPr>
          <w:rFonts w:ascii="Arial" w:eastAsia="Arial" w:hAnsi="Arial" w:cs="Arial"/>
          <w:sz w:val="20"/>
          <w:szCs w:val="20"/>
          <w:lang w:val="es-AR"/>
        </w:rPr>
        <w:t xml:space="preserve">ioro </w:t>
      </w:r>
      <w:r w:rsidR="00EF05AC" w:rsidRPr="0009028A">
        <w:rPr>
          <w:rFonts w:ascii="Arial" w:eastAsia="Arial" w:hAnsi="Arial" w:cs="Arial"/>
          <w:sz w:val="20"/>
          <w:szCs w:val="20"/>
          <w:lang w:val="es-AR"/>
        </w:rPr>
        <w:t>a 31 de marzo</w:t>
      </w:r>
      <w:r w:rsidR="00E30D85" w:rsidRPr="0009028A">
        <w:rPr>
          <w:rFonts w:ascii="Arial" w:eastAsia="Arial" w:hAnsi="Arial" w:cs="Arial"/>
          <w:sz w:val="20"/>
          <w:szCs w:val="20"/>
          <w:lang w:val="es-AR"/>
        </w:rPr>
        <w:t xml:space="preserve"> de 201</w:t>
      </w:r>
      <w:r w:rsidR="00ED50FC" w:rsidRPr="0009028A">
        <w:rPr>
          <w:rFonts w:ascii="Arial" w:eastAsia="Arial" w:hAnsi="Arial" w:cs="Arial"/>
          <w:sz w:val="20"/>
          <w:szCs w:val="20"/>
          <w:lang w:val="es-AR"/>
        </w:rPr>
        <w:t>9</w:t>
      </w:r>
      <w:r w:rsidR="00E30D85" w:rsidRPr="0009028A">
        <w:rPr>
          <w:rFonts w:ascii="Arial" w:eastAsia="Arial" w:hAnsi="Arial" w:cs="Arial"/>
          <w:sz w:val="20"/>
          <w:szCs w:val="20"/>
          <w:lang w:val="es-AR"/>
        </w:rPr>
        <w:t xml:space="preserve"> y 31 de</w:t>
      </w:r>
      <w:r w:rsidR="00EF05AC" w:rsidRPr="0009028A">
        <w:rPr>
          <w:rFonts w:ascii="Arial" w:eastAsia="Arial" w:hAnsi="Arial" w:cs="Arial"/>
          <w:sz w:val="20"/>
          <w:szCs w:val="20"/>
          <w:lang w:val="es-AR"/>
        </w:rPr>
        <w:t xml:space="preserve"> diciembre de 2018</w:t>
      </w:r>
      <w:r w:rsidR="004F7AAE" w:rsidRPr="0009028A">
        <w:rPr>
          <w:rFonts w:ascii="Arial" w:eastAsia="Arial" w:hAnsi="Arial" w:cs="Arial"/>
          <w:sz w:val="20"/>
          <w:szCs w:val="20"/>
          <w:lang w:val="es-AR"/>
        </w:rPr>
        <w:t>.</w:t>
      </w:r>
      <w:bookmarkEnd w:id="301"/>
    </w:p>
    <w:p w14:paraId="139F4FF5" w14:textId="77777777" w:rsidR="00CA3497" w:rsidRPr="0009028A" w:rsidRDefault="00CA3497" w:rsidP="00160F79">
      <w:pPr>
        <w:spacing w:after="0" w:line="276" w:lineRule="auto"/>
        <w:rPr>
          <w:rFonts w:ascii="Arial" w:eastAsia="Arial" w:hAnsi="Arial" w:cs="Arial"/>
          <w:sz w:val="20"/>
          <w:szCs w:val="20"/>
          <w:lang w:val="es-AR"/>
        </w:rPr>
      </w:pPr>
    </w:p>
    <w:p w14:paraId="1DAB4E78" w14:textId="77777777" w:rsidR="002D21EB" w:rsidRDefault="002D21EB" w:rsidP="00964E83">
      <w:pPr>
        <w:pStyle w:val="Ttulo1"/>
      </w:pPr>
      <w:bookmarkStart w:id="311" w:name="_Toc506991945"/>
      <w:bookmarkStart w:id="312" w:name="_Hlk499124904"/>
      <w:bookmarkEnd w:id="309"/>
      <w:bookmarkEnd w:id="310"/>
    </w:p>
    <w:p w14:paraId="306F1361" w14:textId="09CC6AC3" w:rsidR="00964E83" w:rsidRPr="0009028A" w:rsidRDefault="00964E83" w:rsidP="00964E83">
      <w:pPr>
        <w:pStyle w:val="Ttulo1"/>
      </w:pPr>
      <w:bookmarkStart w:id="313" w:name="_Toc8735109"/>
      <w:r w:rsidRPr="0009028A">
        <w:t>Nota 1</w:t>
      </w:r>
      <w:r>
        <w:t>3</w:t>
      </w:r>
      <w:r w:rsidRPr="0009028A">
        <w:t xml:space="preserve">: </w:t>
      </w:r>
      <w:r>
        <w:t>Pasivos por arrendamientos</w:t>
      </w:r>
      <w:bookmarkEnd w:id="313"/>
    </w:p>
    <w:p w14:paraId="284A291F" w14:textId="5103E66A" w:rsidR="00964E83" w:rsidRPr="00F81DCB" w:rsidRDefault="00964E83" w:rsidP="00964E83">
      <w:pPr>
        <w:jc w:val="both"/>
        <w:rPr>
          <w:rFonts w:ascii="Arial" w:hAnsi="Arial" w:cs="Arial"/>
          <w:sz w:val="20"/>
        </w:rPr>
      </w:pPr>
      <w:r w:rsidRPr="00F81DCB">
        <w:rPr>
          <w:rFonts w:ascii="Arial" w:hAnsi="Arial" w:cs="Arial"/>
          <w:sz w:val="20"/>
        </w:rPr>
        <w:t xml:space="preserve">El saldo de los pasivos por </w:t>
      </w:r>
      <w:r w:rsidR="002D21EB">
        <w:rPr>
          <w:rFonts w:ascii="Arial" w:hAnsi="Arial" w:cs="Arial"/>
          <w:sz w:val="20"/>
        </w:rPr>
        <w:t>arrendamientos</w:t>
      </w:r>
      <w:r w:rsidRPr="00F81DCB">
        <w:rPr>
          <w:rFonts w:ascii="Arial" w:hAnsi="Arial" w:cs="Arial"/>
          <w:sz w:val="20"/>
        </w:rPr>
        <w:t xml:space="preserve"> a 31 de marzo de 2019, comprende:</w:t>
      </w:r>
    </w:p>
    <w:tbl>
      <w:tblPr>
        <w:tblW w:w="5102" w:type="pct"/>
        <w:tblLayout w:type="fixed"/>
        <w:tblCellMar>
          <w:left w:w="70" w:type="dxa"/>
          <w:right w:w="70" w:type="dxa"/>
        </w:tblCellMar>
        <w:tblLook w:val="04A0" w:firstRow="1" w:lastRow="0" w:firstColumn="1" w:lastColumn="0" w:noHBand="0" w:noVBand="1"/>
      </w:tblPr>
      <w:tblGrid>
        <w:gridCol w:w="6630"/>
        <w:gridCol w:w="1713"/>
        <w:gridCol w:w="1780"/>
      </w:tblGrid>
      <w:tr w:rsidR="00964E83" w:rsidRPr="00F81DCB" w14:paraId="06087B36" w14:textId="77777777" w:rsidTr="005F6088">
        <w:trPr>
          <w:trHeight w:val="227"/>
        </w:trPr>
        <w:tc>
          <w:tcPr>
            <w:tcW w:w="3275" w:type="pct"/>
            <w:shd w:val="clear" w:color="auto" w:fill="auto"/>
            <w:noWrap/>
            <w:vAlign w:val="bottom"/>
            <w:hideMark/>
          </w:tcPr>
          <w:p w14:paraId="40185677" w14:textId="77777777" w:rsidR="00964E83" w:rsidRPr="00F81DCB" w:rsidRDefault="00964E83" w:rsidP="005F6088">
            <w:pPr>
              <w:spacing w:after="0" w:line="240" w:lineRule="auto"/>
              <w:rPr>
                <w:rFonts w:ascii="Arial" w:eastAsia="Times New Roman" w:hAnsi="Arial" w:cs="Arial"/>
                <w:color w:val="000000"/>
                <w:sz w:val="18"/>
                <w:szCs w:val="18"/>
                <w:lang w:eastAsia="es-CO"/>
              </w:rPr>
            </w:pPr>
            <w:r w:rsidRPr="00F81DCB">
              <w:rPr>
                <w:rFonts w:ascii="Arial" w:eastAsia="Times New Roman" w:hAnsi="Arial" w:cs="Arial"/>
                <w:color w:val="000000"/>
                <w:sz w:val="18"/>
                <w:szCs w:val="18"/>
                <w:lang w:eastAsia="es-CO"/>
              </w:rPr>
              <w:t> </w:t>
            </w:r>
          </w:p>
        </w:tc>
        <w:tc>
          <w:tcPr>
            <w:tcW w:w="846" w:type="pct"/>
            <w:shd w:val="clear" w:color="auto" w:fill="auto"/>
            <w:vAlign w:val="center"/>
            <w:hideMark/>
          </w:tcPr>
          <w:p w14:paraId="00B9E2A9" w14:textId="77777777" w:rsidR="00964E83" w:rsidRPr="00F81DCB" w:rsidRDefault="00964E83" w:rsidP="005F6088">
            <w:pPr>
              <w:spacing w:after="0" w:line="240" w:lineRule="auto"/>
              <w:jc w:val="center"/>
              <w:rPr>
                <w:rFonts w:ascii="Arial" w:eastAsia="Times New Roman" w:hAnsi="Arial" w:cs="Arial"/>
                <w:b/>
                <w:bCs/>
                <w:color w:val="103475"/>
                <w:sz w:val="18"/>
                <w:szCs w:val="18"/>
                <w:lang w:eastAsia="es-CO"/>
              </w:rPr>
            </w:pPr>
            <w:r w:rsidRPr="00F81DCB">
              <w:rPr>
                <w:rFonts w:ascii="Arial" w:eastAsia="Times New Roman" w:hAnsi="Arial" w:cs="Arial"/>
                <w:b/>
                <w:bCs/>
                <w:color w:val="103475"/>
                <w:sz w:val="18"/>
                <w:szCs w:val="18"/>
                <w:lang w:eastAsia="es-CO"/>
              </w:rPr>
              <w:t>Marzo 2019</w:t>
            </w:r>
          </w:p>
        </w:tc>
        <w:tc>
          <w:tcPr>
            <w:tcW w:w="880" w:type="pct"/>
            <w:shd w:val="clear" w:color="auto" w:fill="auto"/>
            <w:vAlign w:val="center"/>
            <w:hideMark/>
          </w:tcPr>
          <w:p w14:paraId="76390F2F" w14:textId="77777777" w:rsidR="00964E83" w:rsidRPr="00F81DCB" w:rsidRDefault="00964E83" w:rsidP="005F6088">
            <w:pPr>
              <w:spacing w:after="0" w:line="240" w:lineRule="auto"/>
              <w:jc w:val="center"/>
              <w:rPr>
                <w:rFonts w:ascii="Arial" w:eastAsia="Times New Roman" w:hAnsi="Arial" w:cs="Arial"/>
                <w:b/>
                <w:bCs/>
                <w:color w:val="103475"/>
                <w:sz w:val="18"/>
                <w:szCs w:val="18"/>
                <w:lang w:eastAsia="es-CO"/>
              </w:rPr>
            </w:pPr>
            <w:r w:rsidRPr="00F81DCB">
              <w:rPr>
                <w:rFonts w:ascii="Arial" w:eastAsia="Times New Roman" w:hAnsi="Arial" w:cs="Arial"/>
                <w:b/>
                <w:bCs/>
                <w:color w:val="103475"/>
                <w:sz w:val="18"/>
                <w:szCs w:val="18"/>
                <w:lang w:eastAsia="es-CO"/>
              </w:rPr>
              <w:t>Diciembre 2018</w:t>
            </w:r>
          </w:p>
        </w:tc>
      </w:tr>
      <w:tr w:rsidR="00964E83" w:rsidRPr="00F81DCB" w14:paraId="7897B8C2" w14:textId="77777777" w:rsidTr="005F6088">
        <w:trPr>
          <w:trHeight w:val="227"/>
        </w:trPr>
        <w:tc>
          <w:tcPr>
            <w:tcW w:w="3275" w:type="pct"/>
            <w:shd w:val="clear" w:color="auto" w:fill="auto"/>
            <w:noWrap/>
            <w:vAlign w:val="bottom"/>
          </w:tcPr>
          <w:p w14:paraId="0E6B6C4F" w14:textId="77777777" w:rsidR="00964E83" w:rsidRPr="00F81DCB" w:rsidRDefault="00964E83" w:rsidP="005F6088">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Pasivos por arrendamientos</w:t>
            </w:r>
          </w:p>
        </w:tc>
        <w:tc>
          <w:tcPr>
            <w:tcW w:w="846" w:type="pct"/>
            <w:shd w:val="clear" w:color="auto" w:fill="auto"/>
            <w:vAlign w:val="center"/>
          </w:tcPr>
          <w:p w14:paraId="4A26D430" w14:textId="77777777" w:rsidR="00964E83" w:rsidRPr="008537CD" w:rsidRDefault="00964E83" w:rsidP="005F6088">
            <w:pPr>
              <w:spacing w:after="0" w:line="240" w:lineRule="auto"/>
              <w:jc w:val="right"/>
              <w:rPr>
                <w:rFonts w:ascii="Arial" w:eastAsia="Times New Roman" w:hAnsi="Arial" w:cs="Arial"/>
                <w:bCs/>
                <w:color w:val="103475"/>
                <w:sz w:val="18"/>
                <w:szCs w:val="18"/>
                <w:lang w:eastAsia="es-CO"/>
              </w:rPr>
            </w:pPr>
            <w:r w:rsidRPr="008537CD">
              <w:rPr>
                <w:rFonts w:ascii="Arial" w:eastAsia="Times New Roman" w:hAnsi="Arial" w:cs="Arial"/>
                <w:bCs/>
                <w:color w:val="002060"/>
                <w:sz w:val="18"/>
                <w:szCs w:val="18"/>
                <w:lang w:eastAsia="es-CO"/>
              </w:rPr>
              <w:t>22.426.788</w:t>
            </w:r>
          </w:p>
        </w:tc>
        <w:tc>
          <w:tcPr>
            <w:tcW w:w="880" w:type="pct"/>
            <w:shd w:val="clear" w:color="auto" w:fill="auto"/>
            <w:vAlign w:val="center"/>
          </w:tcPr>
          <w:p w14:paraId="4EA705D6" w14:textId="77777777" w:rsidR="00964E83" w:rsidRPr="008537CD" w:rsidRDefault="00964E83" w:rsidP="005F6088">
            <w:pPr>
              <w:spacing w:after="0" w:line="240" w:lineRule="auto"/>
              <w:jc w:val="right"/>
              <w:rPr>
                <w:rFonts w:ascii="Arial" w:eastAsia="Times New Roman" w:hAnsi="Arial" w:cs="Arial"/>
                <w:bCs/>
                <w:color w:val="103475"/>
                <w:sz w:val="18"/>
                <w:szCs w:val="18"/>
                <w:lang w:eastAsia="es-CO"/>
              </w:rPr>
            </w:pPr>
            <w:r w:rsidRPr="008537CD">
              <w:rPr>
                <w:rFonts w:ascii="Arial" w:eastAsia="Times New Roman" w:hAnsi="Arial" w:cs="Arial"/>
                <w:bCs/>
                <w:color w:val="103475"/>
                <w:sz w:val="18"/>
                <w:szCs w:val="18"/>
                <w:lang w:eastAsia="es-CO"/>
              </w:rPr>
              <w:t>-</w:t>
            </w:r>
          </w:p>
        </w:tc>
      </w:tr>
      <w:tr w:rsidR="00964E83" w:rsidRPr="00F81DCB" w14:paraId="1273994A" w14:textId="77777777" w:rsidTr="005F6088">
        <w:trPr>
          <w:trHeight w:val="227"/>
        </w:trPr>
        <w:tc>
          <w:tcPr>
            <w:tcW w:w="3275" w:type="pct"/>
            <w:shd w:val="clear" w:color="auto" w:fill="auto"/>
            <w:noWrap/>
            <w:vAlign w:val="bottom"/>
          </w:tcPr>
          <w:p w14:paraId="6F97D865" w14:textId="77777777" w:rsidR="00964E83" w:rsidRPr="00F81DCB" w:rsidRDefault="00964E83" w:rsidP="005F6088">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Corriente</w:t>
            </w:r>
          </w:p>
        </w:tc>
        <w:tc>
          <w:tcPr>
            <w:tcW w:w="846" w:type="pct"/>
            <w:shd w:val="clear" w:color="auto" w:fill="auto"/>
            <w:vAlign w:val="center"/>
          </w:tcPr>
          <w:p w14:paraId="2F558684" w14:textId="77777777" w:rsidR="00964E83" w:rsidRPr="008537CD" w:rsidRDefault="00964E83" w:rsidP="005F6088">
            <w:pPr>
              <w:spacing w:after="0" w:line="240" w:lineRule="auto"/>
              <w:jc w:val="right"/>
              <w:rPr>
                <w:rFonts w:ascii="Arial" w:eastAsia="Times New Roman" w:hAnsi="Arial" w:cs="Arial"/>
                <w:bCs/>
                <w:sz w:val="18"/>
                <w:szCs w:val="18"/>
                <w:lang w:eastAsia="es-CO"/>
              </w:rPr>
            </w:pPr>
            <w:r w:rsidRPr="008537CD">
              <w:rPr>
                <w:rFonts w:ascii="Arial" w:eastAsia="Times New Roman" w:hAnsi="Arial" w:cs="Arial"/>
                <w:bCs/>
                <w:sz w:val="18"/>
                <w:szCs w:val="18"/>
                <w:lang w:eastAsia="es-CO"/>
              </w:rPr>
              <w:t>15.174.453</w:t>
            </w:r>
          </w:p>
        </w:tc>
        <w:tc>
          <w:tcPr>
            <w:tcW w:w="880" w:type="pct"/>
            <w:shd w:val="clear" w:color="auto" w:fill="auto"/>
            <w:vAlign w:val="center"/>
          </w:tcPr>
          <w:p w14:paraId="7F16381C" w14:textId="77777777" w:rsidR="00964E83" w:rsidRPr="00F81DCB" w:rsidRDefault="00964E83" w:rsidP="005F6088">
            <w:pPr>
              <w:spacing w:after="0" w:line="240" w:lineRule="auto"/>
              <w:jc w:val="right"/>
              <w:rPr>
                <w:rFonts w:ascii="Arial" w:eastAsia="Times New Roman" w:hAnsi="Arial" w:cs="Arial"/>
                <w:b/>
                <w:bCs/>
                <w:color w:val="103475"/>
                <w:sz w:val="18"/>
                <w:szCs w:val="18"/>
                <w:lang w:eastAsia="es-CO"/>
              </w:rPr>
            </w:pPr>
            <w:r>
              <w:rPr>
                <w:rFonts w:ascii="Arial" w:eastAsia="Times New Roman" w:hAnsi="Arial" w:cs="Arial"/>
                <w:b/>
                <w:bCs/>
                <w:color w:val="103475"/>
                <w:sz w:val="18"/>
                <w:szCs w:val="18"/>
                <w:lang w:eastAsia="es-CO"/>
              </w:rPr>
              <w:t>-</w:t>
            </w:r>
          </w:p>
        </w:tc>
      </w:tr>
      <w:tr w:rsidR="00964E83" w:rsidRPr="00F81DCB" w14:paraId="56FAB1B9" w14:textId="77777777" w:rsidTr="005F6088">
        <w:trPr>
          <w:trHeight w:val="227"/>
        </w:trPr>
        <w:tc>
          <w:tcPr>
            <w:tcW w:w="3275" w:type="pct"/>
            <w:shd w:val="clear" w:color="auto" w:fill="auto"/>
            <w:noWrap/>
            <w:vAlign w:val="bottom"/>
          </w:tcPr>
          <w:p w14:paraId="77CC5CF5" w14:textId="77777777" w:rsidR="00964E83" w:rsidRDefault="00964E83" w:rsidP="005F6088">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No corriente</w:t>
            </w:r>
          </w:p>
        </w:tc>
        <w:tc>
          <w:tcPr>
            <w:tcW w:w="846" w:type="pct"/>
            <w:shd w:val="clear" w:color="auto" w:fill="auto"/>
            <w:vAlign w:val="center"/>
          </w:tcPr>
          <w:p w14:paraId="7617223B" w14:textId="77777777" w:rsidR="00964E83" w:rsidRPr="008537CD" w:rsidRDefault="00964E83" w:rsidP="005F6088">
            <w:pPr>
              <w:spacing w:after="0" w:line="240" w:lineRule="auto"/>
              <w:jc w:val="right"/>
              <w:rPr>
                <w:rFonts w:ascii="Arial" w:eastAsia="Times New Roman" w:hAnsi="Arial" w:cs="Arial"/>
                <w:bCs/>
                <w:sz w:val="18"/>
                <w:szCs w:val="18"/>
                <w:lang w:eastAsia="es-CO"/>
              </w:rPr>
            </w:pPr>
            <w:r w:rsidRPr="008537CD">
              <w:rPr>
                <w:rFonts w:ascii="Arial" w:eastAsia="Times New Roman" w:hAnsi="Arial" w:cs="Arial"/>
                <w:bCs/>
                <w:sz w:val="18"/>
                <w:szCs w:val="18"/>
                <w:lang w:eastAsia="es-CO"/>
              </w:rPr>
              <w:t>7.252.335</w:t>
            </w:r>
          </w:p>
        </w:tc>
        <w:tc>
          <w:tcPr>
            <w:tcW w:w="880" w:type="pct"/>
            <w:shd w:val="clear" w:color="auto" w:fill="auto"/>
            <w:vAlign w:val="center"/>
          </w:tcPr>
          <w:p w14:paraId="70891BC1" w14:textId="77777777" w:rsidR="00964E83" w:rsidRDefault="00964E83" w:rsidP="005F6088">
            <w:pPr>
              <w:spacing w:after="0" w:line="240" w:lineRule="auto"/>
              <w:jc w:val="right"/>
              <w:rPr>
                <w:rFonts w:ascii="Arial" w:eastAsia="Times New Roman" w:hAnsi="Arial" w:cs="Arial"/>
                <w:b/>
                <w:bCs/>
                <w:color w:val="103475"/>
                <w:sz w:val="18"/>
                <w:szCs w:val="18"/>
                <w:lang w:eastAsia="es-CO"/>
              </w:rPr>
            </w:pPr>
            <w:r>
              <w:rPr>
                <w:rFonts w:ascii="Arial" w:eastAsia="Times New Roman" w:hAnsi="Arial" w:cs="Arial"/>
                <w:b/>
                <w:bCs/>
                <w:color w:val="103475"/>
                <w:sz w:val="18"/>
                <w:szCs w:val="18"/>
                <w:lang w:eastAsia="es-CO"/>
              </w:rPr>
              <w:t>-</w:t>
            </w:r>
          </w:p>
        </w:tc>
      </w:tr>
      <w:tr w:rsidR="00964E83" w:rsidRPr="00F81DCB" w14:paraId="61E573DF" w14:textId="77777777" w:rsidTr="005F6088">
        <w:trPr>
          <w:trHeight w:val="227"/>
        </w:trPr>
        <w:tc>
          <w:tcPr>
            <w:tcW w:w="3275" w:type="pct"/>
            <w:shd w:val="clear" w:color="auto" w:fill="auto"/>
            <w:noWrap/>
            <w:vAlign w:val="bottom"/>
          </w:tcPr>
          <w:p w14:paraId="6A80F4B9" w14:textId="77777777" w:rsidR="00964E83" w:rsidRDefault="00964E83" w:rsidP="005F6088">
            <w:pPr>
              <w:spacing w:after="0" w:line="240" w:lineRule="auto"/>
              <w:rPr>
                <w:rFonts w:ascii="Arial" w:eastAsia="Times New Roman" w:hAnsi="Arial" w:cs="Arial"/>
                <w:color w:val="000000"/>
                <w:sz w:val="18"/>
                <w:szCs w:val="18"/>
                <w:lang w:eastAsia="es-CO"/>
              </w:rPr>
            </w:pPr>
          </w:p>
        </w:tc>
        <w:tc>
          <w:tcPr>
            <w:tcW w:w="846" w:type="pct"/>
            <w:shd w:val="clear" w:color="auto" w:fill="auto"/>
            <w:vAlign w:val="center"/>
          </w:tcPr>
          <w:p w14:paraId="70395A56" w14:textId="77777777" w:rsidR="00964E83" w:rsidRPr="008537CD" w:rsidRDefault="00964E83" w:rsidP="005F6088">
            <w:pPr>
              <w:spacing w:after="0" w:line="240" w:lineRule="auto"/>
              <w:jc w:val="right"/>
              <w:rPr>
                <w:rFonts w:ascii="Arial" w:eastAsia="Times New Roman" w:hAnsi="Arial" w:cs="Arial"/>
                <w:b/>
                <w:bCs/>
                <w:color w:val="103475"/>
                <w:sz w:val="18"/>
                <w:szCs w:val="18"/>
                <w:lang w:eastAsia="es-CO"/>
              </w:rPr>
            </w:pPr>
          </w:p>
        </w:tc>
        <w:tc>
          <w:tcPr>
            <w:tcW w:w="880" w:type="pct"/>
            <w:shd w:val="clear" w:color="auto" w:fill="auto"/>
            <w:vAlign w:val="center"/>
          </w:tcPr>
          <w:p w14:paraId="634B7C1E" w14:textId="77777777" w:rsidR="00964E83" w:rsidRDefault="00964E83" w:rsidP="005F6088">
            <w:pPr>
              <w:spacing w:after="0" w:line="240" w:lineRule="auto"/>
              <w:jc w:val="right"/>
              <w:rPr>
                <w:rFonts w:ascii="Arial" w:eastAsia="Times New Roman" w:hAnsi="Arial" w:cs="Arial"/>
                <w:b/>
                <w:bCs/>
                <w:color w:val="103475"/>
                <w:sz w:val="18"/>
                <w:szCs w:val="18"/>
                <w:lang w:eastAsia="es-CO"/>
              </w:rPr>
            </w:pPr>
          </w:p>
        </w:tc>
      </w:tr>
      <w:tr w:rsidR="00964E83" w:rsidRPr="00F81DCB" w14:paraId="412D88B0" w14:textId="77777777" w:rsidTr="005F6088">
        <w:trPr>
          <w:trHeight w:val="227"/>
        </w:trPr>
        <w:tc>
          <w:tcPr>
            <w:tcW w:w="3275" w:type="pct"/>
            <w:shd w:val="clear" w:color="auto" w:fill="auto"/>
            <w:vAlign w:val="center"/>
            <w:hideMark/>
          </w:tcPr>
          <w:p w14:paraId="3A9B1E35" w14:textId="77777777" w:rsidR="00964E83" w:rsidRPr="00F81DCB" w:rsidRDefault="00964E83" w:rsidP="005F6088">
            <w:pPr>
              <w:spacing w:after="0" w:line="240" w:lineRule="auto"/>
              <w:rPr>
                <w:rFonts w:ascii="Arial" w:eastAsia="Times New Roman" w:hAnsi="Arial" w:cs="Arial"/>
                <w:color w:val="000000"/>
                <w:sz w:val="18"/>
                <w:szCs w:val="18"/>
                <w:lang w:eastAsia="es-CO"/>
              </w:rPr>
            </w:pPr>
            <w:r w:rsidRPr="00F81DCB">
              <w:rPr>
                <w:rFonts w:ascii="Arial" w:hAnsi="Arial" w:cs="Arial"/>
                <w:color w:val="000000"/>
                <w:sz w:val="18"/>
                <w:szCs w:val="18"/>
              </w:rPr>
              <w:t>Reconocimiento inicial</w:t>
            </w:r>
          </w:p>
        </w:tc>
        <w:tc>
          <w:tcPr>
            <w:tcW w:w="846" w:type="pct"/>
            <w:shd w:val="clear" w:color="auto" w:fill="auto"/>
            <w:noWrap/>
            <w:vAlign w:val="center"/>
          </w:tcPr>
          <w:p w14:paraId="6BE2BC2E" w14:textId="77777777" w:rsidR="00964E83" w:rsidRPr="00F81DCB" w:rsidRDefault="00964E83" w:rsidP="005F6088">
            <w:pPr>
              <w:spacing w:after="0" w:line="240" w:lineRule="auto"/>
              <w:jc w:val="right"/>
              <w:rPr>
                <w:rFonts w:ascii="Arial" w:hAnsi="Arial" w:cs="Arial"/>
                <w:color w:val="000000"/>
                <w:sz w:val="18"/>
                <w:szCs w:val="18"/>
              </w:rPr>
            </w:pPr>
            <w:r w:rsidRPr="00F81DCB">
              <w:rPr>
                <w:rFonts w:ascii="Arial" w:hAnsi="Arial" w:cs="Arial"/>
                <w:color w:val="000000"/>
                <w:sz w:val="18"/>
                <w:szCs w:val="18"/>
              </w:rPr>
              <w:t>8.505.591</w:t>
            </w:r>
          </w:p>
        </w:tc>
        <w:tc>
          <w:tcPr>
            <w:tcW w:w="880" w:type="pct"/>
            <w:shd w:val="clear" w:color="auto" w:fill="auto"/>
            <w:noWrap/>
            <w:vAlign w:val="center"/>
          </w:tcPr>
          <w:p w14:paraId="745A243F" w14:textId="77777777" w:rsidR="00964E83" w:rsidRPr="00F81DCB" w:rsidRDefault="00964E83" w:rsidP="005F6088">
            <w:pPr>
              <w:spacing w:after="0" w:line="240" w:lineRule="auto"/>
              <w:jc w:val="right"/>
              <w:rPr>
                <w:rFonts w:ascii="Arial" w:eastAsia="Times New Roman" w:hAnsi="Arial" w:cs="Arial"/>
                <w:color w:val="000000"/>
                <w:sz w:val="18"/>
                <w:szCs w:val="18"/>
                <w:lang w:eastAsia="es-CO"/>
              </w:rPr>
            </w:pPr>
            <w:r w:rsidRPr="00F81DCB">
              <w:rPr>
                <w:rFonts w:ascii="Arial" w:eastAsia="Times New Roman" w:hAnsi="Arial" w:cs="Arial"/>
                <w:color w:val="000000"/>
                <w:sz w:val="18"/>
                <w:szCs w:val="18"/>
                <w:lang w:eastAsia="es-CO"/>
              </w:rPr>
              <w:t>-</w:t>
            </w:r>
          </w:p>
        </w:tc>
      </w:tr>
      <w:tr w:rsidR="00964E83" w:rsidRPr="00F81DCB" w14:paraId="3EDEE964" w14:textId="77777777" w:rsidTr="005F6088">
        <w:trPr>
          <w:trHeight w:val="227"/>
        </w:trPr>
        <w:tc>
          <w:tcPr>
            <w:tcW w:w="3275" w:type="pct"/>
            <w:shd w:val="clear" w:color="auto" w:fill="auto"/>
            <w:vAlign w:val="center"/>
          </w:tcPr>
          <w:p w14:paraId="0AE18EE6" w14:textId="77777777" w:rsidR="00964E83" w:rsidRPr="00F81DCB" w:rsidRDefault="00964E83" w:rsidP="005F6088">
            <w:pPr>
              <w:spacing w:after="0" w:line="240" w:lineRule="auto"/>
              <w:rPr>
                <w:rFonts w:ascii="Arial" w:hAnsi="Arial" w:cs="Arial"/>
                <w:color w:val="000000"/>
                <w:sz w:val="18"/>
                <w:szCs w:val="18"/>
              </w:rPr>
            </w:pPr>
            <w:r w:rsidRPr="00F81DCB">
              <w:rPr>
                <w:rFonts w:ascii="Arial" w:hAnsi="Arial" w:cs="Arial"/>
                <w:color w:val="000000"/>
                <w:sz w:val="18"/>
                <w:szCs w:val="18"/>
              </w:rPr>
              <w:t xml:space="preserve">Reclasificaciones </w:t>
            </w:r>
          </w:p>
        </w:tc>
        <w:tc>
          <w:tcPr>
            <w:tcW w:w="846" w:type="pct"/>
            <w:shd w:val="clear" w:color="auto" w:fill="auto"/>
            <w:noWrap/>
            <w:vAlign w:val="center"/>
          </w:tcPr>
          <w:p w14:paraId="0A33C18F" w14:textId="77777777" w:rsidR="00964E83" w:rsidRPr="00F81DCB" w:rsidRDefault="00964E83" w:rsidP="005F6088">
            <w:pPr>
              <w:spacing w:after="0" w:line="240" w:lineRule="auto"/>
              <w:jc w:val="right"/>
              <w:rPr>
                <w:rFonts w:ascii="Arial" w:hAnsi="Arial" w:cs="Arial"/>
                <w:color w:val="000000"/>
                <w:sz w:val="18"/>
                <w:szCs w:val="18"/>
              </w:rPr>
            </w:pPr>
            <w:r w:rsidRPr="00F81DCB">
              <w:rPr>
                <w:rFonts w:ascii="Arial" w:hAnsi="Arial" w:cs="Arial"/>
                <w:color w:val="000000"/>
                <w:sz w:val="18"/>
                <w:szCs w:val="18"/>
              </w:rPr>
              <w:t>14.213.612</w:t>
            </w:r>
          </w:p>
        </w:tc>
        <w:tc>
          <w:tcPr>
            <w:tcW w:w="880" w:type="pct"/>
            <w:shd w:val="clear" w:color="auto" w:fill="auto"/>
            <w:noWrap/>
            <w:vAlign w:val="center"/>
          </w:tcPr>
          <w:p w14:paraId="7E9540AB" w14:textId="77777777" w:rsidR="00964E83" w:rsidRPr="00F81DCB" w:rsidRDefault="00964E83" w:rsidP="005F6088">
            <w:pPr>
              <w:spacing w:after="0" w:line="240" w:lineRule="auto"/>
              <w:jc w:val="right"/>
              <w:rPr>
                <w:rFonts w:ascii="Arial" w:eastAsia="Times New Roman" w:hAnsi="Arial" w:cs="Arial"/>
                <w:color w:val="000000"/>
                <w:sz w:val="18"/>
                <w:szCs w:val="18"/>
                <w:lang w:eastAsia="es-CO"/>
              </w:rPr>
            </w:pPr>
            <w:r w:rsidRPr="00F81DCB">
              <w:rPr>
                <w:rFonts w:ascii="Arial" w:eastAsia="Times New Roman" w:hAnsi="Arial" w:cs="Arial"/>
                <w:color w:val="000000"/>
                <w:sz w:val="18"/>
                <w:szCs w:val="18"/>
                <w:lang w:eastAsia="es-CO"/>
              </w:rPr>
              <w:t>-</w:t>
            </w:r>
          </w:p>
        </w:tc>
      </w:tr>
      <w:tr w:rsidR="00964E83" w:rsidRPr="00F81DCB" w14:paraId="3E70A31C" w14:textId="77777777" w:rsidTr="005F6088">
        <w:trPr>
          <w:trHeight w:val="227"/>
        </w:trPr>
        <w:tc>
          <w:tcPr>
            <w:tcW w:w="3275" w:type="pct"/>
            <w:shd w:val="clear" w:color="auto" w:fill="auto"/>
            <w:vAlign w:val="center"/>
          </w:tcPr>
          <w:p w14:paraId="08AC722E" w14:textId="77777777" w:rsidR="00964E83" w:rsidRPr="00F81DCB" w:rsidRDefault="00964E83" w:rsidP="005F6088">
            <w:pPr>
              <w:spacing w:after="0" w:line="240" w:lineRule="auto"/>
              <w:rPr>
                <w:rFonts w:ascii="Arial" w:hAnsi="Arial" w:cs="Arial"/>
                <w:color w:val="000000"/>
                <w:sz w:val="18"/>
                <w:szCs w:val="18"/>
              </w:rPr>
            </w:pPr>
            <w:r w:rsidRPr="00F81DCB">
              <w:rPr>
                <w:rFonts w:ascii="Arial" w:hAnsi="Arial" w:cs="Arial"/>
                <w:color w:val="000000"/>
                <w:sz w:val="18"/>
                <w:szCs w:val="18"/>
              </w:rPr>
              <w:t>Intereses causados</w:t>
            </w:r>
          </w:p>
        </w:tc>
        <w:tc>
          <w:tcPr>
            <w:tcW w:w="846" w:type="pct"/>
            <w:shd w:val="clear" w:color="auto" w:fill="auto"/>
            <w:noWrap/>
            <w:vAlign w:val="center"/>
          </w:tcPr>
          <w:p w14:paraId="5AA501D0" w14:textId="77777777" w:rsidR="00964E83" w:rsidRPr="00F81DCB" w:rsidRDefault="00964E83" w:rsidP="005F6088">
            <w:pPr>
              <w:spacing w:after="0" w:line="240" w:lineRule="auto"/>
              <w:jc w:val="right"/>
              <w:rPr>
                <w:rFonts w:ascii="Arial" w:hAnsi="Arial" w:cs="Arial"/>
                <w:color w:val="000000"/>
                <w:sz w:val="18"/>
                <w:szCs w:val="18"/>
              </w:rPr>
            </w:pPr>
            <w:r w:rsidRPr="00F81DCB">
              <w:rPr>
                <w:rFonts w:ascii="Arial" w:hAnsi="Arial" w:cs="Arial"/>
                <w:color w:val="000000"/>
                <w:sz w:val="18"/>
                <w:szCs w:val="18"/>
              </w:rPr>
              <w:t>160.711</w:t>
            </w:r>
          </w:p>
        </w:tc>
        <w:tc>
          <w:tcPr>
            <w:tcW w:w="880" w:type="pct"/>
            <w:shd w:val="clear" w:color="auto" w:fill="auto"/>
            <w:noWrap/>
            <w:vAlign w:val="center"/>
          </w:tcPr>
          <w:p w14:paraId="07435DC2" w14:textId="77777777" w:rsidR="00964E83" w:rsidRPr="00F81DCB" w:rsidRDefault="00964E83" w:rsidP="005F6088">
            <w:pPr>
              <w:spacing w:after="0" w:line="240" w:lineRule="auto"/>
              <w:jc w:val="right"/>
              <w:rPr>
                <w:rFonts w:ascii="Arial" w:eastAsia="Times New Roman" w:hAnsi="Arial" w:cs="Arial"/>
                <w:color w:val="000000"/>
                <w:sz w:val="18"/>
                <w:szCs w:val="18"/>
                <w:lang w:eastAsia="es-CO"/>
              </w:rPr>
            </w:pPr>
            <w:r w:rsidRPr="00F81DCB">
              <w:rPr>
                <w:rFonts w:ascii="Arial" w:eastAsia="Times New Roman" w:hAnsi="Arial" w:cs="Arial"/>
                <w:color w:val="000000"/>
                <w:sz w:val="18"/>
                <w:szCs w:val="18"/>
                <w:lang w:eastAsia="es-CO"/>
              </w:rPr>
              <w:t>-</w:t>
            </w:r>
          </w:p>
        </w:tc>
      </w:tr>
      <w:tr w:rsidR="00964E83" w:rsidRPr="00F81DCB" w14:paraId="133F952B" w14:textId="77777777" w:rsidTr="005F6088">
        <w:trPr>
          <w:trHeight w:val="227"/>
        </w:trPr>
        <w:tc>
          <w:tcPr>
            <w:tcW w:w="3275" w:type="pct"/>
            <w:shd w:val="clear" w:color="auto" w:fill="auto"/>
            <w:vAlign w:val="center"/>
          </w:tcPr>
          <w:p w14:paraId="022E3587" w14:textId="77777777" w:rsidR="00964E83" w:rsidRPr="00F81DCB" w:rsidRDefault="00964E83" w:rsidP="005F6088">
            <w:pPr>
              <w:spacing w:after="0" w:line="240" w:lineRule="auto"/>
              <w:rPr>
                <w:rFonts w:ascii="Arial" w:hAnsi="Arial" w:cs="Arial"/>
                <w:color w:val="000000"/>
                <w:sz w:val="18"/>
                <w:szCs w:val="18"/>
              </w:rPr>
            </w:pPr>
            <w:r w:rsidRPr="00F81DCB">
              <w:rPr>
                <w:rFonts w:ascii="Arial" w:hAnsi="Arial" w:cs="Arial"/>
                <w:color w:val="000000"/>
                <w:sz w:val="18"/>
                <w:szCs w:val="18"/>
              </w:rPr>
              <w:t>Pagos realizados</w:t>
            </w:r>
          </w:p>
        </w:tc>
        <w:tc>
          <w:tcPr>
            <w:tcW w:w="846" w:type="pct"/>
            <w:shd w:val="clear" w:color="auto" w:fill="auto"/>
            <w:noWrap/>
            <w:vAlign w:val="center"/>
          </w:tcPr>
          <w:p w14:paraId="41C8330A" w14:textId="77777777" w:rsidR="00964E83" w:rsidRPr="00F81DCB" w:rsidRDefault="00964E83" w:rsidP="005F6088">
            <w:pPr>
              <w:spacing w:after="0" w:line="240" w:lineRule="auto"/>
              <w:jc w:val="right"/>
              <w:rPr>
                <w:rFonts w:ascii="Arial" w:hAnsi="Arial" w:cs="Arial"/>
                <w:color w:val="000000"/>
                <w:sz w:val="18"/>
                <w:szCs w:val="18"/>
                <w:u w:val="single"/>
              </w:rPr>
            </w:pPr>
            <w:r w:rsidRPr="00F81DCB">
              <w:rPr>
                <w:rFonts w:ascii="Arial" w:hAnsi="Arial" w:cs="Arial"/>
                <w:color w:val="000000"/>
                <w:sz w:val="18"/>
                <w:szCs w:val="18"/>
                <w:u w:val="single"/>
              </w:rPr>
              <w:t>(453.126)</w:t>
            </w:r>
          </w:p>
        </w:tc>
        <w:tc>
          <w:tcPr>
            <w:tcW w:w="880" w:type="pct"/>
            <w:shd w:val="clear" w:color="auto" w:fill="auto"/>
            <w:noWrap/>
            <w:vAlign w:val="center"/>
          </w:tcPr>
          <w:p w14:paraId="385AECEA" w14:textId="77777777" w:rsidR="00964E83" w:rsidRPr="00F81DCB" w:rsidRDefault="00964E83" w:rsidP="005F6088">
            <w:pPr>
              <w:spacing w:after="0" w:line="240" w:lineRule="auto"/>
              <w:jc w:val="right"/>
              <w:rPr>
                <w:rFonts w:ascii="Arial" w:eastAsia="Times New Roman" w:hAnsi="Arial" w:cs="Arial"/>
                <w:color w:val="000000"/>
                <w:sz w:val="18"/>
                <w:szCs w:val="18"/>
                <w:u w:val="single"/>
                <w:lang w:eastAsia="es-CO"/>
              </w:rPr>
            </w:pPr>
            <w:r w:rsidRPr="00F81DCB">
              <w:rPr>
                <w:rFonts w:ascii="Arial" w:eastAsia="Times New Roman" w:hAnsi="Arial" w:cs="Arial"/>
                <w:color w:val="000000"/>
                <w:sz w:val="18"/>
                <w:szCs w:val="18"/>
                <w:u w:val="single"/>
                <w:lang w:eastAsia="es-CO"/>
              </w:rPr>
              <w:t xml:space="preserve">            -</w:t>
            </w:r>
          </w:p>
        </w:tc>
      </w:tr>
      <w:tr w:rsidR="00964E83" w:rsidRPr="00F81DCB" w14:paraId="76C649C6" w14:textId="77777777" w:rsidTr="005F6088">
        <w:trPr>
          <w:trHeight w:val="227"/>
        </w:trPr>
        <w:tc>
          <w:tcPr>
            <w:tcW w:w="3275" w:type="pct"/>
            <w:shd w:val="clear" w:color="auto" w:fill="auto"/>
            <w:noWrap/>
            <w:vAlign w:val="center"/>
            <w:hideMark/>
          </w:tcPr>
          <w:p w14:paraId="094A4307" w14:textId="77777777" w:rsidR="00964E83" w:rsidRPr="00F81DCB" w:rsidRDefault="00964E83" w:rsidP="005F6088">
            <w:pPr>
              <w:spacing w:after="0" w:line="240" w:lineRule="auto"/>
              <w:rPr>
                <w:rFonts w:ascii="Arial" w:eastAsia="Times New Roman" w:hAnsi="Arial" w:cs="Arial"/>
                <w:b/>
                <w:bCs/>
                <w:color w:val="103475"/>
                <w:sz w:val="18"/>
                <w:szCs w:val="18"/>
                <w:lang w:eastAsia="es-CO"/>
              </w:rPr>
            </w:pPr>
            <w:r w:rsidRPr="00F81DCB">
              <w:rPr>
                <w:rFonts w:ascii="Arial" w:eastAsia="Times New Roman" w:hAnsi="Arial" w:cs="Arial"/>
                <w:b/>
                <w:bCs/>
                <w:color w:val="103475"/>
                <w:sz w:val="18"/>
                <w:szCs w:val="18"/>
                <w:lang w:eastAsia="es-CO"/>
              </w:rPr>
              <w:t>Total derecho de uso propiedades, planta y equipo, neto</w:t>
            </w:r>
          </w:p>
        </w:tc>
        <w:tc>
          <w:tcPr>
            <w:tcW w:w="846" w:type="pct"/>
            <w:shd w:val="clear" w:color="auto" w:fill="auto"/>
            <w:noWrap/>
            <w:vAlign w:val="center"/>
          </w:tcPr>
          <w:p w14:paraId="00FA240F" w14:textId="77777777" w:rsidR="00964E83" w:rsidRPr="00F81DCB" w:rsidRDefault="00964E83" w:rsidP="005F6088">
            <w:pPr>
              <w:spacing w:after="0" w:line="240" w:lineRule="auto"/>
              <w:jc w:val="right"/>
              <w:rPr>
                <w:rFonts w:ascii="Arial" w:eastAsia="Times New Roman" w:hAnsi="Arial" w:cs="Arial"/>
                <w:b/>
                <w:bCs/>
                <w:color w:val="103475"/>
                <w:sz w:val="18"/>
                <w:szCs w:val="18"/>
                <w:u w:val="double"/>
                <w:lang w:eastAsia="es-CO"/>
              </w:rPr>
            </w:pPr>
            <w:r w:rsidRPr="00F81DCB">
              <w:rPr>
                <w:rFonts w:ascii="Arial" w:eastAsia="Times New Roman" w:hAnsi="Arial" w:cs="Arial"/>
                <w:b/>
                <w:bCs/>
                <w:color w:val="103475"/>
                <w:sz w:val="18"/>
                <w:szCs w:val="18"/>
                <w:lang w:eastAsia="es-CO"/>
              </w:rPr>
              <w:t xml:space="preserve">$ </w:t>
            </w:r>
            <w:r w:rsidRPr="00F81DCB">
              <w:rPr>
                <w:rFonts w:ascii="Arial" w:eastAsia="Times New Roman" w:hAnsi="Arial" w:cs="Arial"/>
                <w:b/>
                <w:bCs/>
                <w:color w:val="103475"/>
                <w:sz w:val="18"/>
                <w:szCs w:val="18"/>
                <w:u w:val="double"/>
                <w:lang w:eastAsia="es-CO"/>
              </w:rPr>
              <w:t xml:space="preserve">   22.426.788</w:t>
            </w:r>
          </w:p>
        </w:tc>
        <w:tc>
          <w:tcPr>
            <w:tcW w:w="880" w:type="pct"/>
            <w:shd w:val="clear" w:color="auto" w:fill="auto"/>
            <w:noWrap/>
            <w:vAlign w:val="center"/>
            <w:hideMark/>
          </w:tcPr>
          <w:p w14:paraId="174615FD" w14:textId="77777777" w:rsidR="00964E83" w:rsidRPr="00F81DCB" w:rsidRDefault="00964E83" w:rsidP="005F6088">
            <w:pPr>
              <w:spacing w:after="0" w:line="240" w:lineRule="auto"/>
              <w:jc w:val="right"/>
              <w:rPr>
                <w:rFonts w:ascii="Arial" w:eastAsia="Times New Roman" w:hAnsi="Arial" w:cs="Arial"/>
                <w:b/>
                <w:bCs/>
                <w:color w:val="103475"/>
                <w:sz w:val="18"/>
                <w:szCs w:val="18"/>
                <w:u w:val="double"/>
                <w:lang w:eastAsia="es-CO"/>
              </w:rPr>
            </w:pPr>
            <w:r w:rsidRPr="00F81DCB">
              <w:rPr>
                <w:rFonts w:ascii="Arial" w:eastAsia="Times New Roman" w:hAnsi="Arial" w:cs="Arial"/>
                <w:b/>
                <w:bCs/>
                <w:color w:val="103475"/>
                <w:sz w:val="18"/>
                <w:szCs w:val="18"/>
                <w:u w:val="double"/>
                <w:lang w:eastAsia="es-CO"/>
              </w:rPr>
              <w:t xml:space="preserve">            -</w:t>
            </w:r>
          </w:p>
        </w:tc>
      </w:tr>
    </w:tbl>
    <w:p w14:paraId="3009257B" w14:textId="77777777" w:rsidR="00964E83" w:rsidRPr="00F81DCB" w:rsidRDefault="00964E83" w:rsidP="00964E83">
      <w:pPr>
        <w:jc w:val="both"/>
        <w:rPr>
          <w:rFonts w:ascii="Arial" w:hAnsi="Arial" w:cs="Arial"/>
          <w:sz w:val="20"/>
        </w:rPr>
      </w:pPr>
    </w:p>
    <w:p w14:paraId="69EFBB2B" w14:textId="77777777" w:rsidR="00964E83" w:rsidRPr="00F81DCB" w:rsidRDefault="00964E83" w:rsidP="00964E83">
      <w:pPr>
        <w:jc w:val="both"/>
        <w:rPr>
          <w:rFonts w:ascii="Arial" w:hAnsi="Arial" w:cs="Arial"/>
          <w:sz w:val="20"/>
        </w:rPr>
      </w:pPr>
      <w:r w:rsidRPr="00F81DCB">
        <w:rPr>
          <w:rFonts w:ascii="Arial" w:hAnsi="Arial" w:cs="Arial"/>
          <w:sz w:val="20"/>
        </w:rPr>
        <w:t>Los intereses causados han sido reconocidos en los gastos financieros del ejercicio.</w:t>
      </w:r>
    </w:p>
    <w:p w14:paraId="0E413A96" w14:textId="7D69A643" w:rsidR="00C570B0" w:rsidRPr="0009028A" w:rsidRDefault="00C570B0" w:rsidP="00D100F1">
      <w:pPr>
        <w:pStyle w:val="Ttulo1"/>
      </w:pPr>
      <w:bookmarkStart w:id="314" w:name="_Toc8735110"/>
      <w:r w:rsidRPr="0009028A">
        <w:t>Nota 1</w:t>
      </w:r>
      <w:r w:rsidR="00964E83">
        <w:t>4</w:t>
      </w:r>
      <w:r w:rsidRPr="0009028A">
        <w:t xml:space="preserve">: </w:t>
      </w:r>
      <w:r w:rsidR="00D33764">
        <w:t>Acreedores</w:t>
      </w:r>
      <w:r w:rsidR="00EC14AE" w:rsidRPr="0009028A">
        <w:t xml:space="preserve"> comerciales y otras cuentas por pagar</w:t>
      </w:r>
      <w:bookmarkEnd w:id="314"/>
    </w:p>
    <w:p w14:paraId="286C1E1C" w14:textId="5B5D594D" w:rsidR="00EC14AE" w:rsidRPr="0009028A" w:rsidRDefault="00D03A61" w:rsidP="00EC14AE">
      <w:pPr>
        <w:rPr>
          <w:rFonts w:ascii="Arial" w:hAnsi="Arial" w:cs="Arial"/>
          <w:sz w:val="20"/>
        </w:rPr>
      </w:pPr>
      <w:r w:rsidRPr="0009028A">
        <w:rPr>
          <w:rFonts w:ascii="Arial" w:hAnsi="Arial" w:cs="Arial"/>
          <w:sz w:val="20"/>
        </w:rPr>
        <w:t xml:space="preserve">Los </w:t>
      </w:r>
      <w:r w:rsidR="00D33764">
        <w:rPr>
          <w:rFonts w:ascii="Arial" w:hAnsi="Arial" w:cs="Arial"/>
          <w:sz w:val="20"/>
        </w:rPr>
        <w:t>acreedores</w:t>
      </w:r>
      <w:r w:rsidRPr="0009028A">
        <w:rPr>
          <w:rFonts w:ascii="Arial" w:hAnsi="Arial" w:cs="Arial"/>
          <w:sz w:val="20"/>
        </w:rPr>
        <w:t xml:space="preserve"> comerciales y otras cuentas por pagar, comprenden:</w:t>
      </w:r>
    </w:p>
    <w:tbl>
      <w:tblPr>
        <w:tblW w:w="9353" w:type="dxa"/>
        <w:tblCellMar>
          <w:left w:w="70" w:type="dxa"/>
          <w:right w:w="70" w:type="dxa"/>
        </w:tblCellMar>
        <w:tblLook w:val="04A0" w:firstRow="1" w:lastRow="0" w:firstColumn="1" w:lastColumn="0" w:noHBand="0" w:noVBand="1"/>
      </w:tblPr>
      <w:tblGrid>
        <w:gridCol w:w="6236"/>
        <w:gridCol w:w="1417"/>
        <w:gridCol w:w="283"/>
        <w:gridCol w:w="1417"/>
      </w:tblGrid>
      <w:tr w:rsidR="00B6321C" w:rsidRPr="00B6321C" w14:paraId="55C1167F" w14:textId="77777777" w:rsidTr="00D33764">
        <w:trPr>
          <w:trHeight w:val="227"/>
        </w:trPr>
        <w:tc>
          <w:tcPr>
            <w:tcW w:w="6236" w:type="dxa"/>
            <w:shd w:val="clear" w:color="auto" w:fill="auto"/>
            <w:noWrap/>
            <w:vAlign w:val="center"/>
            <w:hideMark/>
          </w:tcPr>
          <w:p w14:paraId="0EDA8B54" w14:textId="77777777" w:rsidR="00B6321C" w:rsidRPr="00B6321C" w:rsidRDefault="00B6321C" w:rsidP="00B6321C">
            <w:pPr>
              <w:spacing w:after="0" w:line="240" w:lineRule="auto"/>
              <w:rPr>
                <w:rFonts w:ascii="Arial" w:eastAsia="Times New Roman" w:hAnsi="Arial" w:cs="Arial"/>
                <w:b/>
                <w:bCs/>
                <w:color w:val="002060"/>
                <w:sz w:val="18"/>
                <w:szCs w:val="18"/>
                <w:lang w:eastAsia="es-CO"/>
              </w:rPr>
            </w:pPr>
            <w:r w:rsidRPr="00B6321C">
              <w:rPr>
                <w:rFonts w:ascii="Arial" w:eastAsia="Times New Roman" w:hAnsi="Arial" w:cs="Arial"/>
                <w:b/>
                <w:bCs/>
                <w:color w:val="002060"/>
                <w:sz w:val="18"/>
                <w:szCs w:val="18"/>
                <w:lang w:eastAsia="es-CO"/>
              </w:rPr>
              <w:t> </w:t>
            </w:r>
          </w:p>
        </w:tc>
        <w:tc>
          <w:tcPr>
            <w:tcW w:w="1417" w:type="dxa"/>
            <w:shd w:val="clear" w:color="auto" w:fill="auto"/>
            <w:noWrap/>
            <w:vAlign w:val="center"/>
            <w:hideMark/>
          </w:tcPr>
          <w:p w14:paraId="711FCE29" w14:textId="77777777" w:rsidR="00B6321C" w:rsidRPr="00B6321C" w:rsidRDefault="00B6321C" w:rsidP="00B6321C">
            <w:pPr>
              <w:spacing w:after="0" w:line="240" w:lineRule="auto"/>
              <w:jc w:val="center"/>
              <w:rPr>
                <w:rFonts w:ascii="Arial" w:eastAsia="Times New Roman" w:hAnsi="Arial" w:cs="Arial"/>
                <w:b/>
                <w:bCs/>
                <w:color w:val="002060"/>
                <w:sz w:val="18"/>
                <w:szCs w:val="18"/>
                <w:lang w:eastAsia="es-CO"/>
              </w:rPr>
            </w:pPr>
            <w:r w:rsidRPr="00B6321C">
              <w:rPr>
                <w:rFonts w:ascii="Arial" w:eastAsia="Times New Roman" w:hAnsi="Arial" w:cs="Arial"/>
                <w:b/>
                <w:bCs/>
                <w:color w:val="002060"/>
                <w:sz w:val="18"/>
                <w:szCs w:val="18"/>
                <w:lang w:eastAsia="es-CO"/>
              </w:rPr>
              <w:t>Marzo 2019</w:t>
            </w:r>
          </w:p>
        </w:tc>
        <w:tc>
          <w:tcPr>
            <w:tcW w:w="283" w:type="dxa"/>
            <w:shd w:val="clear" w:color="auto" w:fill="auto"/>
            <w:noWrap/>
            <w:vAlign w:val="center"/>
            <w:hideMark/>
          </w:tcPr>
          <w:p w14:paraId="6C34E105" w14:textId="77777777" w:rsidR="00B6321C" w:rsidRPr="00B6321C" w:rsidRDefault="00B6321C" w:rsidP="00B6321C">
            <w:pPr>
              <w:spacing w:after="0" w:line="240" w:lineRule="auto"/>
              <w:jc w:val="center"/>
              <w:rPr>
                <w:rFonts w:ascii="Arial" w:eastAsia="Times New Roman" w:hAnsi="Arial" w:cs="Arial"/>
                <w:b/>
                <w:bCs/>
                <w:color w:val="002060"/>
                <w:sz w:val="18"/>
                <w:szCs w:val="18"/>
                <w:lang w:eastAsia="es-CO"/>
              </w:rPr>
            </w:pPr>
          </w:p>
        </w:tc>
        <w:tc>
          <w:tcPr>
            <w:tcW w:w="1417" w:type="dxa"/>
            <w:shd w:val="clear" w:color="auto" w:fill="auto"/>
            <w:noWrap/>
            <w:vAlign w:val="center"/>
            <w:hideMark/>
          </w:tcPr>
          <w:p w14:paraId="43A96CD6" w14:textId="77777777" w:rsidR="00B6321C" w:rsidRPr="00B6321C" w:rsidRDefault="00B6321C" w:rsidP="00B6321C">
            <w:pPr>
              <w:spacing w:after="0" w:line="240" w:lineRule="auto"/>
              <w:jc w:val="center"/>
              <w:rPr>
                <w:rFonts w:ascii="Arial" w:eastAsia="Times New Roman" w:hAnsi="Arial" w:cs="Arial"/>
                <w:b/>
                <w:bCs/>
                <w:color w:val="002060"/>
                <w:sz w:val="18"/>
                <w:szCs w:val="18"/>
                <w:lang w:eastAsia="es-CO"/>
              </w:rPr>
            </w:pPr>
            <w:r w:rsidRPr="00B6321C">
              <w:rPr>
                <w:rFonts w:ascii="Arial" w:eastAsia="Times New Roman" w:hAnsi="Arial" w:cs="Arial"/>
                <w:b/>
                <w:bCs/>
                <w:color w:val="002060"/>
                <w:sz w:val="18"/>
                <w:szCs w:val="18"/>
                <w:lang w:eastAsia="es-CO"/>
              </w:rPr>
              <w:t>Diciembre 2018</w:t>
            </w:r>
          </w:p>
        </w:tc>
      </w:tr>
      <w:tr w:rsidR="00B6321C" w:rsidRPr="00B6321C" w14:paraId="49BAB90A" w14:textId="77777777" w:rsidTr="00D33764">
        <w:trPr>
          <w:trHeight w:val="227"/>
        </w:trPr>
        <w:tc>
          <w:tcPr>
            <w:tcW w:w="6236" w:type="dxa"/>
            <w:shd w:val="clear" w:color="auto" w:fill="auto"/>
            <w:noWrap/>
            <w:vAlign w:val="center"/>
            <w:hideMark/>
          </w:tcPr>
          <w:p w14:paraId="6B88EE49" w14:textId="77777777" w:rsidR="00B6321C" w:rsidRPr="00B6321C" w:rsidRDefault="00B6321C" w:rsidP="00B6321C">
            <w:pPr>
              <w:spacing w:after="0" w:line="240" w:lineRule="auto"/>
              <w:rPr>
                <w:rFonts w:ascii="Arial" w:eastAsia="Times New Roman" w:hAnsi="Arial" w:cs="Arial"/>
                <w:color w:val="000000"/>
                <w:sz w:val="18"/>
                <w:szCs w:val="18"/>
                <w:lang w:eastAsia="es-CO"/>
              </w:rPr>
            </w:pPr>
            <w:r w:rsidRPr="00B6321C">
              <w:rPr>
                <w:rFonts w:ascii="Arial" w:eastAsia="Times New Roman" w:hAnsi="Arial" w:cs="Arial"/>
                <w:color w:val="000000"/>
                <w:sz w:val="18"/>
                <w:szCs w:val="18"/>
                <w:lang w:eastAsia="es-CO"/>
              </w:rPr>
              <w:t>Dividendos por pagar</w:t>
            </w:r>
          </w:p>
        </w:tc>
        <w:tc>
          <w:tcPr>
            <w:tcW w:w="1417" w:type="dxa"/>
            <w:shd w:val="clear" w:color="auto" w:fill="auto"/>
            <w:noWrap/>
            <w:vAlign w:val="center"/>
            <w:hideMark/>
          </w:tcPr>
          <w:p w14:paraId="7F2A52CA" w14:textId="043B0260" w:rsidR="00B6321C" w:rsidRPr="00B6321C" w:rsidRDefault="00D33764" w:rsidP="00B6321C">
            <w:pPr>
              <w:spacing w:after="0" w:line="240" w:lineRule="auto"/>
              <w:jc w:val="right"/>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        </w:t>
            </w:r>
            <w:r w:rsidR="00B6321C" w:rsidRPr="00B6321C">
              <w:rPr>
                <w:rFonts w:ascii="Arial" w:eastAsia="Times New Roman" w:hAnsi="Arial" w:cs="Arial"/>
                <w:color w:val="000000"/>
                <w:sz w:val="18"/>
                <w:szCs w:val="18"/>
                <w:lang w:eastAsia="es-CO"/>
              </w:rPr>
              <w:t>151.298</w:t>
            </w:r>
          </w:p>
        </w:tc>
        <w:tc>
          <w:tcPr>
            <w:tcW w:w="283" w:type="dxa"/>
            <w:shd w:val="clear" w:color="auto" w:fill="auto"/>
            <w:noWrap/>
            <w:vAlign w:val="center"/>
            <w:hideMark/>
          </w:tcPr>
          <w:p w14:paraId="15B6FB5B" w14:textId="77777777" w:rsidR="00B6321C" w:rsidRPr="00B6321C" w:rsidRDefault="00B6321C" w:rsidP="00B6321C">
            <w:pPr>
              <w:spacing w:after="0" w:line="240" w:lineRule="auto"/>
              <w:jc w:val="right"/>
              <w:rPr>
                <w:rFonts w:ascii="Arial" w:eastAsia="Times New Roman" w:hAnsi="Arial" w:cs="Arial"/>
                <w:color w:val="000000"/>
                <w:sz w:val="18"/>
                <w:szCs w:val="18"/>
                <w:lang w:eastAsia="es-CO"/>
              </w:rPr>
            </w:pPr>
          </w:p>
        </w:tc>
        <w:tc>
          <w:tcPr>
            <w:tcW w:w="1417" w:type="dxa"/>
            <w:shd w:val="clear" w:color="auto" w:fill="auto"/>
            <w:noWrap/>
            <w:vAlign w:val="center"/>
            <w:hideMark/>
          </w:tcPr>
          <w:p w14:paraId="27D5A229" w14:textId="77777777" w:rsidR="00B6321C" w:rsidRPr="00B6321C" w:rsidRDefault="00B6321C" w:rsidP="00B6321C">
            <w:pPr>
              <w:spacing w:after="0" w:line="240" w:lineRule="auto"/>
              <w:jc w:val="right"/>
              <w:rPr>
                <w:rFonts w:ascii="Arial" w:eastAsia="Times New Roman" w:hAnsi="Arial" w:cs="Arial"/>
                <w:color w:val="000000"/>
                <w:sz w:val="18"/>
                <w:szCs w:val="18"/>
                <w:lang w:eastAsia="es-CO"/>
              </w:rPr>
            </w:pPr>
            <w:r w:rsidRPr="00B6321C">
              <w:rPr>
                <w:rFonts w:ascii="Arial" w:eastAsia="Times New Roman" w:hAnsi="Arial" w:cs="Arial"/>
                <w:color w:val="000000"/>
                <w:sz w:val="18"/>
                <w:szCs w:val="18"/>
                <w:lang w:eastAsia="es-CO"/>
              </w:rPr>
              <w:t>63.534</w:t>
            </w:r>
          </w:p>
        </w:tc>
      </w:tr>
      <w:tr w:rsidR="00B6321C" w:rsidRPr="00B6321C" w14:paraId="41501DA1" w14:textId="77777777" w:rsidTr="00D33764">
        <w:trPr>
          <w:trHeight w:val="227"/>
        </w:trPr>
        <w:tc>
          <w:tcPr>
            <w:tcW w:w="6236" w:type="dxa"/>
            <w:shd w:val="clear" w:color="auto" w:fill="auto"/>
            <w:noWrap/>
            <w:vAlign w:val="center"/>
            <w:hideMark/>
          </w:tcPr>
          <w:p w14:paraId="1B598CAD" w14:textId="37726991" w:rsidR="00B6321C" w:rsidRPr="00B6321C" w:rsidRDefault="00B6321C" w:rsidP="00B6321C">
            <w:pPr>
              <w:spacing w:after="0" w:line="240" w:lineRule="auto"/>
              <w:rPr>
                <w:rFonts w:ascii="Arial" w:eastAsia="Times New Roman" w:hAnsi="Arial" w:cs="Arial"/>
                <w:color w:val="000000"/>
                <w:sz w:val="18"/>
                <w:szCs w:val="18"/>
                <w:lang w:eastAsia="es-CO"/>
              </w:rPr>
            </w:pPr>
            <w:r w:rsidRPr="00B6321C">
              <w:rPr>
                <w:rFonts w:ascii="Arial" w:eastAsia="Times New Roman" w:hAnsi="Arial" w:cs="Arial"/>
                <w:color w:val="000000"/>
                <w:sz w:val="18"/>
                <w:szCs w:val="18"/>
                <w:lang w:eastAsia="es-CO"/>
              </w:rPr>
              <w:t>Cuentas por pagar a partes relacionadas (ver nota 2</w:t>
            </w:r>
            <w:r w:rsidR="00964E83">
              <w:rPr>
                <w:rFonts w:ascii="Arial" w:eastAsia="Times New Roman" w:hAnsi="Arial" w:cs="Arial"/>
                <w:color w:val="000000"/>
                <w:sz w:val="18"/>
                <w:szCs w:val="18"/>
                <w:lang w:eastAsia="es-CO"/>
              </w:rPr>
              <w:t>5</w:t>
            </w:r>
            <w:r w:rsidRPr="00B6321C">
              <w:rPr>
                <w:rFonts w:ascii="Arial" w:eastAsia="Times New Roman" w:hAnsi="Arial" w:cs="Arial"/>
                <w:color w:val="000000"/>
                <w:sz w:val="18"/>
                <w:szCs w:val="18"/>
                <w:lang w:eastAsia="es-CO"/>
              </w:rPr>
              <w:t>)</w:t>
            </w:r>
            <w:r w:rsidR="00D03A61" w:rsidRPr="0009028A">
              <w:rPr>
                <w:rFonts w:ascii="Arial" w:eastAsia="Times New Roman" w:hAnsi="Arial" w:cs="Arial"/>
                <w:color w:val="000000"/>
                <w:sz w:val="18"/>
                <w:szCs w:val="18"/>
                <w:lang w:eastAsia="es-CO"/>
              </w:rPr>
              <w:t xml:space="preserve"> (</w:t>
            </w:r>
            <w:r w:rsidR="00964E83">
              <w:rPr>
                <w:rFonts w:ascii="Arial" w:eastAsia="Times New Roman" w:hAnsi="Arial" w:cs="Arial"/>
                <w:color w:val="000000"/>
                <w:sz w:val="18"/>
                <w:szCs w:val="18"/>
                <w:lang w:eastAsia="es-CO"/>
              </w:rPr>
              <w:t>*</w:t>
            </w:r>
            <w:r w:rsidR="00D03A61" w:rsidRPr="0009028A">
              <w:rPr>
                <w:rFonts w:ascii="Arial" w:eastAsia="Times New Roman" w:hAnsi="Arial" w:cs="Arial"/>
                <w:color w:val="000000"/>
                <w:sz w:val="18"/>
                <w:szCs w:val="18"/>
                <w:lang w:eastAsia="es-CO"/>
              </w:rPr>
              <w:t>)</w:t>
            </w:r>
          </w:p>
        </w:tc>
        <w:tc>
          <w:tcPr>
            <w:tcW w:w="1417" w:type="dxa"/>
            <w:shd w:val="clear" w:color="auto" w:fill="auto"/>
            <w:noWrap/>
            <w:vAlign w:val="center"/>
            <w:hideMark/>
          </w:tcPr>
          <w:p w14:paraId="55768CBB" w14:textId="77777777" w:rsidR="00B6321C" w:rsidRPr="00B6321C" w:rsidRDefault="00B6321C" w:rsidP="00B6321C">
            <w:pPr>
              <w:spacing w:after="0" w:line="240" w:lineRule="auto"/>
              <w:jc w:val="right"/>
              <w:rPr>
                <w:rFonts w:ascii="Arial" w:eastAsia="Times New Roman" w:hAnsi="Arial" w:cs="Arial"/>
                <w:color w:val="000000"/>
                <w:sz w:val="18"/>
                <w:szCs w:val="18"/>
                <w:lang w:eastAsia="es-CO"/>
              </w:rPr>
            </w:pPr>
            <w:r w:rsidRPr="00B6321C">
              <w:rPr>
                <w:rFonts w:ascii="Arial" w:eastAsia="Times New Roman" w:hAnsi="Arial" w:cs="Arial"/>
                <w:color w:val="000000"/>
                <w:sz w:val="18"/>
                <w:szCs w:val="18"/>
                <w:lang w:eastAsia="es-CO"/>
              </w:rPr>
              <w:t>99.528.764</w:t>
            </w:r>
          </w:p>
        </w:tc>
        <w:tc>
          <w:tcPr>
            <w:tcW w:w="283" w:type="dxa"/>
            <w:shd w:val="clear" w:color="auto" w:fill="auto"/>
            <w:noWrap/>
            <w:vAlign w:val="center"/>
            <w:hideMark/>
          </w:tcPr>
          <w:p w14:paraId="4001D181" w14:textId="77777777" w:rsidR="00B6321C" w:rsidRPr="00B6321C" w:rsidRDefault="00B6321C" w:rsidP="00B6321C">
            <w:pPr>
              <w:spacing w:after="0" w:line="240" w:lineRule="auto"/>
              <w:jc w:val="right"/>
              <w:rPr>
                <w:rFonts w:ascii="Arial" w:eastAsia="Times New Roman" w:hAnsi="Arial" w:cs="Arial"/>
                <w:color w:val="000000"/>
                <w:sz w:val="18"/>
                <w:szCs w:val="18"/>
                <w:lang w:eastAsia="es-CO"/>
              </w:rPr>
            </w:pPr>
          </w:p>
        </w:tc>
        <w:tc>
          <w:tcPr>
            <w:tcW w:w="1417" w:type="dxa"/>
            <w:shd w:val="clear" w:color="auto" w:fill="auto"/>
            <w:noWrap/>
            <w:vAlign w:val="center"/>
            <w:hideMark/>
          </w:tcPr>
          <w:p w14:paraId="20CF0719" w14:textId="77777777" w:rsidR="00B6321C" w:rsidRPr="00B6321C" w:rsidRDefault="00B6321C" w:rsidP="00B6321C">
            <w:pPr>
              <w:spacing w:after="0" w:line="240" w:lineRule="auto"/>
              <w:jc w:val="right"/>
              <w:rPr>
                <w:rFonts w:ascii="Arial" w:eastAsia="Times New Roman" w:hAnsi="Arial" w:cs="Arial"/>
                <w:color w:val="000000"/>
                <w:sz w:val="18"/>
                <w:szCs w:val="18"/>
                <w:lang w:eastAsia="es-CO"/>
              </w:rPr>
            </w:pPr>
            <w:r w:rsidRPr="00B6321C">
              <w:rPr>
                <w:rFonts w:ascii="Arial" w:eastAsia="Times New Roman" w:hAnsi="Arial" w:cs="Arial"/>
                <w:color w:val="000000"/>
                <w:sz w:val="18"/>
                <w:szCs w:val="18"/>
                <w:lang w:eastAsia="es-CO"/>
              </w:rPr>
              <w:t>48.041.439</w:t>
            </w:r>
          </w:p>
        </w:tc>
      </w:tr>
      <w:tr w:rsidR="00B6321C" w:rsidRPr="00B6321C" w14:paraId="43C8A95A" w14:textId="77777777" w:rsidTr="00D33764">
        <w:trPr>
          <w:trHeight w:val="227"/>
        </w:trPr>
        <w:tc>
          <w:tcPr>
            <w:tcW w:w="6236" w:type="dxa"/>
            <w:shd w:val="clear" w:color="auto" w:fill="auto"/>
            <w:noWrap/>
            <w:vAlign w:val="center"/>
            <w:hideMark/>
          </w:tcPr>
          <w:p w14:paraId="398D7145" w14:textId="77777777" w:rsidR="00B6321C" w:rsidRPr="00B6321C" w:rsidRDefault="00B6321C" w:rsidP="00B6321C">
            <w:pPr>
              <w:spacing w:after="0" w:line="240" w:lineRule="auto"/>
              <w:rPr>
                <w:rFonts w:ascii="Arial" w:eastAsia="Times New Roman" w:hAnsi="Arial" w:cs="Arial"/>
                <w:color w:val="000000"/>
                <w:sz w:val="18"/>
                <w:szCs w:val="18"/>
                <w:lang w:eastAsia="es-CO"/>
              </w:rPr>
            </w:pPr>
            <w:r w:rsidRPr="00B6321C">
              <w:rPr>
                <w:rFonts w:ascii="Arial" w:eastAsia="Times New Roman" w:hAnsi="Arial" w:cs="Arial"/>
                <w:color w:val="000000"/>
                <w:sz w:val="18"/>
                <w:szCs w:val="18"/>
                <w:lang w:eastAsia="es-CO"/>
              </w:rPr>
              <w:t>Proveedores nacionales</w:t>
            </w:r>
          </w:p>
        </w:tc>
        <w:tc>
          <w:tcPr>
            <w:tcW w:w="1417" w:type="dxa"/>
            <w:shd w:val="clear" w:color="auto" w:fill="auto"/>
            <w:noWrap/>
            <w:vAlign w:val="center"/>
            <w:hideMark/>
          </w:tcPr>
          <w:p w14:paraId="023F3E5C" w14:textId="77777777" w:rsidR="00B6321C" w:rsidRPr="00B6321C" w:rsidRDefault="00B6321C" w:rsidP="00B6321C">
            <w:pPr>
              <w:spacing w:after="0" w:line="240" w:lineRule="auto"/>
              <w:jc w:val="right"/>
              <w:rPr>
                <w:rFonts w:ascii="Arial" w:eastAsia="Times New Roman" w:hAnsi="Arial" w:cs="Arial"/>
                <w:color w:val="000000"/>
                <w:sz w:val="18"/>
                <w:szCs w:val="18"/>
                <w:lang w:eastAsia="es-CO"/>
              </w:rPr>
            </w:pPr>
            <w:r w:rsidRPr="00B6321C">
              <w:rPr>
                <w:rFonts w:ascii="Arial" w:eastAsia="Times New Roman" w:hAnsi="Arial" w:cs="Arial"/>
                <w:color w:val="000000"/>
                <w:sz w:val="18"/>
                <w:szCs w:val="18"/>
                <w:lang w:eastAsia="es-CO"/>
              </w:rPr>
              <w:t>2.725</w:t>
            </w:r>
          </w:p>
        </w:tc>
        <w:tc>
          <w:tcPr>
            <w:tcW w:w="283" w:type="dxa"/>
            <w:shd w:val="clear" w:color="auto" w:fill="auto"/>
            <w:noWrap/>
            <w:vAlign w:val="center"/>
            <w:hideMark/>
          </w:tcPr>
          <w:p w14:paraId="4F47FE2D" w14:textId="77777777" w:rsidR="00B6321C" w:rsidRPr="00B6321C" w:rsidRDefault="00B6321C" w:rsidP="00B6321C">
            <w:pPr>
              <w:spacing w:after="0" w:line="240" w:lineRule="auto"/>
              <w:jc w:val="right"/>
              <w:rPr>
                <w:rFonts w:ascii="Arial" w:eastAsia="Times New Roman" w:hAnsi="Arial" w:cs="Arial"/>
                <w:color w:val="000000"/>
                <w:sz w:val="18"/>
                <w:szCs w:val="18"/>
                <w:lang w:eastAsia="es-CO"/>
              </w:rPr>
            </w:pPr>
          </w:p>
        </w:tc>
        <w:tc>
          <w:tcPr>
            <w:tcW w:w="1417" w:type="dxa"/>
            <w:shd w:val="clear" w:color="auto" w:fill="auto"/>
            <w:noWrap/>
            <w:vAlign w:val="center"/>
            <w:hideMark/>
          </w:tcPr>
          <w:p w14:paraId="17EEEB61" w14:textId="77777777" w:rsidR="00B6321C" w:rsidRPr="00B6321C" w:rsidRDefault="00B6321C" w:rsidP="00B6321C">
            <w:pPr>
              <w:spacing w:after="0" w:line="240" w:lineRule="auto"/>
              <w:jc w:val="right"/>
              <w:rPr>
                <w:rFonts w:ascii="Arial" w:eastAsia="Times New Roman" w:hAnsi="Arial" w:cs="Arial"/>
                <w:color w:val="000000"/>
                <w:sz w:val="18"/>
                <w:szCs w:val="18"/>
                <w:lang w:eastAsia="es-CO"/>
              </w:rPr>
            </w:pPr>
            <w:r w:rsidRPr="00B6321C">
              <w:rPr>
                <w:rFonts w:ascii="Arial" w:eastAsia="Times New Roman" w:hAnsi="Arial" w:cs="Arial"/>
                <w:color w:val="000000"/>
                <w:sz w:val="18"/>
                <w:szCs w:val="18"/>
                <w:lang w:eastAsia="es-CO"/>
              </w:rPr>
              <w:t>2.725</w:t>
            </w:r>
          </w:p>
        </w:tc>
      </w:tr>
      <w:tr w:rsidR="00B6321C" w:rsidRPr="00B6321C" w14:paraId="36841265" w14:textId="77777777" w:rsidTr="00D33764">
        <w:trPr>
          <w:trHeight w:val="227"/>
        </w:trPr>
        <w:tc>
          <w:tcPr>
            <w:tcW w:w="6236" w:type="dxa"/>
            <w:shd w:val="clear" w:color="auto" w:fill="auto"/>
            <w:noWrap/>
            <w:vAlign w:val="center"/>
            <w:hideMark/>
          </w:tcPr>
          <w:p w14:paraId="0415B59E" w14:textId="3741D5A6" w:rsidR="00B6321C" w:rsidRPr="00B6321C" w:rsidRDefault="00B6321C" w:rsidP="00B6321C">
            <w:pPr>
              <w:spacing w:after="0" w:line="240" w:lineRule="auto"/>
              <w:rPr>
                <w:rFonts w:ascii="Arial" w:eastAsia="Times New Roman" w:hAnsi="Arial" w:cs="Arial"/>
                <w:color w:val="000000"/>
                <w:sz w:val="18"/>
                <w:szCs w:val="18"/>
                <w:lang w:eastAsia="es-CO"/>
              </w:rPr>
            </w:pPr>
            <w:r w:rsidRPr="00B6321C">
              <w:rPr>
                <w:rFonts w:ascii="Arial" w:eastAsia="Times New Roman" w:hAnsi="Arial" w:cs="Arial"/>
                <w:color w:val="000000"/>
                <w:sz w:val="18"/>
                <w:szCs w:val="18"/>
                <w:lang w:eastAsia="es-CO"/>
              </w:rPr>
              <w:t>Otras cuentas por pagar</w:t>
            </w:r>
          </w:p>
        </w:tc>
        <w:tc>
          <w:tcPr>
            <w:tcW w:w="1417" w:type="dxa"/>
            <w:shd w:val="clear" w:color="auto" w:fill="auto"/>
            <w:noWrap/>
            <w:vAlign w:val="center"/>
            <w:hideMark/>
          </w:tcPr>
          <w:p w14:paraId="4FE532A8" w14:textId="144D85A0" w:rsidR="00B6321C" w:rsidRPr="00D33764" w:rsidRDefault="00D33764" w:rsidP="00B6321C">
            <w:pPr>
              <w:spacing w:after="0" w:line="240" w:lineRule="auto"/>
              <w:jc w:val="right"/>
              <w:rPr>
                <w:rFonts w:ascii="Arial" w:eastAsia="Times New Roman" w:hAnsi="Arial" w:cs="Arial"/>
                <w:color w:val="000000"/>
                <w:sz w:val="18"/>
                <w:szCs w:val="18"/>
                <w:u w:val="single"/>
                <w:lang w:eastAsia="es-CO"/>
              </w:rPr>
            </w:pPr>
            <w:r>
              <w:rPr>
                <w:rFonts w:ascii="Arial" w:eastAsia="Times New Roman" w:hAnsi="Arial" w:cs="Arial"/>
                <w:color w:val="000000"/>
                <w:sz w:val="18"/>
                <w:szCs w:val="18"/>
                <w:u w:val="single"/>
                <w:lang w:eastAsia="es-CO"/>
              </w:rPr>
              <w:t xml:space="preserve">    </w:t>
            </w:r>
            <w:r w:rsidR="00B6321C" w:rsidRPr="00D33764">
              <w:rPr>
                <w:rFonts w:ascii="Arial" w:eastAsia="Times New Roman" w:hAnsi="Arial" w:cs="Arial"/>
                <w:color w:val="000000"/>
                <w:sz w:val="18"/>
                <w:szCs w:val="18"/>
                <w:u w:val="single"/>
                <w:lang w:eastAsia="es-CO"/>
              </w:rPr>
              <w:t>7.113.626</w:t>
            </w:r>
          </w:p>
        </w:tc>
        <w:tc>
          <w:tcPr>
            <w:tcW w:w="283" w:type="dxa"/>
            <w:shd w:val="clear" w:color="auto" w:fill="auto"/>
            <w:noWrap/>
            <w:vAlign w:val="center"/>
            <w:hideMark/>
          </w:tcPr>
          <w:p w14:paraId="26D54314" w14:textId="77777777" w:rsidR="00B6321C" w:rsidRPr="00D33764" w:rsidRDefault="00B6321C" w:rsidP="00B6321C">
            <w:pPr>
              <w:spacing w:after="0" w:line="240" w:lineRule="auto"/>
              <w:jc w:val="right"/>
              <w:rPr>
                <w:rFonts w:ascii="Arial" w:eastAsia="Times New Roman" w:hAnsi="Arial" w:cs="Arial"/>
                <w:color w:val="000000"/>
                <w:sz w:val="18"/>
                <w:szCs w:val="18"/>
                <w:u w:val="single"/>
                <w:lang w:eastAsia="es-CO"/>
              </w:rPr>
            </w:pPr>
          </w:p>
        </w:tc>
        <w:tc>
          <w:tcPr>
            <w:tcW w:w="1417" w:type="dxa"/>
            <w:shd w:val="clear" w:color="auto" w:fill="auto"/>
            <w:noWrap/>
            <w:vAlign w:val="center"/>
            <w:hideMark/>
          </w:tcPr>
          <w:p w14:paraId="5E7B2D41" w14:textId="7D0C16F3" w:rsidR="00B6321C" w:rsidRPr="00D33764" w:rsidRDefault="00D33764" w:rsidP="00B6321C">
            <w:pPr>
              <w:spacing w:after="0" w:line="240" w:lineRule="auto"/>
              <w:jc w:val="right"/>
              <w:rPr>
                <w:rFonts w:ascii="Arial" w:eastAsia="Times New Roman" w:hAnsi="Arial" w:cs="Arial"/>
                <w:color w:val="000000"/>
                <w:sz w:val="18"/>
                <w:szCs w:val="18"/>
                <w:u w:val="single"/>
                <w:lang w:eastAsia="es-CO"/>
              </w:rPr>
            </w:pPr>
            <w:r>
              <w:rPr>
                <w:rFonts w:ascii="Arial" w:eastAsia="Times New Roman" w:hAnsi="Arial" w:cs="Arial"/>
                <w:color w:val="000000"/>
                <w:sz w:val="18"/>
                <w:szCs w:val="18"/>
                <w:u w:val="single"/>
                <w:lang w:eastAsia="es-CO"/>
              </w:rPr>
              <w:t xml:space="preserve">    </w:t>
            </w:r>
            <w:r w:rsidR="00B6321C" w:rsidRPr="00D33764">
              <w:rPr>
                <w:rFonts w:ascii="Arial" w:eastAsia="Times New Roman" w:hAnsi="Arial" w:cs="Arial"/>
                <w:color w:val="000000"/>
                <w:sz w:val="18"/>
                <w:szCs w:val="18"/>
                <w:u w:val="single"/>
                <w:lang w:eastAsia="es-CO"/>
              </w:rPr>
              <w:t>5.480.720</w:t>
            </w:r>
          </w:p>
        </w:tc>
      </w:tr>
      <w:tr w:rsidR="00B6321C" w:rsidRPr="00B6321C" w14:paraId="39E32503" w14:textId="77777777" w:rsidTr="00D33764">
        <w:trPr>
          <w:trHeight w:val="227"/>
        </w:trPr>
        <w:tc>
          <w:tcPr>
            <w:tcW w:w="6236" w:type="dxa"/>
            <w:shd w:val="clear" w:color="auto" w:fill="auto"/>
            <w:noWrap/>
            <w:vAlign w:val="center"/>
            <w:hideMark/>
          </w:tcPr>
          <w:p w14:paraId="03C2893B" w14:textId="77777777" w:rsidR="00B6321C" w:rsidRPr="00B6321C" w:rsidRDefault="00B6321C" w:rsidP="00B6321C">
            <w:pPr>
              <w:spacing w:after="0" w:line="240" w:lineRule="auto"/>
              <w:rPr>
                <w:rFonts w:ascii="Arial" w:eastAsia="Times New Roman" w:hAnsi="Arial" w:cs="Arial"/>
                <w:b/>
                <w:bCs/>
                <w:color w:val="002060"/>
                <w:sz w:val="18"/>
                <w:szCs w:val="18"/>
                <w:lang w:eastAsia="es-CO"/>
              </w:rPr>
            </w:pPr>
            <w:r w:rsidRPr="00B6321C">
              <w:rPr>
                <w:rFonts w:ascii="Arial" w:eastAsia="Times New Roman" w:hAnsi="Arial" w:cs="Arial"/>
                <w:b/>
                <w:bCs/>
                <w:color w:val="002060"/>
                <w:sz w:val="18"/>
                <w:szCs w:val="18"/>
                <w:lang w:eastAsia="es-CO"/>
              </w:rPr>
              <w:t>Total efectivo y equivalentes de efectivo</w:t>
            </w:r>
          </w:p>
        </w:tc>
        <w:tc>
          <w:tcPr>
            <w:tcW w:w="1417" w:type="dxa"/>
            <w:shd w:val="clear" w:color="auto" w:fill="auto"/>
            <w:noWrap/>
            <w:vAlign w:val="center"/>
            <w:hideMark/>
          </w:tcPr>
          <w:p w14:paraId="59175C6C" w14:textId="66D6CEDA" w:rsidR="00B6321C" w:rsidRPr="00D33764" w:rsidRDefault="00D33764" w:rsidP="00B6321C">
            <w:pPr>
              <w:spacing w:after="0" w:line="240" w:lineRule="auto"/>
              <w:jc w:val="right"/>
              <w:rPr>
                <w:rFonts w:ascii="Arial" w:eastAsia="Times New Roman" w:hAnsi="Arial" w:cs="Arial"/>
                <w:b/>
                <w:bCs/>
                <w:color w:val="002060"/>
                <w:sz w:val="18"/>
                <w:szCs w:val="18"/>
                <w:u w:val="double"/>
                <w:lang w:eastAsia="es-CO"/>
              </w:rPr>
            </w:pPr>
            <w:r w:rsidRPr="00D33764">
              <w:rPr>
                <w:rFonts w:ascii="Arial" w:eastAsia="Times New Roman" w:hAnsi="Arial" w:cs="Arial"/>
                <w:b/>
                <w:bCs/>
                <w:color w:val="002060"/>
                <w:sz w:val="18"/>
                <w:szCs w:val="18"/>
                <w:lang w:eastAsia="es-CO"/>
              </w:rPr>
              <w:t>$</w:t>
            </w:r>
            <w:r>
              <w:rPr>
                <w:rFonts w:ascii="Arial" w:eastAsia="Times New Roman" w:hAnsi="Arial" w:cs="Arial"/>
                <w:b/>
                <w:bCs/>
                <w:color w:val="002060"/>
                <w:sz w:val="18"/>
                <w:szCs w:val="18"/>
                <w:u w:val="double"/>
                <w:lang w:eastAsia="es-CO"/>
              </w:rPr>
              <w:t xml:space="preserve"> </w:t>
            </w:r>
            <w:r w:rsidR="00B6321C" w:rsidRPr="00D33764">
              <w:rPr>
                <w:rFonts w:ascii="Arial" w:eastAsia="Times New Roman" w:hAnsi="Arial" w:cs="Arial"/>
                <w:b/>
                <w:bCs/>
                <w:color w:val="002060"/>
                <w:sz w:val="18"/>
                <w:szCs w:val="18"/>
                <w:u w:val="double"/>
                <w:lang w:eastAsia="es-CO"/>
              </w:rPr>
              <w:t>106.796.413</w:t>
            </w:r>
          </w:p>
        </w:tc>
        <w:tc>
          <w:tcPr>
            <w:tcW w:w="283" w:type="dxa"/>
            <w:shd w:val="clear" w:color="auto" w:fill="auto"/>
            <w:noWrap/>
            <w:vAlign w:val="center"/>
            <w:hideMark/>
          </w:tcPr>
          <w:p w14:paraId="704179B7" w14:textId="77777777" w:rsidR="00B6321C" w:rsidRPr="00D33764" w:rsidRDefault="00B6321C" w:rsidP="00B6321C">
            <w:pPr>
              <w:spacing w:after="0" w:line="240" w:lineRule="auto"/>
              <w:jc w:val="right"/>
              <w:rPr>
                <w:rFonts w:ascii="Arial" w:eastAsia="Times New Roman" w:hAnsi="Arial" w:cs="Arial"/>
                <w:b/>
                <w:bCs/>
                <w:color w:val="002060"/>
                <w:sz w:val="18"/>
                <w:szCs w:val="18"/>
                <w:u w:val="double"/>
                <w:lang w:eastAsia="es-CO"/>
              </w:rPr>
            </w:pPr>
          </w:p>
        </w:tc>
        <w:tc>
          <w:tcPr>
            <w:tcW w:w="1417" w:type="dxa"/>
            <w:shd w:val="clear" w:color="auto" w:fill="auto"/>
            <w:noWrap/>
            <w:vAlign w:val="center"/>
            <w:hideMark/>
          </w:tcPr>
          <w:p w14:paraId="1AE7638F" w14:textId="77777777" w:rsidR="00B6321C" w:rsidRPr="00D33764" w:rsidRDefault="00B6321C" w:rsidP="00B6321C">
            <w:pPr>
              <w:spacing w:after="0" w:line="240" w:lineRule="auto"/>
              <w:jc w:val="right"/>
              <w:rPr>
                <w:rFonts w:ascii="Arial" w:eastAsia="Times New Roman" w:hAnsi="Arial" w:cs="Arial"/>
                <w:b/>
                <w:bCs/>
                <w:color w:val="002060"/>
                <w:sz w:val="18"/>
                <w:szCs w:val="18"/>
                <w:u w:val="double"/>
                <w:lang w:eastAsia="es-CO"/>
              </w:rPr>
            </w:pPr>
            <w:r w:rsidRPr="00D33764">
              <w:rPr>
                <w:rFonts w:ascii="Arial" w:eastAsia="Times New Roman" w:hAnsi="Arial" w:cs="Arial"/>
                <w:b/>
                <w:bCs/>
                <w:color w:val="002060"/>
                <w:sz w:val="18"/>
                <w:szCs w:val="18"/>
                <w:u w:val="double"/>
                <w:lang w:eastAsia="es-CO"/>
              </w:rPr>
              <w:t>53.588.418</w:t>
            </w:r>
          </w:p>
        </w:tc>
      </w:tr>
    </w:tbl>
    <w:p w14:paraId="644D6598" w14:textId="77777777" w:rsidR="00EC14AE" w:rsidRPr="0009028A" w:rsidRDefault="00EC14AE" w:rsidP="00EC14AE">
      <w:pPr>
        <w:rPr>
          <w:rFonts w:ascii="Arial" w:hAnsi="Arial" w:cs="Arial"/>
        </w:rPr>
      </w:pPr>
    </w:p>
    <w:p w14:paraId="5130E1ED" w14:textId="0BD74E98" w:rsidR="00C570B0" w:rsidRPr="007C49A2" w:rsidRDefault="00D03A61" w:rsidP="00D03A61">
      <w:pPr>
        <w:jc w:val="both"/>
        <w:rPr>
          <w:rFonts w:ascii="Arial" w:hAnsi="Arial" w:cs="Arial"/>
          <w:sz w:val="20"/>
        </w:rPr>
      </w:pPr>
      <w:r w:rsidRPr="007C49A2">
        <w:rPr>
          <w:rFonts w:ascii="Arial" w:hAnsi="Arial" w:cs="Arial"/>
          <w:sz w:val="20"/>
        </w:rPr>
        <w:t>(</w:t>
      </w:r>
      <w:r w:rsidR="00964E83" w:rsidRPr="007C49A2">
        <w:rPr>
          <w:rFonts w:ascii="Arial" w:hAnsi="Arial" w:cs="Arial"/>
          <w:sz w:val="20"/>
        </w:rPr>
        <w:t>*</w:t>
      </w:r>
      <w:r w:rsidRPr="007C49A2">
        <w:rPr>
          <w:rFonts w:ascii="Arial" w:hAnsi="Arial" w:cs="Arial"/>
          <w:sz w:val="20"/>
        </w:rPr>
        <w:t>) La variación corresponde principalmente a los dividendos por $50.000.000 decretado en la asamblea general de accionistas llevada a cabo del 26 de marzo de 2019.</w:t>
      </w:r>
    </w:p>
    <w:p w14:paraId="158B7D5A" w14:textId="77777777" w:rsidR="00D03A61" w:rsidRPr="0009028A" w:rsidRDefault="00D03A61" w:rsidP="00D03A61">
      <w:pPr>
        <w:jc w:val="both"/>
        <w:rPr>
          <w:rFonts w:ascii="Arial" w:hAnsi="Arial" w:cs="Arial"/>
        </w:rPr>
      </w:pPr>
    </w:p>
    <w:p w14:paraId="46AFDAF2" w14:textId="10F26442" w:rsidR="009E03FD" w:rsidRPr="0009028A" w:rsidRDefault="00534AE2" w:rsidP="00964E83">
      <w:pPr>
        <w:pStyle w:val="Ttulo1"/>
        <w:rPr>
          <w:rFonts w:ascii="Arial" w:hAnsi="Arial" w:cs="Arial"/>
        </w:rPr>
      </w:pPr>
      <w:bookmarkStart w:id="315" w:name="_Toc8735111"/>
      <w:r w:rsidRPr="0009028A">
        <w:rPr>
          <w:color w:val="103475"/>
        </w:rPr>
        <w:t>Nota</w:t>
      </w:r>
      <w:r w:rsidR="004F7AAE" w:rsidRPr="0009028A">
        <w:rPr>
          <w:color w:val="103475"/>
        </w:rPr>
        <w:t xml:space="preserve"> 1</w:t>
      </w:r>
      <w:r w:rsidR="00964E83">
        <w:rPr>
          <w:color w:val="103475"/>
        </w:rPr>
        <w:t>5</w:t>
      </w:r>
      <w:r w:rsidR="008B5836" w:rsidRPr="0009028A">
        <w:rPr>
          <w:color w:val="103475"/>
        </w:rPr>
        <w:t>:</w:t>
      </w:r>
      <w:r w:rsidR="008B5836" w:rsidRPr="0009028A">
        <w:t xml:space="preserve"> </w:t>
      </w:r>
      <w:r w:rsidRPr="0009028A">
        <w:rPr>
          <w:color w:val="103475"/>
        </w:rPr>
        <w:t>Capital social</w:t>
      </w:r>
      <w:bookmarkEnd w:id="311"/>
      <w:bookmarkEnd w:id="315"/>
    </w:p>
    <w:p w14:paraId="636F4051" w14:textId="77777777" w:rsidR="008B5836" w:rsidRPr="0009028A" w:rsidRDefault="008B5836" w:rsidP="009E03FD">
      <w:pPr>
        <w:spacing w:after="0"/>
        <w:rPr>
          <w:rFonts w:ascii="Arial" w:eastAsia="Arial" w:hAnsi="Arial" w:cs="Arial"/>
          <w:b/>
          <w:color w:val="1F4E79" w:themeColor="accent1" w:themeShade="80"/>
          <w:spacing w:val="-1"/>
          <w:sz w:val="20"/>
          <w:szCs w:val="20"/>
        </w:rPr>
      </w:pPr>
      <w:r w:rsidRPr="0009028A">
        <w:rPr>
          <w:rFonts w:ascii="Arial" w:hAnsi="Arial" w:cs="Arial"/>
          <w:color w:val="000000"/>
          <w:sz w:val="20"/>
          <w:szCs w:val="20"/>
          <w:lang w:val="es-ES"/>
        </w:rPr>
        <w:t>E</w:t>
      </w:r>
      <w:r w:rsidR="009758C0" w:rsidRPr="0009028A">
        <w:rPr>
          <w:rFonts w:ascii="Arial" w:hAnsi="Arial" w:cs="Arial"/>
          <w:color w:val="000000"/>
          <w:sz w:val="20"/>
          <w:szCs w:val="20"/>
          <w:lang w:val="es-ES"/>
        </w:rPr>
        <w:t>l saldo del capital emitido a 3</w:t>
      </w:r>
      <w:r w:rsidR="005731DC" w:rsidRPr="0009028A">
        <w:rPr>
          <w:rFonts w:ascii="Arial" w:hAnsi="Arial" w:cs="Arial"/>
          <w:color w:val="000000"/>
          <w:sz w:val="20"/>
          <w:szCs w:val="20"/>
          <w:lang w:val="es-ES"/>
        </w:rPr>
        <w:t>1</w:t>
      </w:r>
      <w:r w:rsidRPr="0009028A">
        <w:rPr>
          <w:rFonts w:ascii="Arial" w:hAnsi="Arial" w:cs="Arial"/>
          <w:color w:val="000000"/>
          <w:sz w:val="20"/>
          <w:szCs w:val="20"/>
          <w:lang w:val="es-ES"/>
        </w:rPr>
        <w:t xml:space="preserve"> de</w:t>
      </w:r>
      <w:r w:rsidR="00D01412" w:rsidRPr="0009028A">
        <w:rPr>
          <w:rFonts w:ascii="Arial" w:hAnsi="Arial" w:cs="Arial"/>
          <w:color w:val="000000"/>
          <w:sz w:val="20"/>
          <w:szCs w:val="20"/>
          <w:lang w:val="es-ES"/>
        </w:rPr>
        <w:t xml:space="preserve"> </w:t>
      </w:r>
      <w:r w:rsidR="005731DC" w:rsidRPr="0009028A">
        <w:rPr>
          <w:rFonts w:ascii="Arial" w:hAnsi="Arial" w:cs="Arial"/>
          <w:color w:val="000000"/>
          <w:sz w:val="20"/>
          <w:szCs w:val="20"/>
          <w:lang w:val="es-ES"/>
        </w:rPr>
        <w:t>marzo</w:t>
      </w:r>
      <w:r w:rsidR="000E0CC2" w:rsidRPr="0009028A">
        <w:rPr>
          <w:rFonts w:ascii="Arial" w:hAnsi="Arial" w:cs="Arial"/>
          <w:color w:val="000000"/>
          <w:sz w:val="20"/>
          <w:szCs w:val="20"/>
          <w:lang w:val="es-ES"/>
        </w:rPr>
        <w:t xml:space="preserve"> de 201</w:t>
      </w:r>
      <w:r w:rsidR="005731DC" w:rsidRPr="0009028A">
        <w:rPr>
          <w:rFonts w:ascii="Arial" w:hAnsi="Arial" w:cs="Arial"/>
          <w:color w:val="000000"/>
          <w:sz w:val="20"/>
          <w:szCs w:val="20"/>
          <w:lang w:val="es-ES"/>
        </w:rPr>
        <w:t>9</w:t>
      </w:r>
      <w:r w:rsidR="000E0CC2" w:rsidRPr="0009028A">
        <w:rPr>
          <w:rFonts w:ascii="Arial" w:hAnsi="Arial" w:cs="Arial"/>
          <w:color w:val="000000"/>
          <w:sz w:val="20"/>
          <w:szCs w:val="20"/>
          <w:lang w:val="es-ES"/>
        </w:rPr>
        <w:t xml:space="preserve"> y 31 de diciembre de 201</w:t>
      </w:r>
      <w:r w:rsidR="00A43D62" w:rsidRPr="0009028A">
        <w:rPr>
          <w:rFonts w:ascii="Arial" w:hAnsi="Arial" w:cs="Arial"/>
          <w:color w:val="000000"/>
          <w:sz w:val="20"/>
          <w:szCs w:val="20"/>
          <w:lang w:val="es-ES"/>
        </w:rPr>
        <w:t>8</w:t>
      </w:r>
      <w:r w:rsidRPr="0009028A">
        <w:rPr>
          <w:rFonts w:ascii="Arial" w:hAnsi="Arial" w:cs="Arial"/>
          <w:color w:val="000000"/>
          <w:sz w:val="20"/>
          <w:szCs w:val="20"/>
          <w:lang w:val="es-ES"/>
        </w:rPr>
        <w:t xml:space="preserve"> comprende:</w:t>
      </w:r>
    </w:p>
    <w:tbl>
      <w:tblPr>
        <w:tblW w:w="4857" w:type="pct"/>
        <w:tblLayout w:type="fixed"/>
        <w:tblCellMar>
          <w:left w:w="70" w:type="dxa"/>
          <w:right w:w="70" w:type="dxa"/>
        </w:tblCellMar>
        <w:tblLook w:val="04A0" w:firstRow="1" w:lastRow="0" w:firstColumn="1" w:lastColumn="0" w:noHBand="0" w:noVBand="1"/>
      </w:tblPr>
      <w:tblGrid>
        <w:gridCol w:w="6521"/>
        <w:gridCol w:w="1559"/>
        <w:gridCol w:w="1557"/>
      </w:tblGrid>
      <w:tr w:rsidR="008B5836" w:rsidRPr="0009028A" w14:paraId="327DC441" w14:textId="77777777" w:rsidTr="008C1630">
        <w:trPr>
          <w:trHeight w:val="227"/>
        </w:trPr>
        <w:tc>
          <w:tcPr>
            <w:tcW w:w="3383" w:type="pct"/>
            <w:shd w:val="clear" w:color="auto" w:fill="auto"/>
            <w:noWrap/>
            <w:vAlign w:val="bottom"/>
          </w:tcPr>
          <w:p w14:paraId="3E034B6D" w14:textId="77777777" w:rsidR="008B5836" w:rsidRPr="0009028A" w:rsidRDefault="008B5836" w:rsidP="006C469B">
            <w:pPr>
              <w:spacing w:after="0" w:line="276" w:lineRule="auto"/>
              <w:rPr>
                <w:rFonts w:ascii="Arial" w:eastAsia="Times New Roman" w:hAnsi="Arial" w:cs="Arial"/>
                <w:sz w:val="24"/>
                <w:szCs w:val="24"/>
                <w:lang w:val="es-ES" w:eastAsia="es-ES"/>
              </w:rPr>
            </w:pPr>
          </w:p>
        </w:tc>
        <w:tc>
          <w:tcPr>
            <w:tcW w:w="809" w:type="pct"/>
            <w:shd w:val="clear" w:color="auto" w:fill="auto"/>
            <w:noWrap/>
            <w:vAlign w:val="center"/>
          </w:tcPr>
          <w:p w14:paraId="1F7172EF" w14:textId="77777777" w:rsidR="008B5836" w:rsidRPr="0009028A" w:rsidRDefault="008B5836" w:rsidP="006C469B">
            <w:pPr>
              <w:spacing w:after="0" w:line="276" w:lineRule="auto"/>
              <w:jc w:val="center"/>
              <w:rPr>
                <w:rFonts w:ascii="Arial" w:eastAsia="Times New Roman" w:hAnsi="Arial" w:cs="Arial"/>
                <w:b/>
                <w:bCs/>
                <w:color w:val="000000"/>
                <w:sz w:val="18"/>
                <w:szCs w:val="18"/>
                <w:lang w:eastAsia="es-ES"/>
              </w:rPr>
            </w:pPr>
          </w:p>
        </w:tc>
        <w:tc>
          <w:tcPr>
            <w:tcW w:w="808" w:type="pct"/>
            <w:shd w:val="clear" w:color="auto" w:fill="auto"/>
            <w:noWrap/>
            <w:vAlign w:val="center"/>
          </w:tcPr>
          <w:p w14:paraId="5E530899" w14:textId="77777777" w:rsidR="008B5836" w:rsidRPr="0009028A" w:rsidRDefault="008B5836" w:rsidP="006C469B">
            <w:pPr>
              <w:spacing w:after="0" w:line="276" w:lineRule="auto"/>
              <w:jc w:val="center"/>
              <w:rPr>
                <w:rFonts w:ascii="Arial" w:eastAsia="Times New Roman" w:hAnsi="Arial" w:cs="Arial"/>
                <w:b/>
                <w:bCs/>
                <w:color w:val="000000"/>
                <w:sz w:val="18"/>
                <w:szCs w:val="18"/>
                <w:lang w:eastAsia="es-ES"/>
              </w:rPr>
            </w:pPr>
          </w:p>
        </w:tc>
      </w:tr>
      <w:tr w:rsidR="008B5836" w:rsidRPr="0009028A" w14:paraId="60AEDA73" w14:textId="77777777" w:rsidTr="008C1630">
        <w:trPr>
          <w:trHeight w:val="227"/>
        </w:trPr>
        <w:tc>
          <w:tcPr>
            <w:tcW w:w="3383" w:type="pct"/>
            <w:shd w:val="clear" w:color="auto" w:fill="auto"/>
            <w:noWrap/>
            <w:vAlign w:val="bottom"/>
            <w:hideMark/>
          </w:tcPr>
          <w:p w14:paraId="1DDEAFF5" w14:textId="77777777" w:rsidR="008B5836" w:rsidRPr="0009028A" w:rsidRDefault="008B5836" w:rsidP="006C469B">
            <w:pPr>
              <w:spacing w:after="0" w:line="276" w:lineRule="auto"/>
              <w:rPr>
                <w:rFonts w:ascii="Arial" w:eastAsia="Times New Roman" w:hAnsi="Arial" w:cs="Arial"/>
                <w:color w:val="103475"/>
                <w:sz w:val="24"/>
                <w:szCs w:val="24"/>
                <w:lang w:val="es-ES" w:eastAsia="es-ES"/>
              </w:rPr>
            </w:pPr>
          </w:p>
        </w:tc>
        <w:tc>
          <w:tcPr>
            <w:tcW w:w="809" w:type="pct"/>
            <w:shd w:val="clear" w:color="auto" w:fill="auto"/>
            <w:noWrap/>
            <w:vAlign w:val="center"/>
            <w:hideMark/>
          </w:tcPr>
          <w:p w14:paraId="03110247" w14:textId="77777777" w:rsidR="008B5836" w:rsidRPr="0009028A" w:rsidRDefault="005744AF" w:rsidP="006C469B">
            <w:pPr>
              <w:spacing w:after="0" w:line="276" w:lineRule="auto"/>
              <w:jc w:val="center"/>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 xml:space="preserve">Marzo </w:t>
            </w:r>
            <w:r w:rsidR="000E0CC2" w:rsidRPr="0009028A">
              <w:rPr>
                <w:rFonts w:ascii="Arial" w:eastAsia="Times New Roman" w:hAnsi="Arial" w:cs="Arial"/>
                <w:b/>
                <w:bCs/>
                <w:color w:val="103475"/>
                <w:sz w:val="18"/>
                <w:szCs w:val="18"/>
                <w:lang w:eastAsia="es-ES"/>
              </w:rPr>
              <w:t>201</w:t>
            </w:r>
            <w:r w:rsidR="005731DC" w:rsidRPr="0009028A">
              <w:rPr>
                <w:rFonts w:ascii="Arial" w:eastAsia="Times New Roman" w:hAnsi="Arial" w:cs="Arial"/>
                <w:b/>
                <w:bCs/>
                <w:color w:val="103475"/>
                <w:sz w:val="18"/>
                <w:szCs w:val="18"/>
                <w:lang w:eastAsia="es-ES"/>
              </w:rPr>
              <w:t>9</w:t>
            </w:r>
          </w:p>
        </w:tc>
        <w:tc>
          <w:tcPr>
            <w:tcW w:w="808" w:type="pct"/>
            <w:shd w:val="clear" w:color="auto" w:fill="auto"/>
            <w:noWrap/>
            <w:vAlign w:val="center"/>
            <w:hideMark/>
          </w:tcPr>
          <w:p w14:paraId="3E912114" w14:textId="77777777" w:rsidR="008B5836" w:rsidRPr="0009028A" w:rsidRDefault="005744AF" w:rsidP="006C469B">
            <w:pPr>
              <w:spacing w:after="0" w:line="276" w:lineRule="auto"/>
              <w:jc w:val="center"/>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eastAsia="es-ES"/>
              </w:rPr>
              <w:t xml:space="preserve">Diciembre </w:t>
            </w:r>
            <w:r w:rsidR="000E0CC2" w:rsidRPr="0009028A">
              <w:rPr>
                <w:rFonts w:ascii="Arial" w:eastAsia="Times New Roman" w:hAnsi="Arial" w:cs="Arial"/>
                <w:b/>
                <w:bCs/>
                <w:color w:val="103475"/>
                <w:sz w:val="18"/>
                <w:szCs w:val="18"/>
                <w:lang w:eastAsia="es-ES"/>
              </w:rPr>
              <w:t>201</w:t>
            </w:r>
            <w:r w:rsidR="005731DC" w:rsidRPr="0009028A">
              <w:rPr>
                <w:rFonts w:ascii="Arial" w:eastAsia="Times New Roman" w:hAnsi="Arial" w:cs="Arial"/>
                <w:b/>
                <w:bCs/>
                <w:color w:val="103475"/>
                <w:sz w:val="18"/>
                <w:szCs w:val="18"/>
                <w:lang w:eastAsia="es-ES"/>
              </w:rPr>
              <w:t>8</w:t>
            </w:r>
          </w:p>
        </w:tc>
      </w:tr>
      <w:tr w:rsidR="008B5836" w:rsidRPr="0009028A" w14:paraId="350AF165" w14:textId="77777777" w:rsidTr="008C1630">
        <w:trPr>
          <w:trHeight w:val="227"/>
        </w:trPr>
        <w:tc>
          <w:tcPr>
            <w:tcW w:w="3383" w:type="pct"/>
            <w:shd w:val="clear" w:color="auto" w:fill="auto"/>
            <w:noWrap/>
            <w:vAlign w:val="center"/>
            <w:hideMark/>
          </w:tcPr>
          <w:p w14:paraId="2EFF6AFC" w14:textId="77777777" w:rsidR="008B5836" w:rsidRPr="0009028A" w:rsidRDefault="008B5836" w:rsidP="006C469B">
            <w:pPr>
              <w:spacing w:after="0" w:line="276" w:lineRule="auto"/>
              <w:jc w:val="both"/>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eastAsia="es-ES"/>
              </w:rPr>
              <w:t>Capital autorizado</w:t>
            </w:r>
          </w:p>
        </w:tc>
        <w:tc>
          <w:tcPr>
            <w:tcW w:w="809" w:type="pct"/>
            <w:shd w:val="clear" w:color="auto" w:fill="auto"/>
            <w:noWrap/>
            <w:vAlign w:val="bottom"/>
            <w:hideMark/>
          </w:tcPr>
          <w:p w14:paraId="17B80D08" w14:textId="77777777" w:rsidR="008B5836" w:rsidRPr="0009028A" w:rsidRDefault="008B5836" w:rsidP="006C469B">
            <w:pPr>
              <w:spacing w:after="0" w:line="276" w:lineRule="auto"/>
              <w:jc w:val="both"/>
              <w:rPr>
                <w:rFonts w:ascii="Arial" w:eastAsia="Times New Roman" w:hAnsi="Arial" w:cs="Arial"/>
                <w:b/>
                <w:bCs/>
                <w:color w:val="103475"/>
                <w:sz w:val="18"/>
                <w:szCs w:val="18"/>
                <w:lang w:val="es-ES" w:eastAsia="es-ES"/>
              </w:rPr>
            </w:pPr>
          </w:p>
        </w:tc>
        <w:tc>
          <w:tcPr>
            <w:tcW w:w="808" w:type="pct"/>
            <w:shd w:val="clear" w:color="auto" w:fill="auto"/>
            <w:noWrap/>
            <w:vAlign w:val="center"/>
            <w:hideMark/>
          </w:tcPr>
          <w:p w14:paraId="0AD8AA53" w14:textId="77777777" w:rsidR="008B5836" w:rsidRPr="0009028A" w:rsidRDefault="008B5836" w:rsidP="006C469B">
            <w:pPr>
              <w:spacing w:after="0" w:line="276" w:lineRule="auto"/>
              <w:jc w:val="right"/>
              <w:rPr>
                <w:rFonts w:ascii="Arial" w:eastAsia="Times New Roman" w:hAnsi="Arial" w:cs="Arial"/>
                <w:color w:val="103475"/>
                <w:sz w:val="20"/>
                <w:szCs w:val="20"/>
                <w:lang w:val="es-ES" w:eastAsia="es-ES"/>
              </w:rPr>
            </w:pPr>
          </w:p>
        </w:tc>
      </w:tr>
      <w:tr w:rsidR="002A6175" w:rsidRPr="0009028A" w14:paraId="7DE762CF" w14:textId="77777777" w:rsidTr="008C1630">
        <w:trPr>
          <w:trHeight w:val="227"/>
        </w:trPr>
        <w:tc>
          <w:tcPr>
            <w:tcW w:w="3383" w:type="pct"/>
            <w:shd w:val="clear" w:color="auto" w:fill="auto"/>
            <w:noWrap/>
            <w:vAlign w:val="center"/>
            <w:hideMark/>
          </w:tcPr>
          <w:p w14:paraId="7FDB6EDA" w14:textId="77777777" w:rsidR="002A6175" w:rsidRPr="0009028A" w:rsidRDefault="002A6175" w:rsidP="002A6175">
            <w:pPr>
              <w:spacing w:after="0" w:line="276" w:lineRule="auto"/>
              <w:jc w:val="both"/>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eastAsia="es-ES"/>
              </w:rPr>
              <w:t>200.000.000 acciones ordinarias de valor nominal de $100</w:t>
            </w:r>
          </w:p>
        </w:tc>
        <w:tc>
          <w:tcPr>
            <w:tcW w:w="809" w:type="pct"/>
            <w:shd w:val="clear" w:color="auto" w:fill="auto"/>
            <w:noWrap/>
            <w:vAlign w:val="center"/>
          </w:tcPr>
          <w:p w14:paraId="2038A61F" w14:textId="77777777" w:rsidR="002A6175" w:rsidRPr="0009028A" w:rsidRDefault="00ED50FC" w:rsidP="002A6175">
            <w:pPr>
              <w:spacing w:after="0" w:line="276" w:lineRule="auto"/>
              <w:jc w:val="right"/>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eastAsia="es-ES"/>
              </w:rPr>
              <w:t xml:space="preserve">$  </w:t>
            </w:r>
            <w:r w:rsidR="002A6175" w:rsidRPr="0009028A">
              <w:rPr>
                <w:rFonts w:ascii="Arial" w:eastAsia="Times New Roman" w:hAnsi="Arial" w:cs="Arial"/>
                <w:color w:val="000000"/>
                <w:sz w:val="18"/>
                <w:szCs w:val="18"/>
                <w:lang w:eastAsia="es-ES"/>
              </w:rPr>
              <w:t xml:space="preserve">200.000.000 </w:t>
            </w:r>
          </w:p>
        </w:tc>
        <w:tc>
          <w:tcPr>
            <w:tcW w:w="808" w:type="pct"/>
            <w:shd w:val="clear" w:color="auto" w:fill="auto"/>
            <w:noWrap/>
            <w:vAlign w:val="center"/>
            <w:hideMark/>
          </w:tcPr>
          <w:p w14:paraId="3849AFBB" w14:textId="77777777" w:rsidR="002A6175" w:rsidRPr="0009028A" w:rsidRDefault="002A6175" w:rsidP="002A6175">
            <w:pPr>
              <w:spacing w:after="0" w:line="276" w:lineRule="auto"/>
              <w:jc w:val="right"/>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eastAsia="es-ES"/>
              </w:rPr>
              <w:t xml:space="preserve">200.000.000 </w:t>
            </w:r>
          </w:p>
        </w:tc>
      </w:tr>
      <w:tr w:rsidR="002A6175" w:rsidRPr="0009028A" w14:paraId="3FA9E4A4" w14:textId="77777777" w:rsidTr="008C1630">
        <w:trPr>
          <w:trHeight w:val="227"/>
        </w:trPr>
        <w:tc>
          <w:tcPr>
            <w:tcW w:w="3383" w:type="pct"/>
            <w:shd w:val="clear" w:color="auto" w:fill="auto"/>
            <w:noWrap/>
            <w:vAlign w:val="center"/>
            <w:hideMark/>
          </w:tcPr>
          <w:p w14:paraId="30C6A326" w14:textId="77777777" w:rsidR="002A6175" w:rsidRPr="0009028A" w:rsidRDefault="002A6175" w:rsidP="002A6175">
            <w:pPr>
              <w:spacing w:after="0" w:line="276" w:lineRule="auto"/>
              <w:jc w:val="both"/>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eastAsia="es-ES"/>
              </w:rPr>
              <w:t>Capital suscrito y pagado</w:t>
            </w:r>
          </w:p>
        </w:tc>
        <w:tc>
          <w:tcPr>
            <w:tcW w:w="809" w:type="pct"/>
            <w:shd w:val="clear" w:color="auto" w:fill="auto"/>
            <w:noWrap/>
            <w:vAlign w:val="center"/>
          </w:tcPr>
          <w:p w14:paraId="4F6DBDB3" w14:textId="77777777" w:rsidR="002A6175" w:rsidRPr="0009028A" w:rsidRDefault="002A6175" w:rsidP="002A6175">
            <w:pPr>
              <w:spacing w:after="0" w:line="276" w:lineRule="auto"/>
              <w:jc w:val="both"/>
              <w:rPr>
                <w:rFonts w:ascii="Arial" w:eastAsia="Times New Roman" w:hAnsi="Arial" w:cs="Arial"/>
                <w:b/>
                <w:bCs/>
                <w:color w:val="103475"/>
                <w:sz w:val="18"/>
                <w:szCs w:val="18"/>
                <w:u w:val="single"/>
                <w:lang w:val="es-ES" w:eastAsia="es-ES"/>
              </w:rPr>
            </w:pPr>
          </w:p>
        </w:tc>
        <w:tc>
          <w:tcPr>
            <w:tcW w:w="808" w:type="pct"/>
            <w:shd w:val="clear" w:color="auto" w:fill="auto"/>
            <w:noWrap/>
            <w:vAlign w:val="center"/>
            <w:hideMark/>
          </w:tcPr>
          <w:p w14:paraId="40134E26" w14:textId="77777777" w:rsidR="002A6175" w:rsidRPr="0009028A" w:rsidRDefault="002A6175" w:rsidP="002A6175">
            <w:pPr>
              <w:spacing w:after="0" w:line="276" w:lineRule="auto"/>
              <w:jc w:val="both"/>
              <w:rPr>
                <w:rFonts w:ascii="Arial" w:eastAsia="Times New Roman" w:hAnsi="Arial" w:cs="Arial"/>
                <w:b/>
                <w:bCs/>
                <w:color w:val="103475"/>
                <w:sz w:val="18"/>
                <w:szCs w:val="18"/>
                <w:u w:val="single"/>
                <w:lang w:val="es-ES" w:eastAsia="es-ES"/>
              </w:rPr>
            </w:pPr>
          </w:p>
        </w:tc>
      </w:tr>
      <w:tr w:rsidR="002A6175" w:rsidRPr="0009028A" w14:paraId="7C137008" w14:textId="77777777" w:rsidTr="008C1630">
        <w:trPr>
          <w:trHeight w:val="227"/>
        </w:trPr>
        <w:tc>
          <w:tcPr>
            <w:tcW w:w="3383" w:type="pct"/>
            <w:shd w:val="clear" w:color="auto" w:fill="auto"/>
            <w:noWrap/>
            <w:vAlign w:val="center"/>
            <w:hideMark/>
          </w:tcPr>
          <w:p w14:paraId="73B54370" w14:textId="77777777" w:rsidR="002A6175" w:rsidRPr="0009028A" w:rsidRDefault="002A6175" w:rsidP="002A6175">
            <w:pPr>
              <w:spacing w:after="0" w:line="276" w:lineRule="auto"/>
              <w:jc w:val="both"/>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eastAsia="es-ES"/>
              </w:rPr>
              <w:t>196.046.822 acciones ordinarias de valor nominal de $100</w:t>
            </w:r>
          </w:p>
        </w:tc>
        <w:tc>
          <w:tcPr>
            <w:tcW w:w="809" w:type="pct"/>
            <w:shd w:val="clear" w:color="auto" w:fill="auto"/>
            <w:noWrap/>
            <w:vAlign w:val="center"/>
          </w:tcPr>
          <w:p w14:paraId="0BE9140E" w14:textId="77777777" w:rsidR="002A6175" w:rsidRPr="0009028A" w:rsidRDefault="00ED50FC" w:rsidP="002A6175">
            <w:pPr>
              <w:spacing w:after="0" w:line="276" w:lineRule="auto"/>
              <w:jc w:val="right"/>
              <w:rPr>
                <w:rFonts w:ascii="Arial" w:eastAsia="Times New Roman" w:hAnsi="Arial" w:cs="Arial"/>
                <w:color w:val="000000"/>
                <w:sz w:val="18"/>
                <w:szCs w:val="18"/>
                <w:u w:val="single"/>
                <w:lang w:val="es-ES" w:eastAsia="es-ES"/>
              </w:rPr>
            </w:pPr>
            <w:r w:rsidRPr="0009028A">
              <w:rPr>
                <w:rFonts w:ascii="Arial" w:eastAsia="Times New Roman" w:hAnsi="Arial" w:cs="Arial"/>
                <w:color w:val="000000"/>
                <w:sz w:val="18"/>
                <w:szCs w:val="18"/>
                <w:u w:val="single"/>
                <w:lang w:val="es-ES" w:eastAsia="es-ES"/>
              </w:rPr>
              <w:t xml:space="preserve">   </w:t>
            </w:r>
            <w:r w:rsidR="002A6175" w:rsidRPr="0009028A">
              <w:rPr>
                <w:rFonts w:ascii="Arial" w:eastAsia="Times New Roman" w:hAnsi="Arial" w:cs="Arial"/>
                <w:color w:val="000000"/>
                <w:sz w:val="18"/>
                <w:szCs w:val="18"/>
                <w:u w:val="single"/>
                <w:lang w:val="es-ES" w:eastAsia="es-ES"/>
              </w:rPr>
              <w:t>19.604.682</w:t>
            </w:r>
          </w:p>
        </w:tc>
        <w:tc>
          <w:tcPr>
            <w:tcW w:w="808" w:type="pct"/>
            <w:shd w:val="clear" w:color="auto" w:fill="auto"/>
            <w:noWrap/>
            <w:vAlign w:val="center"/>
          </w:tcPr>
          <w:p w14:paraId="07B31403" w14:textId="77777777" w:rsidR="002A6175" w:rsidRPr="0009028A" w:rsidRDefault="00ED50FC" w:rsidP="002A6175">
            <w:pPr>
              <w:spacing w:after="0" w:line="276" w:lineRule="auto"/>
              <w:jc w:val="right"/>
              <w:rPr>
                <w:rFonts w:ascii="Arial" w:eastAsia="Times New Roman" w:hAnsi="Arial" w:cs="Arial"/>
                <w:color w:val="000000"/>
                <w:sz w:val="18"/>
                <w:szCs w:val="18"/>
                <w:u w:val="single"/>
                <w:lang w:val="es-ES" w:eastAsia="es-ES"/>
              </w:rPr>
            </w:pPr>
            <w:r w:rsidRPr="0009028A">
              <w:rPr>
                <w:rFonts w:ascii="Arial" w:eastAsia="Times New Roman" w:hAnsi="Arial" w:cs="Arial"/>
                <w:color w:val="000000"/>
                <w:sz w:val="18"/>
                <w:szCs w:val="18"/>
                <w:u w:val="single"/>
                <w:lang w:val="es-ES" w:eastAsia="es-ES"/>
              </w:rPr>
              <w:t xml:space="preserve">     </w:t>
            </w:r>
            <w:r w:rsidR="002A6175" w:rsidRPr="0009028A">
              <w:rPr>
                <w:rFonts w:ascii="Arial" w:eastAsia="Times New Roman" w:hAnsi="Arial" w:cs="Arial"/>
                <w:color w:val="000000"/>
                <w:sz w:val="18"/>
                <w:szCs w:val="18"/>
                <w:u w:val="single"/>
                <w:lang w:val="es-ES" w:eastAsia="es-ES"/>
              </w:rPr>
              <w:t>19.604.682</w:t>
            </w:r>
          </w:p>
        </w:tc>
      </w:tr>
      <w:tr w:rsidR="002A6175" w:rsidRPr="0009028A" w14:paraId="40D279E8" w14:textId="77777777" w:rsidTr="008C1630">
        <w:trPr>
          <w:trHeight w:val="227"/>
        </w:trPr>
        <w:tc>
          <w:tcPr>
            <w:tcW w:w="3383" w:type="pct"/>
            <w:shd w:val="clear" w:color="auto" w:fill="auto"/>
            <w:noWrap/>
            <w:vAlign w:val="center"/>
            <w:hideMark/>
          </w:tcPr>
          <w:p w14:paraId="10BDE4E9" w14:textId="77777777" w:rsidR="002A6175" w:rsidRPr="0009028A" w:rsidRDefault="002A6175" w:rsidP="002A6175">
            <w:pPr>
              <w:spacing w:after="0" w:line="276" w:lineRule="auto"/>
              <w:rPr>
                <w:rFonts w:ascii="Arial" w:eastAsia="Times New Roman" w:hAnsi="Arial" w:cs="Arial"/>
                <w:b/>
                <w:color w:val="103475"/>
                <w:sz w:val="18"/>
                <w:szCs w:val="18"/>
                <w:lang w:val="es-ES" w:eastAsia="es-ES"/>
              </w:rPr>
            </w:pPr>
            <w:r w:rsidRPr="0009028A">
              <w:rPr>
                <w:rFonts w:ascii="Arial" w:eastAsia="Times New Roman" w:hAnsi="Arial" w:cs="Arial"/>
                <w:b/>
                <w:color w:val="103475"/>
                <w:sz w:val="18"/>
                <w:szCs w:val="18"/>
                <w:lang w:val="es-ES" w:eastAsia="es-ES"/>
              </w:rPr>
              <w:t>Total</w:t>
            </w:r>
          </w:p>
        </w:tc>
        <w:tc>
          <w:tcPr>
            <w:tcW w:w="809" w:type="pct"/>
            <w:shd w:val="clear" w:color="auto" w:fill="auto"/>
            <w:noWrap/>
            <w:vAlign w:val="center"/>
          </w:tcPr>
          <w:p w14:paraId="600377D0" w14:textId="77777777" w:rsidR="002A6175" w:rsidRPr="0009028A" w:rsidRDefault="00ED50FC" w:rsidP="002A6175">
            <w:pPr>
              <w:spacing w:after="0" w:line="276" w:lineRule="auto"/>
              <w:jc w:val="right"/>
              <w:rPr>
                <w:rFonts w:ascii="Arial" w:eastAsia="Times New Roman" w:hAnsi="Arial" w:cs="Arial"/>
                <w:b/>
                <w:color w:val="103475"/>
                <w:sz w:val="18"/>
                <w:szCs w:val="18"/>
                <w:u w:val="double"/>
                <w:lang w:val="es-ES" w:eastAsia="es-ES"/>
              </w:rPr>
            </w:pPr>
            <w:r w:rsidRPr="0009028A">
              <w:rPr>
                <w:rFonts w:ascii="Arial" w:eastAsia="Times New Roman" w:hAnsi="Arial" w:cs="Arial"/>
                <w:b/>
                <w:color w:val="103475"/>
                <w:sz w:val="18"/>
                <w:szCs w:val="18"/>
                <w:lang w:val="es-ES" w:eastAsia="es-ES"/>
              </w:rPr>
              <w:t>$</w:t>
            </w:r>
            <w:r w:rsidRPr="0009028A">
              <w:rPr>
                <w:rFonts w:ascii="Arial" w:eastAsia="Times New Roman" w:hAnsi="Arial" w:cs="Arial"/>
                <w:b/>
                <w:color w:val="103475"/>
                <w:sz w:val="18"/>
                <w:szCs w:val="18"/>
                <w:u w:val="double"/>
                <w:lang w:val="es-ES" w:eastAsia="es-ES"/>
              </w:rPr>
              <w:t xml:space="preserve">   </w:t>
            </w:r>
            <w:r w:rsidR="002A6175" w:rsidRPr="0009028A">
              <w:rPr>
                <w:rFonts w:ascii="Arial" w:eastAsia="Times New Roman" w:hAnsi="Arial" w:cs="Arial"/>
                <w:b/>
                <w:color w:val="103475"/>
                <w:sz w:val="18"/>
                <w:szCs w:val="18"/>
                <w:u w:val="double"/>
                <w:lang w:val="es-ES" w:eastAsia="es-ES"/>
              </w:rPr>
              <w:t xml:space="preserve">19.604.682  </w:t>
            </w:r>
          </w:p>
        </w:tc>
        <w:tc>
          <w:tcPr>
            <w:tcW w:w="808" w:type="pct"/>
            <w:shd w:val="clear" w:color="auto" w:fill="auto"/>
            <w:noWrap/>
            <w:vAlign w:val="center"/>
            <w:hideMark/>
          </w:tcPr>
          <w:p w14:paraId="0018571C" w14:textId="77777777" w:rsidR="002A6175" w:rsidRPr="0009028A" w:rsidRDefault="00ED50FC" w:rsidP="002A6175">
            <w:pPr>
              <w:spacing w:after="0" w:line="276" w:lineRule="auto"/>
              <w:jc w:val="right"/>
              <w:rPr>
                <w:rFonts w:ascii="Arial" w:eastAsia="Times New Roman" w:hAnsi="Arial" w:cs="Arial"/>
                <w:b/>
                <w:color w:val="103475"/>
                <w:sz w:val="18"/>
                <w:szCs w:val="18"/>
                <w:u w:val="double"/>
                <w:lang w:val="es-ES" w:eastAsia="es-ES"/>
              </w:rPr>
            </w:pPr>
            <w:r w:rsidRPr="0009028A">
              <w:rPr>
                <w:rFonts w:ascii="Arial" w:eastAsia="Times New Roman" w:hAnsi="Arial" w:cs="Arial"/>
                <w:b/>
                <w:color w:val="103475"/>
                <w:sz w:val="18"/>
                <w:szCs w:val="18"/>
                <w:u w:val="double"/>
                <w:lang w:val="es-ES" w:eastAsia="es-ES"/>
              </w:rPr>
              <w:t xml:space="preserve">     </w:t>
            </w:r>
            <w:r w:rsidR="002A6175" w:rsidRPr="0009028A">
              <w:rPr>
                <w:rFonts w:ascii="Arial" w:eastAsia="Times New Roman" w:hAnsi="Arial" w:cs="Arial"/>
                <w:b/>
                <w:color w:val="103475"/>
                <w:sz w:val="18"/>
                <w:szCs w:val="18"/>
                <w:u w:val="double"/>
                <w:lang w:val="es-ES" w:eastAsia="es-ES"/>
              </w:rPr>
              <w:t xml:space="preserve">19.604.682  </w:t>
            </w:r>
          </w:p>
        </w:tc>
      </w:tr>
    </w:tbl>
    <w:p w14:paraId="659B7D9E" w14:textId="77777777" w:rsidR="008B5836" w:rsidRDefault="008B5836" w:rsidP="008B5836">
      <w:pPr>
        <w:spacing w:after="0" w:line="276" w:lineRule="auto"/>
        <w:rPr>
          <w:rFonts w:ascii="Arial" w:eastAsia="Arial" w:hAnsi="Arial" w:cs="Arial"/>
          <w:b/>
          <w:spacing w:val="-1"/>
          <w:sz w:val="20"/>
          <w:szCs w:val="20"/>
        </w:rPr>
      </w:pPr>
    </w:p>
    <w:p w14:paraId="093AAC39" w14:textId="77777777" w:rsidR="007C49A2" w:rsidRDefault="007C49A2" w:rsidP="008B5836">
      <w:pPr>
        <w:spacing w:after="0" w:line="276" w:lineRule="auto"/>
        <w:rPr>
          <w:rFonts w:ascii="Arial" w:eastAsia="Arial" w:hAnsi="Arial" w:cs="Arial"/>
          <w:b/>
          <w:spacing w:val="-1"/>
          <w:sz w:val="20"/>
          <w:szCs w:val="20"/>
        </w:rPr>
      </w:pPr>
    </w:p>
    <w:p w14:paraId="2AEDC187" w14:textId="77777777" w:rsidR="007C49A2" w:rsidRDefault="007C49A2" w:rsidP="008B5836">
      <w:pPr>
        <w:spacing w:after="0" w:line="276" w:lineRule="auto"/>
        <w:rPr>
          <w:rFonts w:ascii="Arial" w:eastAsia="Arial" w:hAnsi="Arial" w:cs="Arial"/>
          <w:b/>
          <w:spacing w:val="-1"/>
          <w:sz w:val="20"/>
          <w:szCs w:val="20"/>
        </w:rPr>
      </w:pPr>
    </w:p>
    <w:p w14:paraId="7E262212" w14:textId="77777777" w:rsidR="007C49A2" w:rsidRDefault="007C49A2" w:rsidP="008B5836">
      <w:pPr>
        <w:spacing w:after="0" w:line="276" w:lineRule="auto"/>
        <w:rPr>
          <w:rFonts w:ascii="Arial" w:eastAsia="Arial" w:hAnsi="Arial" w:cs="Arial"/>
          <w:b/>
          <w:spacing w:val="-1"/>
          <w:sz w:val="20"/>
          <w:szCs w:val="20"/>
        </w:rPr>
      </w:pPr>
    </w:p>
    <w:p w14:paraId="17F5F810" w14:textId="77777777" w:rsidR="007C49A2" w:rsidRPr="0009028A" w:rsidRDefault="007C49A2" w:rsidP="008B5836">
      <w:pPr>
        <w:spacing w:after="0" w:line="276" w:lineRule="auto"/>
        <w:rPr>
          <w:rFonts w:ascii="Arial" w:eastAsia="Arial" w:hAnsi="Arial" w:cs="Arial"/>
          <w:b/>
          <w:spacing w:val="-1"/>
          <w:sz w:val="20"/>
          <w:szCs w:val="20"/>
        </w:rPr>
      </w:pPr>
    </w:p>
    <w:p w14:paraId="192EF0B1" w14:textId="77777777" w:rsidR="008B5836" w:rsidRPr="0009028A" w:rsidRDefault="008B5836" w:rsidP="00FB0065">
      <w:pPr>
        <w:spacing w:after="0" w:line="276" w:lineRule="auto"/>
        <w:rPr>
          <w:rFonts w:ascii="Arial" w:hAnsi="Arial" w:cs="Arial"/>
          <w:b/>
          <w:color w:val="002060"/>
          <w:sz w:val="20"/>
          <w:szCs w:val="20"/>
          <w:lang w:val="es-ES_tradnl"/>
        </w:rPr>
      </w:pPr>
      <w:r w:rsidRPr="0009028A">
        <w:rPr>
          <w:rFonts w:ascii="Arial" w:hAnsi="Arial" w:cs="Arial"/>
          <w:b/>
          <w:color w:val="002060"/>
          <w:sz w:val="20"/>
          <w:szCs w:val="20"/>
          <w:lang w:val="es-ES_tradnl"/>
        </w:rPr>
        <w:t>Reconciliación de las acciones ordinarias</w:t>
      </w:r>
    </w:p>
    <w:tbl>
      <w:tblPr>
        <w:tblW w:w="5000" w:type="pct"/>
        <w:tblCellMar>
          <w:left w:w="70" w:type="dxa"/>
          <w:right w:w="70" w:type="dxa"/>
        </w:tblCellMar>
        <w:tblLook w:val="04A0" w:firstRow="1" w:lastRow="0" w:firstColumn="1" w:lastColumn="0" w:noHBand="0" w:noVBand="1"/>
      </w:tblPr>
      <w:tblGrid>
        <w:gridCol w:w="5104"/>
        <w:gridCol w:w="1381"/>
        <w:gridCol w:w="1718"/>
        <w:gridCol w:w="1718"/>
      </w:tblGrid>
      <w:tr w:rsidR="008B5836" w:rsidRPr="0009028A" w14:paraId="1F18BAFE" w14:textId="77777777" w:rsidTr="008B3749">
        <w:trPr>
          <w:trHeight w:val="227"/>
        </w:trPr>
        <w:tc>
          <w:tcPr>
            <w:tcW w:w="2572" w:type="pct"/>
            <w:shd w:val="clear" w:color="auto" w:fill="auto"/>
            <w:vAlign w:val="center"/>
            <w:hideMark/>
          </w:tcPr>
          <w:p w14:paraId="38D4650F" w14:textId="77777777" w:rsidR="008B5836" w:rsidRPr="0009028A" w:rsidRDefault="008B5836" w:rsidP="009E7488">
            <w:pPr>
              <w:spacing w:after="0" w:line="276" w:lineRule="auto"/>
              <w:jc w:val="center"/>
              <w:rPr>
                <w:rFonts w:ascii="Arial" w:eastAsia="Times New Roman" w:hAnsi="Arial" w:cs="Arial"/>
                <w:color w:val="103475"/>
                <w:sz w:val="24"/>
                <w:szCs w:val="24"/>
                <w:lang w:val="es-ES" w:eastAsia="es-ES"/>
              </w:rPr>
            </w:pPr>
          </w:p>
        </w:tc>
        <w:tc>
          <w:tcPr>
            <w:tcW w:w="696" w:type="pct"/>
            <w:shd w:val="clear" w:color="auto" w:fill="auto"/>
            <w:vAlign w:val="center"/>
            <w:hideMark/>
          </w:tcPr>
          <w:p w14:paraId="4735B11D" w14:textId="77777777" w:rsidR="008B5836" w:rsidRPr="0009028A" w:rsidRDefault="008B5836" w:rsidP="009E7488">
            <w:pPr>
              <w:spacing w:after="0" w:line="276" w:lineRule="auto"/>
              <w:jc w:val="center"/>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Número de acciones</w:t>
            </w:r>
          </w:p>
        </w:tc>
        <w:tc>
          <w:tcPr>
            <w:tcW w:w="866" w:type="pct"/>
            <w:shd w:val="clear" w:color="auto" w:fill="auto"/>
            <w:vAlign w:val="center"/>
            <w:hideMark/>
          </w:tcPr>
          <w:p w14:paraId="71D87601" w14:textId="77777777" w:rsidR="008B5836" w:rsidRPr="0009028A" w:rsidRDefault="008B5836" w:rsidP="009E7488">
            <w:pPr>
              <w:spacing w:after="0" w:line="276" w:lineRule="auto"/>
              <w:jc w:val="center"/>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Capital social</w:t>
            </w:r>
          </w:p>
        </w:tc>
        <w:tc>
          <w:tcPr>
            <w:tcW w:w="866" w:type="pct"/>
            <w:shd w:val="clear" w:color="auto" w:fill="auto"/>
            <w:vAlign w:val="center"/>
            <w:hideMark/>
          </w:tcPr>
          <w:p w14:paraId="183407B7" w14:textId="77777777" w:rsidR="008B5836" w:rsidRPr="0009028A" w:rsidRDefault="008B5836" w:rsidP="009E7488">
            <w:pPr>
              <w:spacing w:after="0" w:line="276" w:lineRule="auto"/>
              <w:jc w:val="center"/>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Prima en colocación de acciones</w:t>
            </w:r>
          </w:p>
        </w:tc>
      </w:tr>
      <w:tr w:rsidR="008B5836" w:rsidRPr="0009028A" w14:paraId="31C5D38B" w14:textId="77777777" w:rsidTr="008B3749">
        <w:trPr>
          <w:trHeight w:val="227"/>
        </w:trPr>
        <w:tc>
          <w:tcPr>
            <w:tcW w:w="2572" w:type="pct"/>
            <w:shd w:val="clear" w:color="auto" w:fill="auto"/>
            <w:vAlign w:val="center"/>
            <w:hideMark/>
          </w:tcPr>
          <w:p w14:paraId="12CA6F01" w14:textId="77777777" w:rsidR="008B5836" w:rsidRPr="0009028A" w:rsidRDefault="008B5836" w:rsidP="006C469B">
            <w:pPr>
              <w:spacing w:after="0" w:line="276" w:lineRule="auto"/>
              <w:jc w:val="both"/>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Saldo al 31 de diciembre de 201</w:t>
            </w:r>
            <w:r w:rsidR="005731DC" w:rsidRPr="0009028A">
              <w:rPr>
                <w:rFonts w:ascii="Arial" w:eastAsia="Times New Roman" w:hAnsi="Arial" w:cs="Arial"/>
                <w:b/>
                <w:bCs/>
                <w:color w:val="103475"/>
                <w:sz w:val="18"/>
                <w:szCs w:val="18"/>
                <w:lang w:val="es-ES" w:eastAsia="es-ES"/>
              </w:rPr>
              <w:t>8</w:t>
            </w:r>
          </w:p>
        </w:tc>
        <w:tc>
          <w:tcPr>
            <w:tcW w:w="696" w:type="pct"/>
            <w:shd w:val="clear" w:color="auto" w:fill="auto"/>
            <w:noWrap/>
            <w:vAlign w:val="center"/>
          </w:tcPr>
          <w:p w14:paraId="7B112CD6" w14:textId="77777777" w:rsidR="008B5836" w:rsidRPr="0009028A" w:rsidRDefault="00ED50FC" w:rsidP="006C469B">
            <w:pPr>
              <w:spacing w:after="0" w:line="276" w:lineRule="auto"/>
              <w:jc w:val="right"/>
              <w:rPr>
                <w:rFonts w:ascii="Arial" w:eastAsia="Times New Roman" w:hAnsi="Arial" w:cs="Arial"/>
                <w:bCs/>
                <w:sz w:val="18"/>
                <w:szCs w:val="18"/>
                <w:lang w:val="es-ES" w:eastAsia="es-ES"/>
              </w:rPr>
            </w:pPr>
            <w:r w:rsidRPr="0009028A">
              <w:rPr>
                <w:rFonts w:ascii="Arial" w:eastAsia="Times New Roman" w:hAnsi="Arial" w:cs="Arial"/>
                <w:bCs/>
                <w:sz w:val="18"/>
                <w:szCs w:val="18"/>
                <w:lang w:val="es-ES" w:eastAsia="es-ES"/>
              </w:rPr>
              <w:t xml:space="preserve">$  </w:t>
            </w:r>
            <w:r w:rsidR="002A6175" w:rsidRPr="0009028A">
              <w:rPr>
                <w:rFonts w:ascii="Arial" w:eastAsia="Times New Roman" w:hAnsi="Arial" w:cs="Arial"/>
                <w:bCs/>
                <w:sz w:val="18"/>
                <w:szCs w:val="18"/>
                <w:lang w:val="es-ES" w:eastAsia="es-ES"/>
              </w:rPr>
              <w:t>196.046.822</w:t>
            </w:r>
          </w:p>
        </w:tc>
        <w:tc>
          <w:tcPr>
            <w:tcW w:w="866" w:type="pct"/>
            <w:shd w:val="clear" w:color="auto" w:fill="auto"/>
            <w:noWrap/>
            <w:vAlign w:val="center"/>
          </w:tcPr>
          <w:p w14:paraId="5CF205C7" w14:textId="77777777" w:rsidR="008B5836" w:rsidRPr="0009028A" w:rsidRDefault="002A6175" w:rsidP="006C469B">
            <w:pPr>
              <w:spacing w:after="0" w:line="276" w:lineRule="auto"/>
              <w:jc w:val="right"/>
              <w:rPr>
                <w:rFonts w:ascii="Arial" w:eastAsia="Times New Roman" w:hAnsi="Arial" w:cs="Arial"/>
                <w:bCs/>
                <w:sz w:val="18"/>
                <w:szCs w:val="18"/>
                <w:lang w:val="es-ES" w:eastAsia="es-ES"/>
              </w:rPr>
            </w:pPr>
            <w:r w:rsidRPr="0009028A">
              <w:rPr>
                <w:rFonts w:ascii="Arial" w:eastAsia="Times New Roman" w:hAnsi="Arial" w:cs="Arial"/>
                <w:bCs/>
                <w:sz w:val="18"/>
                <w:szCs w:val="18"/>
                <w:lang w:val="es-ES" w:eastAsia="es-ES"/>
              </w:rPr>
              <w:t>19.604.682</w:t>
            </w:r>
          </w:p>
        </w:tc>
        <w:tc>
          <w:tcPr>
            <w:tcW w:w="866" w:type="pct"/>
            <w:shd w:val="clear" w:color="auto" w:fill="auto"/>
            <w:noWrap/>
            <w:vAlign w:val="center"/>
          </w:tcPr>
          <w:p w14:paraId="4BD47CD5" w14:textId="77777777" w:rsidR="008B5836" w:rsidRPr="0009028A" w:rsidRDefault="002A6175" w:rsidP="006C469B">
            <w:pPr>
              <w:spacing w:after="0" w:line="276" w:lineRule="auto"/>
              <w:jc w:val="right"/>
              <w:rPr>
                <w:rFonts w:ascii="Arial" w:eastAsia="Times New Roman" w:hAnsi="Arial" w:cs="Arial"/>
                <w:bCs/>
                <w:sz w:val="18"/>
                <w:szCs w:val="18"/>
                <w:lang w:val="es-ES" w:eastAsia="es-ES"/>
              </w:rPr>
            </w:pPr>
            <w:r w:rsidRPr="0009028A">
              <w:rPr>
                <w:rFonts w:ascii="Arial" w:eastAsia="Times New Roman" w:hAnsi="Arial" w:cs="Arial"/>
                <w:bCs/>
                <w:sz w:val="18"/>
                <w:szCs w:val="18"/>
                <w:lang w:val="es-ES" w:eastAsia="es-ES"/>
              </w:rPr>
              <w:t>354.528.587</w:t>
            </w:r>
          </w:p>
        </w:tc>
      </w:tr>
      <w:tr w:rsidR="008B5836" w:rsidRPr="0009028A" w14:paraId="51F406AE" w14:textId="77777777" w:rsidTr="008B3749">
        <w:trPr>
          <w:trHeight w:val="227"/>
        </w:trPr>
        <w:tc>
          <w:tcPr>
            <w:tcW w:w="2572" w:type="pct"/>
            <w:shd w:val="clear" w:color="auto" w:fill="auto"/>
            <w:vAlign w:val="center"/>
            <w:hideMark/>
          </w:tcPr>
          <w:p w14:paraId="7D7507B6" w14:textId="77777777" w:rsidR="008B5836" w:rsidRPr="0009028A" w:rsidRDefault="008B5836" w:rsidP="006C469B">
            <w:pPr>
              <w:spacing w:after="0" w:line="276" w:lineRule="auto"/>
              <w:jc w:val="both"/>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Saldo al 3</w:t>
            </w:r>
            <w:r w:rsidR="005731DC" w:rsidRPr="0009028A">
              <w:rPr>
                <w:rFonts w:ascii="Arial" w:eastAsia="Times New Roman" w:hAnsi="Arial" w:cs="Arial"/>
                <w:b/>
                <w:bCs/>
                <w:color w:val="103475"/>
                <w:sz w:val="18"/>
                <w:szCs w:val="18"/>
                <w:lang w:val="es-ES" w:eastAsia="es-ES"/>
              </w:rPr>
              <w:t>1</w:t>
            </w:r>
            <w:r w:rsidRPr="0009028A">
              <w:rPr>
                <w:rFonts w:ascii="Arial" w:eastAsia="Times New Roman" w:hAnsi="Arial" w:cs="Arial"/>
                <w:b/>
                <w:bCs/>
                <w:color w:val="103475"/>
                <w:sz w:val="18"/>
                <w:szCs w:val="18"/>
                <w:lang w:val="es-ES" w:eastAsia="es-ES"/>
              </w:rPr>
              <w:t xml:space="preserve"> de </w:t>
            </w:r>
            <w:r w:rsidR="005731DC" w:rsidRPr="0009028A">
              <w:rPr>
                <w:rFonts w:ascii="Arial" w:eastAsia="Times New Roman" w:hAnsi="Arial" w:cs="Arial"/>
                <w:b/>
                <w:bCs/>
                <w:color w:val="103475"/>
                <w:sz w:val="18"/>
                <w:szCs w:val="18"/>
                <w:lang w:val="es-ES" w:eastAsia="es-ES"/>
              </w:rPr>
              <w:t>marzo</w:t>
            </w:r>
            <w:r w:rsidRPr="0009028A">
              <w:rPr>
                <w:rFonts w:ascii="Arial" w:eastAsia="Times New Roman" w:hAnsi="Arial" w:cs="Arial"/>
                <w:b/>
                <w:bCs/>
                <w:color w:val="103475"/>
                <w:sz w:val="18"/>
                <w:szCs w:val="18"/>
                <w:lang w:val="es-ES" w:eastAsia="es-ES"/>
              </w:rPr>
              <w:t xml:space="preserve"> de 201</w:t>
            </w:r>
            <w:r w:rsidR="005731DC" w:rsidRPr="0009028A">
              <w:rPr>
                <w:rFonts w:ascii="Arial" w:eastAsia="Times New Roman" w:hAnsi="Arial" w:cs="Arial"/>
                <w:b/>
                <w:bCs/>
                <w:color w:val="103475"/>
                <w:sz w:val="18"/>
                <w:szCs w:val="18"/>
                <w:lang w:val="es-ES" w:eastAsia="es-ES"/>
              </w:rPr>
              <w:t>9</w:t>
            </w:r>
          </w:p>
        </w:tc>
        <w:tc>
          <w:tcPr>
            <w:tcW w:w="696" w:type="pct"/>
            <w:shd w:val="clear" w:color="auto" w:fill="auto"/>
            <w:noWrap/>
            <w:vAlign w:val="center"/>
          </w:tcPr>
          <w:p w14:paraId="0DB5D8E4" w14:textId="77777777" w:rsidR="008B5836" w:rsidRPr="0009028A" w:rsidRDefault="00ED50FC" w:rsidP="006C469B">
            <w:pPr>
              <w:spacing w:after="0" w:line="276" w:lineRule="auto"/>
              <w:jc w:val="right"/>
              <w:rPr>
                <w:rFonts w:ascii="Arial" w:eastAsia="Times New Roman" w:hAnsi="Arial" w:cs="Arial"/>
                <w:bCs/>
                <w:sz w:val="18"/>
                <w:szCs w:val="18"/>
                <w:lang w:val="es-ES" w:eastAsia="es-ES"/>
              </w:rPr>
            </w:pPr>
            <w:r w:rsidRPr="0009028A">
              <w:rPr>
                <w:rFonts w:ascii="Arial" w:eastAsia="Times New Roman" w:hAnsi="Arial" w:cs="Arial"/>
                <w:bCs/>
                <w:sz w:val="18"/>
                <w:szCs w:val="18"/>
                <w:lang w:val="es-ES" w:eastAsia="es-ES"/>
              </w:rPr>
              <w:t xml:space="preserve">$  </w:t>
            </w:r>
            <w:r w:rsidR="002A6175" w:rsidRPr="0009028A">
              <w:rPr>
                <w:rFonts w:ascii="Arial" w:eastAsia="Times New Roman" w:hAnsi="Arial" w:cs="Arial"/>
                <w:bCs/>
                <w:sz w:val="18"/>
                <w:szCs w:val="18"/>
                <w:lang w:val="es-ES" w:eastAsia="es-ES"/>
              </w:rPr>
              <w:t>196.046.822</w:t>
            </w:r>
          </w:p>
        </w:tc>
        <w:tc>
          <w:tcPr>
            <w:tcW w:w="866" w:type="pct"/>
            <w:shd w:val="clear" w:color="auto" w:fill="auto"/>
            <w:noWrap/>
            <w:vAlign w:val="center"/>
          </w:tcPr>
          <w:p w14:paraId="144E5B67" w14:textId="77777777" w:rsidR="008B5836" w:rsidRPr="0009028A" w:rsidRDefault="002A6175" w:rsidP="006C469B">
            <w:pPr>
              <w:spacing w:after="0" w:line="276" w:lineRule="auto"/>
              <w:jc w:val="right"/>
              <w:rPr>
                <w:rFonts w:ascii="Arial" w:eastAsia="Times New Roman" w:hAnsi="Arial" w:cs="Arial"/>
                <w:bCs/>
                <w:sz w:val="18"/>
                <w:szCs w:val="18"/>
                <w:lang w:val="es-ES" w:eastAsia="es-ES"/>
              </w:rPr>
            </w:pPr>
            <w:r w:rsidRPr="0009028A">
              <w:rPr>
                <w:rFonts w:ascii="Arial" w:eastAsia="Times New Roman" w:hAnsi="Arial" w:cs="Arial"/>
                <w:bCs/>
                <w:sz w:val="18"/>
                <w:szCs w:val="18"/>
                <w:lang w:val="es-ES" w:eastAsia="es-ES"/>
              </w:rPr>
              <w:t>19.604.682</w:t>
            </w:r>
          </w:p>
        </w:tc>
        <w:tc>
          <w:tcPr>
            <w:tcW w:w="866" w:type="pct"/>
            <w:shd w:val="clear" w:color="auto" w:fill="auto"/>
            <w:noWrap/>
            <w:vAlign w:val="center"/>
          </w:tcPr>
          <w:p w14:paraId="1D153737" w14:textId="77777777" w:rsidR="008B5836" w:rsidRPr="0009028A" w:rsidRDefault="002A6175" w:rsidP="006C469B">
            <w:pPr>
              <w:spacing w:after="0" w:line="276" w:lineRule="auto"/>
              <w:jc w:val="right"/>
              <w:rPr>
                <w:rFonts w:ascii="Arial" w:eastAsia="Times New Roman" w:hAnsi="Arial" w:cs="Arial"/>
                <w:bCs/>
                <w:sz w:val="18"/>
                <w:szCs w:val="18"/>
                <w:lang w:val="es-ES" w:eastAsia="es-ES"/>
              </w:rPr>
            </w:pPr>
            <w:r w:rsidRPr="0009028A">
              <w:rPr>
                <w:rFonts w:ascii="Arial" w:eastAsia="Times New Roman" w:hAnsi="Arial" w:cs="Arial"/>
                <w:bCs/>
                <w:sz w:val="18"/>
                <w:szCs w:val="18"/>
                <w:lang w:val="es-ES" w:eastAsia="es-ES"/>
              </w:rPr>
              <w:t>354.528.587</w:t>
            </w:r>
          </w:p>
        </w:tc>
      </w:tr>
    </w:tbl>
    <w:p w14:paraId="19B128EA" w14:textId="77777777" w:rsidR="008B5836" w:rsidRPr="0009028A" w:rsidRDefault="008B5836" w:rsidP="008B5836">
      <w:pPr>
        <w:spacing w:after="0" w:line="276" w:lineRule="auto"/>
        <w:jc w:val="both"/>
        <w:rPr>
          <w:rFonts w:ascii="Arial" w:eastAsia="Arial" w:hAnsi="Arial" w:cs="Arial"/>
          <w:sz w:val="20"/>
          <w:szCs w:val="20"/>
          <w:highlight w:val="yellow"/>
          <w:lang w:val="es-ES"/>
        </w:rPr>
      </w:pPr>
    </w:p>
    <w:p w14:paraId="3C7B5B78" w14:textId="77777777" w:rsidR="008B5836" w:rsidRPr="0009028A" w:rsidRDefault="008B5836" w:rsidP="008B5836">
      <w:pPr>
        <w:spacing w:after="0" w:line="276" w:lineRule="auto"/>
        <w:jc w:val="both"/>
        <w:rPr>
          <w:rFonts w:ascii="Arial" w:hAnsi="Arial" w:cs="Arial"/>
          <w:b/>
          <w:color w:val="0C2D66"/>
          <w:sz w:val="24"/>
          <w:szCs w:val="28"/>
        </w:rPr>
      </w:pPr>
      <w:r w:rsidRPr="0009028A">
        <w:rPr>
          <w:rFonts w:ascii="Arial" w:eastAsia="Arial" w:hAnsi="Arial" w:cs="Arial"/>
          <w:sz w:val="20"/>
          <w:szCs w:val="20"/>
          <w:lang w:val="es-ES"/>
        </w:rPr>
        <w:t>Durante el período informado no se presentaron emisiones ni recompra de acciones.</w:t>
      </w:r>
    </w:p>
    <w:p w14:paraId="6370E8DA" w14:textId="77777777" w:rsidR="001A0B25" w:rsidRPr="0009028A" w:rsidRDefault="001A0B25" w:rsidP="008B5836">
      <w:pPr>
        <w:spacing w:after="0" w:line="276" w:lineRule="auto"/>
        <w:jc w:val="both"/>
        <w:rPr>
          <w:rFonts w:ascii="Arial" w:hAnsi="Arial" w:cs="Arial"/>
          <w:b/>
          <w:color w:val="0C2D66"/>
          <w:sz w:val="20"/>
          <w:szCs w:val="20"/>
        </w:rPr>
      </w:pPr>
    </w:p>
    <w:p w14:paraId="7DA1E05D" w14:textId="2C2C23F1" w:rsidR="008B5836" w:rsidRPr="0009028A" w:rsidRDefault="00270779" w:rsidP="00D100F1">
      <w:pPr>
        <w:pStyle w:val="Ttulo1"/>
      </w:pPr>
      <w:bookmarkStart w:id="316" w:name="_Toc506991946"/>
      <w:bookmarkStart w:id="317" w:name="_Toc8735112"/>
      <w:r w:rsidRPr="0009028A">
        <w:t>Nota</w:t>
      </w:r>
      <w:r w:rsidR="004F7AAE" w:rsidRPr="0009028A">
        <w:t xml:space="preserve"> 1</w:t>
      </w:r>
      <w:r w:rsidR="00964E83">
        <w:t>6</w:t>
      </w:r>
      <w:r w:rsidR="008B5836" w:rsidRPr="0009028A">
        <w:t xml:space="preserve">: </w:t>
      </w:r>
      <w:r w:rsidRPr="0009028A">
        <w:t>Reservas y otro resultado integral</w:t>
      </w:r>
      <w:bookmarkEnd w:id="316"/>
      <w:bookmarkEnd w:id="317"/>
    </w:p>
    <w:p w14:paraId="37EBE5BB" w14:textId="00332DA4" w:rsidR="008B5836" w:rsidRPr="0009028A" w:rsidRDefault="00356D6E" w:rsidP="00487B5A">
      <w:pPr>
        <w:pStyle w:val="Ttulo2"/>
        <w:spacing w:afterAutospacing="0"/>
        <w:rPr>
          <w:rFonts w:ascii="Arial" w:hAnsi="Arial" w:cs="Arial"/>
        </w:rPr>
      </w:pPr>
      <w:bookmarkStart w:id="318" w:name="_Toc506991947"/>
      <w:bookmarkStart w:id="319" w:name="_Toc8735113"/>
      <w:bookmarkStart w:id="320" w:name="_Hlk506381350"/>
      <w:r w:rsidRPr="0009028A">
        <w:rPr>
          <w:rFonts w:ascii="Arial" w:hAnsi="Arial" w:cs="Arial"/>
        </w:rPr>
        <w:t>1</w:t>
      </w:r>
      <w:r w:rsidR="00964E83">
        <w:rPr>
          <w:rFonts w:ascii="Arial" w:hAnsi="Arial" w:cs="Arial"/>
        </w:rPr>
        <w:t>6</w:t>
      </w:r>
      <w:r w:rsidR="008B5836" w:rsidRPr="0009028A">
        <w:rPr>
          <w:rFonts w:ascii="Arial" w:hAnsi="Arial" w:cs="Arial"/>
        </w:rPr>
        <w:t>.1 Reservas</w:t>
      </w:r>
      <w:bookmarkEnd w:id="318"/>
      <w:bookmarkEnd w:id="319"/>
    </w:p>
    <w:p w14:paraId="6FD91916" w14:textId="77777777" w:rsidR="008B5836" w:rsidRPr="0009028A" w:rsidRDefault="008B5836" w:rsidP="008B5836">
      <w:pPr>
        <w:spacing w:after="0" w:line="240" w:lineRule="auto"/>
        <w:rPr>
          <w:rFonts w:ascii="Arial" w:eastAsia="Arial" w:hAnsi="Arial" w:cs="Arial"/>
          <w:sz w:val="20"/>
          <w:szCs w:val="20"/>
          <w:lang w:val="es-AR"/>
        </w:rPr>
      </w:pPr>
    </w:p>
    <w:p w14:paraId="76A45F3E" w14:textId="77777777" w:rsidR="008B5836" w:rsidRPr="0009028A" w:rsidRDefault="009758C0" w:rsidP="008B5836">
      <w:pPr>
        <w:spacing w:before="18" w:after="0" w:line="240" w:lineRule="auto"/>
        <w:rPr>
          <w:rFonts w:ascii="Arial" w:hAnsi="Arial" w:cs="Arial"/>
          <w:color w:val="000000"/>
          <w:sz w:val="20"/>
          <w:szCs w:val="20"/>
          <w:lang w:val="es-ES"/>
        </w:rPr>
      </w:pPr>
      <w:r w:rsidRPr="0009028A">
        <w:rPr>
          <w:rFonts w:ascii="Arial" w:hAnsi="Arial" w:cs="Arial"/>
          <w:color w:val="000000"/>
          <w:sz w:val="20"/>
          <w:szCs w:val="20"/>
          <w:lang w:val="es-ES"/>
        </w:rPr>
        <w:t>El saldo de reservas a 3</w:t>
      </w:r>
      <w:r w:rsidR="000A42BF" w:rsidRPr="0009028A">
        <w:rPr>
          <w:rFonts w:ascii="Arial" w:hAnsi="Arial" w:cs="Arial"/>
          <w:color w:val="000000"/>
          <w:sz w:val="20"/>
          <w:szCs w:val="20"/>
          <w:lang w:val="es-ES"/>
        </w:rPr>
        <w:t>1</w:t>
      </w:r>
      <w:r w:rsidR="008B5836" w:rsidRPr="0009028A">
        <w:rPr>
          <w:rFonts w:ascii="Arial" w:hAnsi="Arial" w:cs="Arial"/>
          <w:color w:val="000000"/>
          <w:sz w:val="20"/>
          <w:szCs w:val="20"/>
          <w:lang w:val="es-ES"/>
        </w:rPr>
        <w:t xml:space="preserve"> de</w:t>
      </w:r>
      <w:r w:rsidR="000A42BF" w:rsidRPr="0009028A">
        <w:rPr>
          <w:rFonts w:ascii="Arial" w:hAnsi="Arial" w:cs="Arial"/>
          <w:color w:val="000000"/>
          <w:sz w:val="20"/>
          <w:szCs w:val="20"/>
          <w:lang w:val="es-ES"/>
        </w:rPr>
        <w:t xml:space="preserve"> marzo</w:t>
      </w:r>
      <w:r w:rsidR="00D34C26" w:rsidRPr="0009028A">
        <w:rPr>
          <w:rFonts w:ascii="Arial" w:hAnsi="Arial" w:cs="Arial"/>
          <w:color w:val="000000"/>
          <w:sz w:val="20"/>
          <w:szCs w:val="20"/>
          <w:lang w:val="es-ES"/>
        </w:rPr>
        <w:t xml:space="preserve"> de 201</w:t>
      </w:r>
      <w:r w:rsidR="000A42BF" w:rsidRPr="0009028A">
        <w:rPr>
          <w:rFonts w:ascii="Arial" w:hAnsi="Arial" w:cs="Arial"/>
          <w:color w:val="000000"/>
          <w:sz w:val="20"/>
          <w:szCs w:val="20"/>
          <w:lang w:val="es-ES"/>
        </w:rPr>
        <w:t>9</w:t>
      </w:r>
      <w:r w:rsidR="00D34C26" w:rsidRPr="0009028A">
        <w:rPr>
          <w:rFonts w:ascii="Arial" w:hAnsi="Arial" w:cs="Arial"/>
          <w:color w:val="000000"/>
          <w:sz w:val="20"/>
          <w:szCs w:val="20"/>
          <w:lang w:val="es-ES"/>
        </w:rPr>
        <w:t xml:space="preserve"> y 31 de</w:t>
      </w:r>
      <w:r w:rsidR="008B5836" w:rsidRPr="0009028A">
        <w:rPr>
          <w:rFonts w:ascii="Arial" w:hAnsi="Arial" w:cs="Arial"/>
          <w:color w:val="000000"/>
          <w:sz w:val="20"/>
          <w:szCs w:val="20"/>
          <w:lang w:val="es-ES"/>
        </w:rPr>
        <w:t xml:space="preserve"> diciembre </w:t>
      </w:r>
      <w:r w:rsidR="00D34C26" w:rsidRPr="0009028A">
        <w:rPr>
          <w:rFonts w:ascii="Arial" w:hAnsi="Arial" w:cs="Arial"/>
          <w:color w:val="000000"/>
          <w:sz w:val="20"/>
          <w:szCs w:val="20"/>
          <w:lang w:val="es-ES"/>
        </w:rPr>
        <w:t>de 201</w:t>
      </w:r>
      <w:r w:rsidR="000A42BF" w:rsidRPr="0009028A">
        <w:rPr>
          <w:rFonts w:ascii="Arial" w:hAnsi="Arial" w:cs="Arial"/>
          <w:color w:val="000000"/>
          <w:sz w:val="20"/>
          <w:szCs w:val="20"/>
          <w:lang w:val="es-ES"/>
        </w:rPr>
        <w:t>8</w:t>
      </w:r>
      <w:r w:rsidR="00D34C26" w:rsidRPr="0009028A">
        <w:rPr>
          <w:rFonts w:ascii="Arial" w:hAnsi="Arial" w:cs="Arial"/>
          <w:color w:val="000000"/>
          <w:sz w:val="20"/>
          <w:szCs w:val="20"/>
          <w:lang w:val="es-ES"/>
        </w:rPr>
        <w:t xml:space="preserve"> </w:t>
      </w:r>
      <w:r w:rsidR="008B5836" w:rsidRPr="0009028A">
        <w:rPr>
          <w:rFonts w:ascii="Arial" w:hAnsi="Arial" w:cs="Arial"/>
          <w:color w:val="000000"/>
          <w:sz w:val="20"/>
          <w:szCs w:val="20"/>
          <w:lang w:val="es-ES"/>
        </w:rPr>
        <w:t>comprende:</w:t>
      </w:r>
    </w:p>
    <w:tbl>
      <w:tblPr>
        <w:tblW w:w="5000" w:type="pct"/>
        <w:tblCellMar>
          <w:left w:w="70" w:type="dxa"/>
          <w:right w:w="70" w:type="dxa"/>
        </w:tblCellMar>
        <w:tblLook w:val="04A0" w:firstRow="1" w:lastRow="0" w:firstColumn="1" w:lastColumn="0" w:noHBand="0" w:noVBand="1"/>
      </w:tblPr>
      <w:tblGrid>
        <w:gridCol w:w="6742"/>
        <w:gridCol w:w="1542"/>
        <w:gridCol w:w="1637"/>
      </w:tblGrid>
      <w:tr w:rsidR="008B5836" w:rsidRPr="0009028A" w14:paraId="541FA104" w14:textId="77777777" w:rsidTr="008C1630">
        <w:trPr>
          <w:trHeight w:val="227"/>
        </w:trPr>
        <w:tc>
          <w:tcPr>
            <w:tcW w:w="3429" w:type="pct"/>
            <w:shd w:val="clear" w:color="auto" w:fill="auto"/>
            <w:noWrap/>
            <w:vAlign w:val="bottom"/>
          </w:tcPr>
          <w:p w14:paraId="1AE6D047" w14:textId="77777777" w:rsidR="008B5836" w:rsidRPr="0009028A" w:rsidRDefault="008B5836" w:rsidP="006C469B">
            <w:pPr>
              <w:spacing w:after="0" w:line="240" w:lineRule="auto"/>
              <w:rPr>
                <w:rFonts w:ascii="Arial" w:eastAsia="Times New Roman" w:hAnsi="Arial" w:cs="Arial"/>
                <w:sz w:val="24"/>
                <w:szCs w:val="24"/>
                <w:lang w:val="es-ES" w:eastAsia="es-ES"/>
              </w:rPr>
            </w:pPr>
          </w:p>
        </w:tc>
        <w:tc>
          <w:tcPr>
            <w:tcW w:w="715" w:type="pct"/>
            <w:shd w:val="clear" w:color="auto" w:fill="auto"/>
            <w:noWrap/>
            <w:vAlign w:val="center"/>
          </w:tcPr>
          <w:p w14:paraId="23D0E5EC" w14:textId="77777777" w:rsidR="008B5836" w:rsidRPr="0009028A" w:rsidRDefault="008B5836" w:rsidP="006C469B">
            <w:pPr>
              <w:spacing w:after="0" w:line="240" w:lineRule="auto"/>
              <w:jc w:val="right"/>
              <w:rPr>
                <w:rFonts w:ascii="Arial" w:eastAsia="Times New Roman" w:hAnsi="Arial" w:cs="Arial"/>
                <w:b/>
                <w:bCs/>
                <w:color w:val="000000"/>
                <w:sz w:val="18"/>
                <w:szCs w:val="18"/>
                <w:lang w:val="es-ES" w:eastAsia="es-ES"/>
              </w:rPr>
            </w:pPr>
          </w:p>
        </w:tc>
        <w:tc>
          <w:tcPr>
            <w:tcW w:w="856" w:type="pct"/>
            <w:shd w:val="clear" w:color="auto" w:fill="auto"/>
            <w:vAlign w:val="center"/>
          </w:tcPr>
          <w:p w14:paraId="20115612" w14:textId="77777777" w:rsidR="008B5836" w:rsidRPr="0009028A" w:rsidRDefault="008B5836" w:rsidP="006C469B">
            <w:pPr>
              <w:spacing w:after="0" w:line="240" w:lineRule="auto"/>
              <w:jc w:val="center"/>
              <w:rPr>
                <w:rFonts w:ascii="Arial" w:eastAsia="Times New Roman" w:hAnsi="Arial" w:cs="Arial"/>
                <w:b/>
                <w:bCs/>
                <w:color w:val="000000"/>
                <w:sz w:val="18"/>
                <w:szCs w:val="18"/>
                <w:lang w:val="es-ES" w:eastAsia="es-ES"/>
              </w:rPr>
            </w:pPr>
          </w:p>
        </w:tc>
      </w:tr>
      <w:tr w:rsidR="008B5836" w:rsidRPr="0009028A" w14:paraId="62852B34" w14:textId="77777777" w:rsidTr="008C1630">
        <w:trPr>
          <w:trHeight w:val="227"/>
        </w:trPr>
        <w:tc>
          <w:tcPr>
            <w:tcW w:w="3429" w:type="pct"/>
            <w:shd w:val="clear" w:color="auto" w:fill="auto"/>
            <w:noWrap/>
            <w:vAlign w:val="bottom"/>
            <w:hideMark/>
          </w:tcPr>
          <w:p w14:paraId="5C71044C" w14:textId="77777777" w:rsidR="008B5836" w:rsidRPr="0009028A" w:rsidRDefault="008B5836" w:rsidP="006C469B">
            <w:pPr>
              <w:spacing w:after="0" w:line="240" w:lineRule="auto"/>
              <w:rPr>
                <w:rFonts w:ascii="Arial" w:eastAsia="Times New Roman" w:hAnsi="Arial" w:cs="Arial"/>
                <w:color w:val="103475"/>
                <w:sz w:val="24"/>
                <w:szCs w:val="24"/>
                <w:lang w:val="es-ES" w:eastAsia="es-ES"/>
              </w:rPr>
            </w:pPr>
          </w:p>
        </w:tc>
        <w:tc>
          <w:tcPr>
            <w:tcW w:w="715" w:type="pct"/>
            <w:shd w:val="clear" w:color="auto" w:fill="auto"/>
            <w:noWrap/>
            <w:vAlign w:val="center"/>
            <w:hideMark/>
          </w:tcPr>
          <w:p w14:paraId="76BEBC63" w14:textId="77777777" w:rsidR="008B5836" w:rsidRPr="0009028A" w:rsidRDefault="00DD56AF" w:rsidP="006C469B">
            <w:pPr>
              <w:spacing w:after="0" w:line="240" w:lineRule="auto"/>
              <w:jc w:val="center"/>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 xml:space="preserve">Marzo </w:t>
            </w:r>
            <w:r w:rsidR="00D34C26" w:rsidRPr="0009028A">
              <w:rPr>
                <w:rFonts w:ascii="Arial" w:eastAsia="Times New Roman" w:hAnsi="Arial" w:cs="Arial"/>
                <w:b/>
                <w:bCs/>
                <w:color w:val="103475"/>
                <w:sz w:val="18"/>
                <w:szCs w:val="18"/>
                <w:lang w:val="es-ES" w:eastAsia="es-ES"/>
              </w:rPr>
              <w:t>201</w:t>
            </w:r>
            <w:r w:rsidR="000A42BF" w:rsidRPr="0009028A">
              <w:rPr>
                <w:rFonts w:ascii="Arial" w:eastAsia="Times New Roman" w:hAnsi="Arial" w:cs="Arial"/>
                <w:b/>
                <w:bCs/>
                <w:color w:val="103475"/>
                <w:sz w:val="18"/>
                <w:szCs w:val="18"/>
                <w:lang w:val="es-ES" w:eastAsia="es-ES"/>
              </w:rPr>
              <w:t>9</w:t>
            </w:r>
          </w:p>
        </w:tc>
        <w:tc>
          <w:tcPr>
            <w:tcW w:w="856" w:type="pct"/>
            <w:shd w:val="clear" w:color="auto" w:fill="auto"/>
            <w:vAlign w:val="center"/>
            <w:hideMark/>
          </w:tcPr>
          <w:p w14:paraId="0E4E0792" w14:textId="77777777" w:rsidR="008B5836" w:rsidRPr="0009028A" w:rsidRDefault="00DD56AF" w:rsidP="006C469B">
            <w:pPr>
              <w:spacing w:after="0" w:line="240" w:lineRule="auto"/>
              <w:jc w:val="center"/>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 xml:space="preserve">Diciembre </w:t>
            </w:r>
            <w:r w:rsidR="00D34C26" w:rsidRPr="0009028A">
              <w:rPr>
                <w:rFonts w:ascii="Arial" w:eastAsia="Times New Roman" w:hAnsi="Arial" w:cs="Arial"/>
                <w:b/>
                <w:bCs/>
                <w:color w:val="103475"/>
                <w:sz w:val="18"/>
                <w:szCs w:val="18"/>
                <w:lang w:val="es-ES" w:eastAsia="es-ES"/>
              </w:rPr>
              <w:t>201</w:t>
            </w:r>
            <w:r w:rsidR="000A42BF" w:rsidRPr="0009028A">
              <w:rPr>
                <w:rFonts w:ascii="Arial" w:eastAsia="Times New Roman" w:hAnsi="Arial" w:cs="Arial"/>
                <w:b/>
                <w:bCs/>
                <w:color w:val="103475"/>
                <w:sz w:val="18"/>
                <w:szCs w:val="18"/>
                <w:lang w:val="es-ES" w:eastAsia="es-ES"/>
              </w:rPr>
              <w:t>8</w:t>
            </w:r>
          </w:p>
        </w:tc>
      </w:tr>
      <w:tr w:rsidR="00D34C26" w:rsidRPr="0009028A" w14:paraId="3B346307" w14:textId="77777777" w:rsidTr="008C1630">
        <w:trPr>
          <w:trHeight w:val="227"/>
        </w:trPr>
        <w:tc>
          <w:tcPr>
            <w:tcW w:w="3429" w:type="pct"/>
            <w:shd w:val="clear" w:color="auto" w:fill="auto"/>
            <w:noWrap/>
            <w:vAlign w:val="center"/>
            <w:hideMark/>
          </w:tcPr>
          <w:p w14:paraId="29D74874" w14:textId="77777777" w:rsidR="00D34C26" w:rsidRPr="0009028A" w:rsidRDefault="00D34C26" w:rsidP="00D34C26">
            <w:pPr>
              <w:spacing w:after="0" w:line="240" w:lineRule="auto"/>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val="es-ES" w:eastAsia="es-ES"/>
              </w:rPr>
              <w:t>Reserva legal</w:t>
            </w:r>
          </w:p>
        </w:tc>
        <w:tc>
          <w:tcPr>
            <w:tcW w:w="715" w:type="pct"/>
            <w:shd w:val="clear" w:color="auto" w:fill="auto"/>
            <w:noWrap/>
            <w:vAlign w:val="center"/>
          </w:tcPr>
          <w:p w14:paraId="43034675" w14:textId="77777777" w:rsidR="00D34C26" w:rsidRPr="0009028A" w:rsidRDefault="00ED50FC" w:rsidP="00D34C26">
            <w:pPr>
              <w:spacing w:after="0" w:line="240" w:lineRule="auto"/>
              <w:jc w:val="right"/>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val="es-ES" w:eastAsia="es-ES"/>
              </w:rPr>
              <w:t xml:space="preserve">$        </w:t>
            </w:r>
            <w:r w:rsidR="00053008" w:rsidRPr="0009028A">
              <w:rPr>
                <w:rFonts w:ascii="Arial" w:eastAsia="Times New Roman" w:hAnsi="Arial" w:cs="Arial"/>
                <w:color w:val="000000"/>
                <w:sz w:val="18"/>
                <w:szCs w:val="18"/>
                <w:lang w:val="es-ES" w:eastAsia="es-ES"/>
              </w:rPr>
              <w:t>78.498.174</w:t>
            </w:r>
          </w:p>
        </w:tc>
        <w:tc>
          <w:tcPr>
            <w:tcW w:w="856" w:type="pct"/>
            <w:shd w:val="clear" w:color="auto" w:fill="auto"/>
            <w:noWrap/>
            <w:vAlign w:val="center"/>
          </w:tcPr>
          <w:p w14:paraId="6FB2D8CF" w14:textId="77777777" w:rsidR="00D34C26" w:rsidRPr="0009028A" w:rsidRDefault="00053008" w:rsidP="00D34C26">
            <w:pPr>
              <w:spacing w:after="0" w:line="240" w:lineRule="auto"/>
              <w:jc w:val="right"/>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val="es-ES" w:eastAsia="es-ES"/>
              </w:rPr>
              <w:t>78.498.174</w:t>
            </w:r>
          </w:p>
        </w:tc>
      </w:tr>
      <w:tr w:rsidR="00D34C26" w:rsidRPr="0009028A" w14:paraId="03274F1C" w14:textId="77777777" w:rsidTr="008C1630">
        <w:trPr>
          <w:trHeight w:val="227"/>
        </w:trPr>
        <w:tc>
          <w:tcPr>
            <w:tcW w:w="3429" w:type="pct"/>
            <w:shd w:val="clear" w:color="auto" w:fill="auto"/>
            <w:noWrap/>
            <w:vAlign w:val="center"/>
            <w:hideMark/>
          </w:tcPr>
          <w:p w14:paraId="63C7D7B0" w14:textId="77777777" w:rsidR="00D34C26" w:rsidRPr="0009028A" w:rsidRDefault="00D34C26" w:rsidP="00D34C26">
            <w:pPr>
              <w:spacing w:after="0" w:line="240" w:lineRule="auto"/>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val="es-ES" w:eastAsia="es-ES"/>
              </w:rPr>
              <w:t>Otras reservas ocasionales</w:t>
            </w:r>
          </w:p>
        </w:tc>
        <w:tc>
          <w:tcPr>
            <w:tcW w:w="715" w:type="pct"/>
            <w:shd w:val="clear" w:color="auto" w:fill="auto"/>
            <w:noWrap/>
            <w:vAlign w:val="center"/>
          </w:tcPr>
          <w:p w14:paraId="04AA541B" w14:textId="67EEA101" w:rsidR="00D34C26" w:rsidRPr="0009028A" w:rsidRDefault="00053008" w:rsidP="00D34C26">
            <w:pPr>
              <w:spacing w:after="0" w:line="240" w:lineRule="auto"/>
              <w:jc w:val="right"/>
              <w:rPr>
                <w:rFonts w:ascii="Arial" w:eastAsia="Times New Roman" w:hAnsi="Arial" w:cs="Arial"/>
                <w:color w:val="000000"/>
                <w:sz w:val="18"/>
                <w:szCs w:val="18"/>
                <w:u w:val="single"/>
                <w:lang w:val="es-ES" w:eastAsia="es-ES"/>
              </w:rPr>
            </w:pPr>
            <w:r w:rsidRPr="0009028A">
              <w:rPr>
                <w:rFonts w:ascii="Arial" w:eastAsia="Times New Roman" w:hAnsi="Arial" w:cs="Arial"/>
                <w:color w:val="000000"/>
                <w:sz w:val="18"/>
                <w:szCs w:val="18"/>
                <w:u w:val="single"/>
                <w:lang w:val="es-ES" w:eastAsia="es-ES"/>
              </w:rPr>
              <w:t>1.1</w:t>
            </w:r>
            <w:r w:rsidR="00483C29">
              <w:rPr>
                <w:rFonts w:ascii="Arial" w:eastAsia="Times New Roman" w:hAnsi="Arial" w:cs="Arial"/>
                <w:color w:val="000000"/>
                <w:sz w:val="18"/>
                <w:szCs w:val="18"/>
                <w:u w:val="single"/>
                <w:lang w:val="es-ES" w:eastAsia="es-ES"/>
              </w:rPr>
              <w:t>2</w:t>
            </w:r>
            <w:r w:rsidRPr="0009028A">
              <w:rPr>
                <w:rFonts w:ascii="Arial" w:eastAsia="Times New Roman" w:hAnsi="Arial" w:cs="Arial"/>
                <w:color w:val="000000"/>
                <w:sz w:val="18"/>
                <w:szCs w:val="18"/>
                <w:u w:val="single"/>
                <w:lang w:val="es-ES" w:eastAsia="es-ES"/>
              </w:rPr>
              <w:t>4.058.448</w:t>
            </w:r>
          </w:p>
        </w:tc>
        <w:tc>
          <w:tcPr>
            <w:tcW w:w="856" w:type="pct"/>
            <w:shd w:val="clear" w:color="auto" w:fill="auto"/>
            <w:noWrap/>
            <w:vAlign w:val="center"/>
          </w:tcPr>
          <w:p w14:paraId="15694922" w14:textId="77777777" w:rsidR="00D34C26" w:rsidRPr="0009028A" w:rsidRDefault="00053008" w:rsidP="00D34C26">
            <w:pPr>
              <w:spacing w:after="0" w:line="240" w:lineRule="auto"/>
              <w:jc w:val="right"/>
              <w:rPr>
                <w:rFonts w:ascii="Arial" w:eastAsia="Times New Roman" w:hAnsi="Arial" w:cs="Arial"/>
                <w:color w:val="000000"/>
                <w:sz w:val="18"/>
                <w:szCs w:val="18"/>
                <w:u w:val="single"/>
                <w:lang w:val="es-ES" w:eastAsia="es-ES"/>
              </w:rPr>
            </w:pPr>
            <w:r w:rsidRPr="0009028A">
              <w:rPr>
                <w:rFonts w:ascii="Arial" w:eastAsia="Times New Roman" w:hAnsi="Arial" w:cs="Arial"/>
                <w:color w:val="000000"/>
                <w:sz w:val="18"/>
                <w:szCs w:val="18"/>
                <w:u w:val="single"/>
                <w:lang w:val="es-ES" w:eastAsia="es-ES"/>
              </w:rPr>
              <w:t>1.039.141.530</w:t>
            </w:r>
          </w:p>
        </w:tc>
      </w:tr>
      <w:tr w:rsidR="00D34C26" w:rsidRPr="0009028A" w14:paraId="5471B696" w14:textId="77777777" w:rsidTr="008C1630">
        <w:trPr>
          <w:trHeight w:val="227"/>
        </w:trPr>
        <w:tc>
          <w:tcPr>
            <w:tcW w:w="3429" w:type="pct"/>
            <w:shd w:val="clear" w:color="auto" w:fill="auto"/>
            <w:noWrap/>
            <w:vAlign w:val="bottom"/>
            <w:hideMark/>
          </w:tcPr>
          <w:p w14:paraId="161289AA" w14:textId="77777777" w:rsidR="00D34C26" w:rsidRPr="0009028A" w:rsidRDefault="00D34C26" w:rsidP="00D34C26">
            <w:pPr>
              <w:spacing w:after="0" w:line="240" w:lineRule="auto"/>
              <w:rPr>
                <w:rFonts w:ascii="Arial" w:eastAsia="Times New Roman" w:hAnsi="Arial" w:cs="Arial"/>
                <w:b/>
                <w:color w:val="103475"/>
                <w:sz w:val="18"/>
                <w:szCs w:val="18"/>
                <w:lang w:val="es-ES" w:eastAsia="es-ES"/>
              </w:rPr>
            </w:pPr>
            <w:r w:rsidRPr="0009028A">
              <w:rPr>
                <w:rFonts w:ascii="Arial" w:eastAsia="Times New Roman" w:hAnsi="Arial" w:cs="Arial"/>
                <w:b/>
                <w:color w:val="103475"/>
                <w:sz w:val="18"/>
                <w:szCs w:val="18"/>
                <w:lang w:val="es-ES" w:eastAsia="es-ES"/>
              </w:rPr>
              <w:t>Total reservas</w:t>
            </w:r>
          </w:p>
        </w:tc>
        <w:tc>
          <w:tcPr>
            <w:tcW w:w="715" w:type="pct"/>
            <w:shd w:val="clear" w:color="auto" w:fill="auto"/>
            <w:noWrap/>
            <w:vAlign w:val="center"/>
          </w:tcPr>
          <w:p w14:paraId="603803D8" w14:textId="487C06B6" w:rsidR="00D34C26" w:rsidRPr="0009028A" w:rsidRDefault="00ED50FC" w:rsidP="00D34C26">
            <w:pPr>
              <w:spacing w:after="0" w:line="240" w:lineRule="auto"/>
              <w:jc w:val="right"/>
              <w:rPr>
                <w:rFonts w:ascii="Arial" w:eastAsia="Times New Roman" w:hAnsi="Arial" w:cs="Arial"/>
                <w:b/>
                <w:color w:val="103475"/>
                <w:sz w:val="18"/>
                <w:szCs w:val="18"/>
                <w:u w:val="double"/>
                <w:lang w:val="es-ES" w:eastAsia="es-ES"/>
              </w:rPr>
            </w:pPr>
            <w:r w:rsidRPr="0009028A">
              <w:rPr>
                <w:rFonts w:ascii="Arial" w:eastAsia="Times New Roman" w:hAnsi="Arial" w:cs="Arial"/>
                <w:b/>
                <w:color w:val="103475"/>
                <w:sz w:val="18"/>
                <w:szCs w:val="18"/>
                <w:lang w:val="es-ES" w:eastAsia="es-ES"/>
              </w:rPr>
              <w:t xml:space="preserve">$  </w:t>
            </w:r>
            <w:r w:rsidRPr="0009028A">
              <w:rPr>
                <w:rFonts w:ascii="Arial" w:eastAsia="Times New Roman" w:hAnsi="Arial" w:cs="Arial"/>
                <w:b/>
                <w:color w:val="103475"/>
                <w:sz w:val="18"/>
                <w:szCs w:val="18"/>
                <w:u w:val="double"/>
                <w:lang w:val="es-ES" w:eastAsia="es-ES"/>
              </w:rPr>
              <w:t xml:space="preserve"> </w:t>
            </w:r>
            <w:r w:rsidR="00053008" w:rsidRPr="0009028A">
              <w:rPr>
                <w:rFonts w:ascii="Arial" w:eastAsia="Times New Roman" w:hAnsi="Arial" w:cs="Arial"/>
                <w:b/>
                <w:color w:val="103475"/>
                <w:sz w:val="18"/>
                <w:szCs w:val="18"/>
                <w:u w:val="double"/>
                <w:lang w:val="es-ES" w:eastAsia="es-ES"/>
              </w:rPr>
              <w:t>1.2</w:t>
            </w:r>
            <w:r w:rsidR="00483C29">
              <w:rPr>
                <w:rFonts w:ascii="Arial" w:eastAsia="Times New Roman" w:hAnsi="Arial" w:cs="Arial"/>
                <w:b/>
                <w:color w:val="103475"/>
                <w:sz w:val="18"/>
                <w:szCs w:val="18"/>
                <w:u w:val="double"/>
                <w:lang w:val="es-ES" w:eastAsia="es-ES"/>
              </w:rPr>
              <w:t>0</w:t>
            </w:r>
            <w:r w:rsidR="00053008" w:rsidRPr="0009028A">
              <w:rPr>
                <w:rFonts w:ascii="Arial" w:eastAsia="Times New Roman" w:hAnsi="Arial" w:cs="Arial"/>
                <w:b/>
                <w:color w:val="103475"/>
                <w:sz w:val="18"/>
                <w:szCs w:val="18"/>
                <w:u w:val="double"/>
                <w:lang w:val="es-ES" w:eastAsia="es-ES"/>
              </w:rPr>
              <w:t>2.556.622</w:t>
            </w:r>
          </w:p>
        </w:tc>
        <w:tc>
          <w:tcPr>
            <w:tcW w:w="856" w:type="pct"/>
            <w:shd w:val="clear" w:color="auto" w:fill="auto"/>
            <w:noWrap/>
            <w:vAlign w:val="center"/>
            <w:hideMark/>
          </w:tcPr>
          <w:p w14:paraId="5FF85214" w14:textId="77777777" w:rsidR="00D34C26" w:rsidRPr="0009028A" w:rsidRDefault="00053008" w:rsidP="00D34C26">
            <w:pPr>
              <w:spacing w:after="0" w:line="240" w:lineRule="auto"/>
              <w:jc w:val="right"/>
              <w:rPr>
                <w:rFonts w:ascii="Arial" w:eastAsia="Times New Roman" w:hAnsi="Arial" w:cs="Arial"/>
                <w:b/>
                <w:color w:val="103475"/>
                <w:sz w:val="18"/>
                <w:szCs w:val="18"/>
                <w:u w:val="double"/>
                <w:lang w:val="es-ES" w:eastAsia="es-ES"/>
              </w:rPr>
            </w:pPr>
            <w:r w:rsidRPr="0009028A">
              <w:rPr>
                <w:rFonts w:ascii="Arial" w:eastAsia="Times New Roman" w:hAnsi="Arial" w:cs="Arial"/>
                <w:b/>
                <w:color w:val="103475"/>
                <w:sz w:val="18"/>
                <w:szCs w:val="18"/>
                <w:u w:val="double"/>
                <w:lang w:val="es-ES" w:eastAsia="es-ES"/>
              </w:rPr>
              <w:t>1.117.639.704</w:t>
            </w:r>
          </w:p>
        </w:tc>
      </w:tr>
    </w:tbl>
    <w:p w14:paraId="297672DB" w14:textId="77777777" w:rsidR="008B5836" w:rsidRPr="0009028A" w:rsidRDefault="008B5836" w:rsidP="008B5836">
      <w:pPr>
        <w:spacing w:after="0"/>
        <w:rPr>
          <w:rFonts w:ascii="Arial" w:eastAsia="Arial" w:hAnsi="Arial" w:cs="Arial"/>
          <w:b/>
          <w:sz w:val="20"/>
          <w:szCs w:val="20"/>
          <w:highlight w:val="yellow"/>
          <w:lang w:val="es-AR"/>
        </w:rPr>
      </w:pPr>
    </w:p>
    <w:bookmarkEnd w:id="320"/>
    <w:p w14:paraId="402117A5" w14:textId="77777777" w:rsidR="008B5836" w:rsidRPr="0009028A" w:rsidRDefault="008B5836" w:rsidP="00EB7185">
      <w:pPr>
        <w:spacing w:after="0" w:line="276" w:lineRule="auto"/>
        <w:rPr>
          <w:rFonts w:ascii="Arial" w:hAnsi="Arial" w:cs="Arial"/>
          <w:b/>
          <w:color w:val="002060"/>
          <w:sz w:val="20"/>
          <w:szCs w:val="20"/>
          <w:lang w:val="es-ES_tradnl"/>
        </w:rPr>
      </w:pPr>
      <w:r w:rsidRPr="0009028A">
        <w:rPr>
          <w:rFonts w:ascii="Arial" w:hAnsi="Arial" w:cs="Arial"/>
          <w:b/>
          <w:color w:val="002060"/>
          <w:sz w:val="20"/>
          <w:szCs w:val="20"/>
          <w:lang w:val="es-ES_tradnl"/>
        </w:rPr>
        <w:t>Reserva legal</w:t>
      </w:r>
    </w:p>
    <w:p w14:paraId="5094F7D9" w14:textId="77777777" w:rsidR="00D34C26" w:rsidRPr="0009028A" w:rsidRDefault="00D34C26" w:rsidP="008B5836">
      <w:pPr>
        <w:autoSpaceDE w:val="0"/>
        <w:autoSpaceDN w:val="0"/>
        <w:adjustRightInd w:val="0"/>
        <w:spacing w:after="0" w:line="240" w:lineRule="auto"/>
        <w:jc w:val="both"/>
        <w:rPr>
          <w:rFonts w:ascii="Arial" w:eastAsia="Arial" w:hAnsi="Arial" w:cs="Arial"/>
          <w:sz w:val="20"/>
          <w:szCs w:val="20"/>
          <w:lang w:val="es-AR"/>
        </w:rPr>
      </w:pPr>
    </w:p>
    <w:p w14:paraId="7DF510AD" w14:textId="77777777" w:rsidR="008B5836" w:rsidRPr="0009028A" w:rsidRDefault="008B5836" w:rsidP="008B5836">
      <w:pPr>
        <w:autoSpaceDE w:val="0"/>
        <w:autoSpaceDN w:val="0"/>
        <w:adjustRightInd w:val="0"/>
        <w:spacing w:after="0" w:line="240" w:lineRule="auto"/>
        <w:jc w:val="both"/>
        <w:rPr>
          <w:rFonts w:ascii="Arial" w:eastAsia="Arial" w:hAnsi="Arial" w:cs="Arial"/>
          <w:sz w:val="20"/>
          <w:szCs w:val="20"/>
          <w:lang w:val="es-AR"/>
        </w:rPr>
      </w:pPr>
      <w:r w:rsidRPr="0009028A">
        <w:rPr>
          <w:rFonts w:ascii="Arial" w:eastAsia="Arial" w:hAnsi="Arial" w:cs="Arial"/>
          <w:sz w:val="20"/>
          <w:szCs w:val="20"/>
          <w:lang w:val="es-AR"/>
        </w:rPr>
        <w:t>La Compañía está obligada a apropiar como reserva legal 10% de sus utilidades netas anuales, hasta que el saldo de esta reserva sea equivalente a 50% del capital suscrito. La reserva no es distribuible antes de la liquidación de la Compañía, pero debe utilizarse para absorber o reducir pérdidas netas anuales. Son de libre disponibilidad por la Asamblea General de Accionistas las apropiaciones hechas en exceso del 50% antes mencionado.</w:t>
      </w:r>
    </w:p>
    <w:p w14:paraId="3D8DBCAD" w14:textId="77777777" w:rsidR="005D4DE9" w:rsidRPr="0009028A" w:rsidRDefault="005D4DE9" w:rsidP="008B5836">
      <w:pPr>
        <w:autoSpaceDE w:val="0"/>
        <w:autoSpaceDN w:val="0"/>
        <w:adjustRightInd w:val="0"/>
        <w:spacing w:after="0" w:line="240" w:lineRule="auto"/>
        <w:jc w:val="both"/>
        <w:rPr>
          <w:rFonts w:ascii="Arial" w:eastAsia="Arial" w:hAnsi="Arial" w:cs="Arial"/>
          <w:sz w:val="20"/>
          <w:szCs w:val="20"/>
          <w:highlight w:val="yellow"/>
          <w:lang w:val="es-AR"/>
        </w:rPr>
      </w:pPr>
    </w:p>
    <w:p w14:paraId="018C0E32" w14:textId="77777777" w:rsidR="008A4ADA" w:rsidRPr="0009028A" w:rsidRDefault="008B5836" w:rsidP="008A4ADA">
      <w:pPr>
        <w:spacing w:after="0" w:line="276" w:lineRule="auto"/>
        <w:rPr>
          <w:rFonts w:ascii="Arial" w:hAnsi="Arial" w:cs="Arial"/>
          <w:b/>
          <w:color w:val="002060"/>
          <w:sz w:val="20"/>
          <w:szCs w:val="20"/>
          <w:lang w:val="es-ES_tradnl"/>
        </w:rPr>
      </w:pPr>
      <w:bookmarkStart w:id="321" w:name="_Hlk506381332"/>
      <w:r w:rsidRPr="0009028A">
        <w:rPr>
          <w:rFonts w:ascii="Arial" w:hAnsi="Arial" w:cs="Arial"/>
          <w:b/>
          <w:color w:val="002060"/>
          <w:sz w:val="20"/>
          <w:szCs w:val="20"/>
          <w:lang w:val="es-ES_tradnl"/>
        </w:rPr>
        <w:t>Otras reservas ocasionales</w:t>
      </w:r>
    </w:p>
    <w:p w14:paraId="7509435E" w14:textId="77777777" w:rsidR="008A4ADA" w:rsidRPr="0009028A" w:rsidRDefault="008A4ADA" w:rsidP="008B5836">
      <w:pPr>
        <w:spacing w:after="0"/>
        <w:jc w:val="both"/>
        <w:rPr>
          <w:rFonts w:ascii="Arial" w:eastAsia="Arial" w:hAnsi="Arial" w:cs="Arial"/>
          <w:b/>
          <w:sz w:val="20"/>
          <w:szCs w:val="20"/>
          <w:lang w:val="es-AR"/>
        </w:rPr>
      </w:pPr>
    </w:p>
    <w:p w14:paraId="7F6A579F" w14:textId="77777777" w:rsidR="008A4ADA" w:rsidRPr="0009028A" w:rsidRDefault="008B5836" w:rsidP="008B5836">
      <w:pPr>
        <w:spacing w:after="0"/>
        <w:jc w:val="both"/>
        <w:rPr>
          <w:rFonts w:ascii="Arial" w:eastAsia="Arial" w:hAnsi="Arial" w:cs="Arial"/>
          <w:sz w:val="20"/>
          <w:szCs w:val="20"/>
          <w:lang w:val="es-AR"/>
        </w:rPr>
      </w:pPr>
      <w:r w:rsidRPr="0009028A">
        <w:rPr>
          <w:rFonts w:ascii="Arial" w:eastAsia="Arial" w:hAnsi="Arial" w:cs="Arial"/>
          <w:sz w:val="20"/>
          <w:szCs w:val="20"/>
          <w:lang w:val="es-AR"/>
        </w:rPr>
        <w:t>El saldo de las otras reservas</w:t>
      </w:r>
      <w:r w:rsidR="009758C0" w:rsidRPr="0009028A">
        <w:rPr>
          <w:rFonts w:ascii="Arial" w:eastAsia="Arial" w:hAnsi="Arial" w:cs="Arial"/>
          <w:sz w:val="20"/>
          <w:szCs w:val="20"/>
          <w:lang w:val="es-AR"/>
        </w:rPr>
        <w:t xml:space="preserve"> a 3</w:t>
      </w:r>
      <w:r w:rsidR="000A42BF" w:rsidRPr="0009028A">
        <w:rPr>
          <w:rFonts w:ascii="Arial" w:eastAsia="Arial" w:hAnsi="Arial" w:cs="Arial"/>
          <w:sz w:val="20"/>
          <w:szCs w:val="20"/>
          <w:lang w:val="es-AR"/>
        </w:rPr>
        <w:t>1</w:t>
      </w:r>
      <w:r w:rsidR="009758C0" w:rsidRPr="0009028A">
        <w:rPr>
          <w:rFonts w:ascii="Arial" w:eastAsia="Arial" w:hAnsi="Arial" w:cs="Arial"/>
          <w:sz w:val="20"/>
          <w:szCs w:val="20"/>
          <w:lang w:val="es-AR"/>
        </w:rPr>
        <w:t xml:space="preserve"> de </w:t>
      </w:r>
      <w:r w:rsidR="000A42BF" w:rsidRPr="0009028A">
        <w:rPr>
          <w:rFonts w:ascii="Arial" w:eastAsia="Arial" w:hAnsi="Arial" w:cs="Arial"/>
          <w:sz w:val="20"/>
          <w:szCs w:val="20"/>
          <w:lang w:val="es-AR"/>
        </w:rPr>
        <w:t xml:space="preserve">marzo </w:t>
      </w:r>
      <w:r w:rsidR="00D34C26" w:rsidRPr="0009028A">
        <w:rPr>
          <w:rFonts w:ascii="Arial" w:eastAsia="Arial" w:hAnsi="Arial" w:cs="Arial"/>
          <w:sz w:val="20"/>
          <w:szCs w:val="20"/>
          <w:lang w:val="es-AR"/>
        </w:rPr>
        <w:t>de 201</w:t>
      </w:r>
      <w:r w:rsidR="000A42BF" w:rsidRPr="0009028A">
        <w:rPr>
          <w:rFonts w:ascii="Arial" w:eastAsia="Arial" w:hAnsi="Arial" w:cs="Arial"/>
          <w:sz w:val="20"/>
          <w:szCs w:val="20"/>
          <w:lang w:val="es-AR"/>
        </w:rPr>
        <w:t>9</w:t>
      </w:r>
      <w:r w:rsidR="00D34C26" w:rsidRPr="0009028A">
        <w:rPr>
          <w:rFonts w:ascii="Arial" w:eastAsia="Arial" w:hAnsi="Arial" w:cs="Arial"/>
          <w:sz w:val="20"/>
          <w:szCs w:val="20"/>
          <w:lang w:val="es-AR"/>
        </w:rPr>
        <w:t xml:space="preserve"> y 31 de diciembre de 201</w:t>
      </w:r>
      <w:r w:rsidR="000A42BF" w:rsidRPr="0009028A">
        <w:rPr>
          <w:rFonts w:ascii="Arial" w:eastAsia="Arial" w:hAnsi="Arial" w:cs="Arial"/>
          <w:sz w:val="20"/>
          <w:szCs w:val="20"/>
          <w:lang w:val="es-AR"/>
        </w:rPr>
        <w:t>8</w:t>
      </w:r>
      <w:r w:rsidRPr="0009028A">
        <w:rPr>
          <w:rFonts w:ascii="Arial" w:eastAsia="Arial" w:hAnsi="Arial" w:cs="Arial"/>
          <w:sz w:val="20"/>
          <w:szCs w:val="20"/>
          <w:lang w:val="es-AR"/>
        </w:rPr>
        <w:t xml:space="preserve"> comprende:</w:t>
      </w:r>
    </w:p>
    <w:p w14:paraId="2DB0587D" w14:textId="77777777" w:rsidR="00B5647F" w:rsidRPr="0009028A" w:rsidRDefault="00B5647F" w:rsidP="008B5836">
      <w:pPr>
        <w:spacing w:after="0"/>
        <w:jc w:val="both"/>
        <w:rPr>
          <w:rFonts w:ascii="Arial" w:eastAsia="Arial" w:hAnsi="Arial" w:cs="Arial"/>
          <w:sz w:val="20"/>
          <w:szCs w:val="20"/>
          <w:lang w:val="es-AR"/>
        </w:rPr>
      </w:pPr>
    </w:p>
    <w:tbl>
      <w:tblPr>
        <w:tblW w:w="9923" w:type="dxa"/>
        <w:tblCellMar>
          <w:left w:w="70" w:type="dxa"/>
          <w:right w:w="70" w:type="dxa"/>
        </w:tblCellMar>
        <w:tblLook w:val="04A0" w:firstRow="1" w:lastRow="0" w:firstColumn="1" w:lastColumn="0" w:noHBand="0" w:noVBand="1"/>
      </w:tblPr>
      <w:tblGrid>
        <w:gridCol w:w="6946"/>
        <w:gridCol w:w="1485"/>
        <w:gridCol w:w="1492"/>
      </w:tblGrid>
      <w:tr w:rsidR="008B5836" w:rsidRPr="0009028A" w14:paraId="2B3434DB" w14:textId="77777777" w:rsidTr="008C1630">
        <w:trPr>
          <w:trHeight w:val="227"/>
        </w:trPr>
        <w:tc>
          <w:tcPr>
            <w:tcW w:w="6946" w:type="dxa"/>
            <w:shd w:val="clear" w:color="auto" w:fill="auto"/>
            <w:noWrap/>
            <w:vAlign w:val="bottom"/>
            <w:hideMark/>
          </w:tcPr>
          <w:p w14:paraId="613F7246" w14:textId="77777777" w:rsidR="008B5836" w:rsidRPr="0009028A" w:rsidRDefault="008B5836" w:rsidP="006C469B">
            <w:pPr>
              <w:spacing w:after="0" w:line="240" w:lineRule="auto"/>
              <w:rPr>
                <w:rFonts w:ascii="Arial" w:eastAsia="Times New Roman" w:hAnsi="Arial" w:cs="Arial"/>
                <w:color w:val="103475"/>
                <w:sz w:val="24"/>
                <w:szCs w:val="24"/>
                <w:lang w:val="es-ES" w:eastAsia="es-ES"/>
              </w:rPr>
            </w:pPr>
          </w:p>
        </w:tc>
        <w:tc>
          <w:tcPr>
            <w:tcW w:w="1485" w:type="dxa"/>
            <w:shd w:val="clear" w:color="auto" w:fill="auto"/>
            <w:noWrap/>
            <w:vAlign w:val="center"/>
            <w:hideMark/>
          </w:tcPr>
          <w:p w14:paraId="5A0FD07A" w14:textId="77777777" w:rsidR="008B5836" w:rsidRPr="0009028A" w:rsidRDefault="00ED50FC" w:rsidP="006C469B">
            <w:pPr>
              <w:spacing w:after="0" w:line="240" w:lineRule="auto"/>
              <w:jc w:val="center"/>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 xml:space="preserve">Marzo </w:t>
            </w:r>
            <w:r w:rsidR="00D34C26" w:rsidRPr="0009028A">
              <w:rPr>
                <w:rFonts w:ascii="Arial" w:eastAsia="Times New Roman" w:hAnsi="Arial" w:cs="Arial"/>
                <w:b/>
                <w:bCs/>
                <w:color w:val="103475"/>
                <w:sz w:val="18"/>
                <w:szCs w:val="18"/>
                <w:lang w:val="es-ES" w:eastAsia="es-ES"/>
              </w:rPr>
              <w:t>201</w:t>
            </w:r>
            <w:r w:rsidR="000A42BF" w:rsidRPr="0009028A">
              <w:rPr>
                <w:rFonts w:ascii="Arial" w:eastAsia="Times New Roman" w:hAnsi="Arial" w:cs="Arial"/>
                <w:b/>
                <w:bCs/>
                <w:color w:val="103475"/>
                <w:sz w:val="18"/>
                <w:szCs w:val="18"/>
                <w:lang w:val="es-ES" w:eastAsia="es-ES"/>
              </w:rPr>
              <w:t>9</w:t>
            </w:r>
          </w:p>
        </w:tc>
        <w:tc>
          <w:tcPr>
            <w:tcW w:w="1492" w:type="dxa"/>
            <w:shd w:val="clear" w:color="auto" w:fill="auto"/>
            <w:vAlign w:val="center"/>
            <w:hideMark/>
          </w:tcPr>
          <w:p w14:paraId="2BBDCB7D" w14:textId="77777777" w:rsidR="008B5836" w:rsidRPr="0009028A" w:rsidRDefault="00ED50FC" w:rsidP="006C469B">
            <w:pPr>
              <w:spacing w:after="0" w:line="240" w:lineRule="auto"/>
              <w:jc w:val="center"/>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 xml:space="preserve">Diciembre </w:t>
            </w:r>
            <w:r w:rsidR="00D34C26" w:rsidRPr="0009028A">
              <w:rPr>
                <w:rFonts w:ascii="Arial" w:eastAsia="Times New Roman" w:hAnsi="Arial" w:cs="Arial"/>
                <w:b/>
                <w:bCs/>
                <w:color w:val="103475"/>
                <w:sz w:val="18"/>
                <w:szCs w:val="18"/>
                <w:lang w:val="es-ES" w:eastAsia="es-ES"/>
              </w:rPr>
              <w:t>201</w:t>
            </w:r>
            <w:r w:rsidR="000A42BF" w:rsidRPr="0009028A">
              <w:rPr>
                <w:rFonts w:ascii="Arial" w:eastAsia="Times New Roman" w:hAnsi="Arial" w:cs="Arial"/>
                <w:b/>
                <w:bCs/>
                <w:color w:val="103475"/>
                <w:sz w:val="18"/>
                <w:szCs w:val="18"/>
                <w:lang w:val="es-ES" w:eastAsia="es-ES"/>
              </w:rPr>
              <w:t>8</w:t>
            </w:r>
          </w:p>
        </w:tc>
      </w:tr>
      <w:tr w:rsidR="00540ECD" w:rsidRPr="0009028A" w14:paraId="42B25757" w14:textId="77777777" w:rsidTr="008C1630">
        <w:trPr>
          <w:trHeight w:val="227"/>
        </w:trPr>
        <w:tc>
          <w:tcPr>
            <w:tcW w:w="6946" w:type="dxa"/>
            <w:shd w:val="clear" w:color="auto" w:fill="auto"/>
            <w:noWrap/>
            <w:vAlign w:val="center"/>
            <w:hideMark/>
          </w:tcPr>
          <w:p w14:paraId="0CDC831D" w14:textId="77777777" w:rsidR="00540ECD" w:rsidRPr="0009028A" w:rsidRDefault="00540ECD" w:rsidP="00540ECD">
            <w:pPr>
              <w:spacing w:after="0" w:line="240" w:lineRule="auto"/>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val="es-ES" w:eastAsia="es-ES"/>
              </w:rPr>
              <w:t>Reserva para futuras inversiones</w:t>
            </w:r>
          </w:p>
        </w:tc>
        <w:tc>
          <w:tcPr>
            <w:tcW w:w="1485" w:type="dxa"/>
            <w:shd w:val="clear" w:color="auto" w:fill="auto"/>
            <w:noWrap/>
            <w:vAlign w:val="center"/>
          </w:tcPr>
          <w:p w14:paraId="029EA2F1" w14:textId="5FEB9029" w:rsidR="00540ECD" w:rsidRPr="0009028A" w:rsidRDefault="00ED50FC" w:rsidP="00ED50FC">
            <w:pPr>
              <w:spacing w:after="0" w:line="240" w:lineRule="auto"/>
              <w:jc w:val="right"/>
              <w:rPr>
                <w:rFonts w:ascii="Arial" w:eastAsia="Times New Roman" w:hAnsi="Arial" w:cs="Arial"/>
                <w:color w:val="000000"/>
                <w:sz w:val="18"/>
                <w:szCs w:val="18"/>
                <w:u w:val="single"/>
                <w:lang w:val="es-ES" w:eastAsia="es-ES"/>
              </w:rPr>
            </w:pPr>
            <w:r w:rsidRPr="0009028A">
              <w:rPr>
                <w:rFonts w:ascii="Arial" w:eastAsia="Times New Roman" w:hAnsi="Arial" w:cs="Arial"/>
                <w:color w:val="000000"/>
                <w:sz w:val="18"/>
                <w:szCs w:val="18"/>
                <w:u w:val="single"/>
                <w:lang w:val="es-ES" w:eastAsia="es-ES"/>
              </w:rPr>
              <w:t xml:space="preserve">$ </w:t>
            </w:r>
            <w:r w:rsidR="00053008" w:rsidRPr="0009028A">
              <w:rPr>
                <w:rFonts w:ascii="Arial" w:eastAsia="Times New Roman" w:hAnsi="Arial" w:cs="Arial"/>
                <w:color w:val="000000"/>
                <w:sz w:val="18"/>
                <w:szCs w:val="18"/>
                <w:u w:val="single"/>
                <w:lang w:val="es-ES" w:eastAsia="es-ES"/>
              </w:rPr>
              <w:t>1.1</w:t>
            </w:r>
            <w:r w:rsidR="00483C29">
              <w:rPr>
                <w:rFonts w:ascii="Arial" w:eastAsia="Times New Roman" w:hAnsi="Arial" w:cs="Arial"/>
                <w:color w:val="000000"/>
                <w:sz w:val="18"/>
                <w:szCs w:val="18"/>
                <w:u w:val="single"/>
                <w:lang w:val="es-ES" w:eastAsia="es-ES"/>
              </w:rPr>
              <w:t>2</w:t>
            </w:r>
            <w:r w:rsidR="00053008" w:rsidRPr="0009028A">
              <w:rPr>
                <w:rFonts w:ascii="Arial" w:eastAsia="Times New Roman" w:hAnsi="Arial" w:cs="Arial"/>
                <w:color w:val="000000"/>
                <w:sz w:val="18"/>
                <w:szCs w:val="18"/>
                <w:u w:val="single"/>
                <w:lang w:val="es-ES" w:eastAsia="es-ES"/>
              </w:rPr>
              <w:t>4.058.448</w:t>
            </w:r>
          </w:p>
        </w:tc>
        <w:tc>
          <w:tcPr>
            <w:tcW w:w="1492" w:type="dxa"/>
            <w:shd w:val="clear" w:color="auto" w:fill="auto"/>
            <w:noWrap/>
            <w:vAlign w:val="center"/>
          </w:tcPr>
          <w:p w14:paraId="1ADD9BE5" w14:textId="77777777" w:rsidR="00540ECD" w:rsidRPr="0009028A" w:rsidRDefault="00053008" w:rsidP="00540ECD">
            <w:pPr>
              <w:spacing w:after="0" w:line="240" w:lineRule="auto"/>
              <w:jc w:val="right"/>
              <w:rPr>
                <w:rFonts w:ascii="Arial" w:eastAsia="Times New Roman" w:hAnsi="Arial" w:cs="Arial"/>
                <w:color w:val="000000"/>
                <w:sz w:val="18"/>
                <w:szCs w:val="18"/>
                <w:u w:val="single"/>
                <w:lang w:val="es-ES" w:eastAsia="es-ES"/>
              </w:rPr>
            </w:pPr>
            <w:r w:rsidRPr="0009028A">
              <w:rPr>
                <w:rFonts w:ascii="Arial" w:eastAsia="Times New Roman" w:hAnsi="Arial" w:cs="Arial"/>
                <w:color w:val="000000"/>
                <w:sz w:val="18"/>
                <w:szCs w:val="18"/>
                <w:u w:val="single"/>
                <w:lang w:val="es-ES" w:eastAsia="es-ES"/>
              </w:rPr>
              <w:t>1.039.141.530</w:t>
            </w:r>
          </w:p>
        </w:tc>
      </w:tr>
      <w:tr w:rsidR="00540ECD" w:rsidRPr="0009028A" w14:paraId="5FC1D1A2" w14:textId="77777777" w:rsidTr="008C1630">
        <w:trPr>
          <w:trHeight w:val="227"/>
        </w:trPr>
        <w:tc>
          <w:tcPr>
            <w:tcW w:w="6946" w:type="dxa"/>
            <w:shd w:val="clear" w:color="auto" w:fill="auto"/>
            <w:noWrap/>
            <w:vAlign w:val="center"/>
            <w:hideMark/>
          </w:tcPr>
          <w:p w14:paraId="4ECD8975" w14:textId="77777777" w:rsidR="00540ECD" w:rsidRPr="0009028A" w:rsidRDefault="00872F4F" w:rsidP="00540ECD">
            <w:pPr>
              <w:spacing w:after="0" w:line="240" w:lineRule="auto"/>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Total otras reservas ocasionales</w:t>
            </w:r>
          </w:p>
        </w:tc>
        <w:tc>
          <w:tcPr>
            <w:tcW w:w="1485" w:type="dxa"/>
            <w:shd w:val="clear" w:color="auto" w:fill="auto"/>
            <w:noWrap/>
            <w:vAlign w:val="center"/>
          </w:tcPr>
          <w:p w14:paraId="3E1F3A13" w14:textId="6C2412AC" w:rsidR="00540ECD" w:rsidRPr="0009028A" w:rsidRDefault="00ED50FC" w:rsidP="00540ECD">
            <w:pPr>
              <w:spacing w:after="0" w:line="240" w:lineRule="auto"/>
              <w:jc w:val="right"/>
              <w:rPr>
                <w:rFonts w:ascii="Arial" w:eastAsia="Times New Roman" w:hAnsi="Arial" w:cs="Arial"/>
                <w:b/>
                <w:bCs/>
                <w:color w:val="103475"/>
                <w:sz w:val="18"/>
                <w:szCs w:val="18"/>
                <w:u w:val="double"/>
                <w:lang w:val="es-ES" w:eastAsia="es-ES"/>
              </w:rPr>
            </w:pPr>
            <w:r w:rsidRPr="0009028A">
              <w:rPr>
                <w:rFonts w:ascii="Arial" w:eastAsia="Times New Roman" w:hAnsi="Arial" w:cs="Arial"/>
                <w:b/>
                <w:bCs/>
                <w:color w:val="103475"/>
                <w:sz w:val="18"/>
                <w:szCs w:val="18"/>
                <w:u w:val="double"/>
                <w:lang w:val="es-ES" w:eastAsia="es-ES"/>
              </w:rPr>
              <w:t xml:space="preserve">$ </w:t>
            </w:r>
            <w:r w:rsidR="00053008" w:rsidRPr="0009028A">
              <w:rPr>
                <w:rFonts w:ascii="Arial" w:eastAsia="Times New Roman" w:hAnsi="Arial" w:cs="Arial"/>
                <w:b/>
                <w:bCs/>
                <w:color w:val="103475"/>
                <w:sz w:val="18"/>
                <w:szCs w:val="18"/>
                <w:u w:val="double"/>
                <w:lang w:val="es-ES" w:eastAsia="es-ES"/>
              </w:rPr>
              <w:t>1.1</w:t>
            </w:r>
            <w:r w:rsidR="00483C29">
              <w:rPr>
                <w:rFonts w:ascii="Arial" w:eastAsia="Times New Roman" w:hAnsi="Arial" w:cs="Arial"/>
                <w:b/>
                <w:bCs/>
                <w:color w:val="103475"/>
                <w:sz w:val="18"/>
                <w:szCs w:val="18"/>
                <w:u w:val="double"/>
                <w:lang w:val="es-ES" w:eastAsia="es-ES"/>
              </w:rPr>
              <w:t>2</w:t>
            </w:r>
            <w:r w:rsidR="00053008" w:rsidRPr="0009028A">
              <w:rPr>
                <w:rFonts w:ascii="Arial" w:eastAsia="Times New Roman" w:hAnsi="Arial" w:cs="Arial"/>
                <w:b/>
                <w:bCs/>
                <w:color w:val="103475"/>
                <w:sz w:val="18"/>
                <w:szCs w:val="18"/>
                <w:u w:val="double"/>
                <w:lang w:val="es-ES" w:eastAsia="es-ES"/>
              </w:rPr>
              <w:t>4.058.448</w:t>
            </w:r>
          </w:p>
        </w:tc>
        <w:tc>
          <w:tcPr>
            <w:tcW w:w="1492" w:type="dxa"/>
            <w:shd w:val="clear" w:color="auto" w:fill="auto"/>
            <w:noWrap/>
            <w:vAlign w:val="center"/>
            <w:hideMark/>
          </w:tcPr>
          <w:p w14:paraId="4F03CC4F" w14:textId="77777777" w:rsidR="00540ECD" w:rsidRPr="0009028A" w:rsidRDefault="00053008" w:rsidP="00540ECD">
            <w:pPr>
              <w:spacing w:after="0" w:line="240" w:lineRule="auto"/>
              <w:jc w:val="right"/>
              <w:rPr>
                <w:rFonts w:ascii="Arial" w:eastAsia="Times New Roman" w:hAnsi="Arial" w:cs="Arial"/>
                <w:b/>
                <w:bCs/>
                <w:color w:val="103475"/>
                <w:sz w:val="18"/>
                <w:szCs w:val="18"/>
                <w:u w:val="double"/>
                <w:lang w:val="es-ES" w:eastAsia="es-ES"/>
              </w:rPr>
            </w:pPr>
            <w:r w:rsidRPr="0009028A">
              <w:rPr>
                <w:rFonts w:ascii="Arial" w:eastAsia="Times New Roman" w:hAnsi="Arial" w:cs="Arial"/>
                <w:b/>
                <w:bCs/>
                <w:color w:val="103475"/>
                <w:sz w:val="18"/>
                <w:szCs w:val="18"/>
                <w:u w:val="double"/>
                <w:lang w:val="es-ES" w:eastAsia="es-ES"/>
              </w:rPr>
              <w:t>1.039.141.530</w:t>
            </w:r>
          </w:p>
        </w:tc>
      </w:tr>
    </w:tbl>
    <w:p w14:paraId="29941303" w14:textId="77777777" w:rsidR="008B5836" w:rsidRPr="0009028A" w:rsidRDefault="008B5836" w:rsidP="008B5836">
      <w:pPr>
        <w:spacing w:after="0" w:line="240" w:lineRule="auto"/>
        <w:rPr>
          <w:rFonts w:ascii="Arial" w:eastAsia="Arial" w:hAnsi="Arial" w:cs="Arial"/>
          <w:b/>
          <w:sz w:val="20"/>
          <w:szCs w:val="20"/>
          <w:highlight w:val="yellow"/>
          <w:lang w:val="es-AR"/>
        </w:rPr>
      </w:pPr>
    </w:p>
    <w:bookmarkEnd w:id="321"/>
    <w:p w14:paraId="30AA27CB" w14:textId="77777777" w:rsidR="008B5836" w:rsidRPr="0009028A" w:rsidRDefault="008B5836" w:rsidP="008B5836">
      <w:pPr>
        <w:autoSpaceDE w:val="0"/>
        <w:autoSpaceDN w:val="0"/>
        <w:adjustRightInd w:val="0"/>
        <w:spacing w:after="0" w:line="240" w:lineRule="auto"/>
        <w:rPr>
          <w:rFonts w:ascii="Arial" w:eastAsia="Arial" w:hAnsi="Arial" w:cs="Arial"/>
          <w:sz w:val="20"/>
          <w:szCs w:val="20"/>
          <w:lang w:val="es-AR"/>
        </w:rPr>
      </w:pPr>
      <w:r w:rsidRPr="0009028A">
        <w:rPr>
          <w:rFonts w:ascii="Arial" w:eastAsia="Arial" w:hAnsi="Arial" w:cs="Arial"/>
          <w:sz w:val="20"/>
          <w:szCs w:val="20"/>
          <w:lang w:val="es-AR"/>
        </w:rPr>
        <w:t>Las otras reservas ocasionales son de libre disponibilidad para los accionistas.</w:t>
      </w:r>
    </w:p>
    <w:p w14:paraId="0AC55816" w14:textId="77777777" w:rsidR="008A4ADA" w:rsidRPr="0009028A" w:rsidRDefault="008A4ADA" w:rsidP="008B5836">
      <w:pPr>
        <w:autoSpaceDE w:val="0"/>
        <w:autoSpaceDN w:val="0"/>
        <w:adjustRightInd w:val="0"/>
        <w:spacing w:after="0" w:line="240" w:lineRule="auto"/>
        <w:rPr>
          <w:rFonts w:ascii="Arial" w:eastAsia="Arial" w:hAnsi="Arial" w:cs="Arial"/>
          <w:sz w:val="20"/>
          <w:szCs w:val="20"/>
          <w:lang w:val="es-AR"/>
        </w:rPr>
      </w:pPr>
    </w:p>
    <w:p w14:paraId="4FD10674" w14:textId="77777777" w:rsidR="008B5836" w:rsidRPr="0009028A" w:rsidRDefault="008A4ADA" w:rsidP="0070272B">
      <w:pPr>
        <w:spacing w:after="0"/>
        <w:jc w:val="both"/>
        <w:rPr>
          <w:rFonts w:ascii="Arial" w:eastAsia="Arial" w:hAnsi="Arial" w:cs="Arial"/>
          <w:sz w:val="20"/>
          <w:szCs w:val="20"/>
          <w:lang w:val="es-AR"/>
        </w:rPr>
      </w:pPr>
      <w:r w:rsidRPr="0009028A">
        <w:rPr>
          <w:rFonts w:ascii="Arial" w:eastAsia="Arial" w:hAnsi="Arial" w:cs="Arial"/>
          <w:sz w:val="20"/>
          <w:szCs w:val="20"/>
          <w:lang w:val="es-AR"/>
        </w:rPr>
        <w:t xml:space="preserve">La </w:t>
      </w:r>
      <w:r w:rsidR="001E405D" w:rsidRPr="0009028A">
        <w:rPr>
          <w:rFonts w:ascii="Arial" w:eastAsia="Arial" w:hAnsi="Arial" w:cs="Arial"/>
          <w:sz w:val="20"/>
          <w:szCs w:val="20"/>
          <w:lang w:val="es-AR"/>
        </w:rPr>
        <w:t>A</w:t>
      </w:r>
      <w:r w:rsidRPr="0009028A">
        <w:rPr>
          <w:rFonts w:ascii="Arial" w:eastAsia="Arial" w:hAnsi="Arial" w:cs="Arial"/>
          <w:sz w:val="20"/>
          <w:szCs w:val="20"/>
          <w:lang w:val="es-AR"/>
        </w:rPr>
        <w:t xml:space="preserve">samblea </w:t>
      </w:r>
      <w:r w:rsidR="001E405D" w:rsidRPr="0009028A">
        <w:rPr>
          <w:rFonts w:ascii="Arial" w:eastAsia="Arial" w:hAnsi="Arial" w:cs="Arial"/>
          <w:sz w:val="20"/>
          <w:szCs w:val="20"/>
          <w:lang w:val="es-AR"/>
        </w:rPr>
        <w:t>G</w:t>
      </w:r>
      <w:r w:rsidRPr="0009028A">
        <w:rPr>
          <w:rFonts w:ascii="Arial" w:eastAsia="Arial" w:hAnsi="Arial" w:cs="Arial"/>
          <w:sz w:val="20"/>
          <w:szCs w:val="20"/>
          <w:lang w:val="es-AR"/>
        </w:rPr>
        <w:t xml:space="preserve">eneral de </w:t>
      </w:r>
      <w:r w:rsidR="001E405D" w:rsidRPr="0009028A">
        <w:rPr>
          <w:rFonts w:ascii="Arial" w:eastAsia="Arial" w:hAnsi="Arial" w:cs="Arial"/>
          <w:sz w:val="20"/>
          <w:szCs w:val="20"/>
          <w:lang w:val="es-AR"/>
        </w:rPr>
        <w:t>A</w:t>
      </w:r>
      <w:r w:rsidRPr="0009028A">
        <w:rPr>
          <w:rFonts w:ascii="Arial" w:eastAsia="Arial" w:hAnsi="Arial" w:cs="Arial"/>
          <w:sz w:val="20"/>
          <w:szCs w:val="20"/>
          <w:lang w:val="es-AR"/>
        </w:rPr>
        <w:t xml:space="preserve">ccionistas en reunión ordinaria del </w:t>
      </w:r>
      <w:r w:rsidR="005A0555" w:rsidRPr="0009028A">
        <w:rPr>
          <w:rFonts w:ascii="Arial" w:eastAsia="Arial" w:hAnsi="Arial" w:cs="Arial"/>
          <w:sz w:val="20"/>
          <w:szCs w:val="20"/>
          <w:lang w:val="es-AR"/>
        </w:rPr>
        <w:t>26</w:t>
      </w:r>
      <w:r w:rsidRPr="0009028A">
        <w:rPr>
          <w:rFonts w:ascii="Arial" w:eastAsia="Arial" w:hAnsi="Arial" w:cs="Arial"/>
          <w:sz w:val="20"/>
          <w:szCs w:val="20"/>
          <w:lang w:val="es-AR"/>
        </w:rPr>
        <w:t xml:space="preserve"> de </w:t>
      </w:r>
      <w:r w:rsidR="005A0555" w:rsidRPr="0009028A">
        <w:rPr>
          <w:rFonts w:ascii="Arial" w:eastAsia="Arial" w:hAnsi="Arial" w:cs="Arial"/>
          <w:sz w:val="20"/>
          <w:szCs w:val="20"/>
          <w:lang w:val="es-AR"/>
        </w:rPr>
        <w:t xml:space="preserve">marzo </w:t>
      </w:r>
      <w:r w:rsidRPr="0009028A">
        <w:rPr>
          <w:rFonts w:ascii="Arial" w:eastAsia="Arial" w:hAnsi="Arial" w:cs="Arial"/>
          <w:sz w:val="20"/>
          <w:szCs w:val="20"/>
          <w:lang w:val="es-AR"/>
        </w:rPr>
        <w:t>de 201</w:t>
      </w:r>
      <w:r w:rsidR="005A0555" w:rsidRPr="0009028A">
        <w:rPr>
          <w:rFonts w:ascii="Arial" w:eastAsia="Arial" w:hAnsi="Arial" w:cs="Arial"/>
          <w:sz w:val="20"/>
          <w:szCs w:val="20"/>
          <w:lang w:val="es-AR"/>
        </w:rPr>
        <w:t>9</w:t>
      </w:r>
      <w:r w:rsidRPr="0009028A">
        <w:rPr>
          <w:rFonts w:ascii="Arial" w:eastAsia="Arial" w:hAnsi="Arial" w:cs="Arial"/>
          <w:sz w:val="20"/>
          <w:szCs w:val="20"/>
          <w:lang w:val="es-AR"/>
        </w:rPr>
        <w:t>, apropi</w:t>
      </w:r>
      <w:r w:rsidR="005A0555" w:rsidRPr="0009028A">
        <w:rPr>
          <w:rFonts w:ascii="Arial" w:eastAsia="Arial" w:hAnsi="Arial" w:cs="Arial"/>
          <w:sz w:val="20"/>
          <w:szCs w:val="20"/>
          <w:lang w:val="es-AR"/>
        </w:rPr>
        <w:t>ó</w:t>
      </w:r>
      <w:r w:rsidRPr="0009028A">
        <w:rPr>
          <w:rFonts w:ascii="Arial" w:eastAsia="Arial" w:hAnsi="Arial" w:cs="Arial"/>
          <w:sz w:val="20"/>
          <w:szCs w:val="20"/>
          <w:lang w:val="es-AR"/>
        </w:rPr>
        <w:t xml:space="preserve"> de las utilidades y como reservas para </w:t>
      </w:r>
      <w:r w:rsidR="005A0555" w:rsidRPr="0009028A">
        <w:rPr>
          <w:rFonts w:ascii="Arial" w:eastAsia="Arial" w:hAnsi="Arial" w:cs="Arial"/>
          <w:sz w:val="20"/>
          <w:szCs w:val="20"/>
          <w:lang w:val="es-AR"/>
        </w:rPr>
        <w:t>ser destinado a actividades de responsabilidad social por $1.500.000 y para futuras inversiones por $133.416.918.</w:t>
      </w:r>
    </w:p>
    <w:p w14:paraId="20F16E67" w14:textId="77777777" w:rsidR="000A42BF" w:rsidRPr="0009028A" w:rsidRDefault="000A42BF" w:rsidP="0070272B">
      <w:pPr>
        <w:spacing w:after="0"/>
        <w:jc w:val="both"/>
        <w:rPr>
          <w:rFonts w:ascii="Arial" w:eastAsia="Arial" w:hAnsi="Arial" w:cs="Arial"/>
          <w:sz w:val="20"/>
          <w:szCs w:val="20"/>
          <w:highlight w:val="yellow"/>
          <w:lang w:val="es-AR"/>
        </w:rPr>
      </w:pPr>
    </w:p>
    <w:p w14:paraId="69252C39" w14:textId="02630395" w:rsidR="008B5836" w:rsidRPr="0009028A" w:rsidRDefault="00356D6E" w:rsidP="00487B5A">
      <w:pPr>
        <w:pStyle w:val="Ttulo2"/>
        <w:spacing w:afterAutospacing="0"/>
        <w:rPr>
          <w:rFonts w:ascii="Arial" w:hAnsi="Arial" w:cs="Arial"/>
        </w:rPr>
      </w:pPr>
      <w:bookmarkStart w:id="322" w:name="_Toc506991948"/>
      <w:bookmarkStart w:id="323" w:name="_Toc8735114"/>
      <w:r w:rsidRPr="0009028A">
        <w:rPr>
          <w:rFonts w:ascii="Arial" w:hAnsi="Arial" w:cs="Arial"/>
        </w:rPr>
        <w:t>1</w:t>
      </w:r>
      <w:r w:rsidR="00964E83">
        <w:rPr>
          <w:rFonts w:ascii="Arial" w:hAnsi="Arial" w:cs="Arial"/>
        </w:rPr>
        <w:t>6</w:t>
      </w:r>
      <w:r w:rsidR="008B5836" w:rsidRPr="0009028A">
        <w:rPr>
          <w:rFonts w:ascii="Arial" w:hAnsi="Arial" w:cs="Arial"/>
        </w:rPr>
        <w:t>.2 Otro resultado integral (ORI)</w:t>
      </w:r>
      <w:bookmarkEnd w:id="322"/>
      <w:bookmarkEnd w:id="323"/>
    </w:p>
    <w:tbl>
      <w:tblPr>
        <w:tblW w:w="10065" w:type="dxa"/>
        <w:tblCellMar>
          <w:left w:w="70" w:type="dxa"/>
          <w:right w:w="70" w:type="dxa"/>
        </w:tblCellMar>
        <w:tblLook w:val="04A0" w:firstRow="1" w:lastRow="0" w:firstColumn="1" w:lastColumn="0" w:noHBand="0" w:noVBand="1"/>
      </w:tblPr>
      <w:tblGrid>
        <w:gridCol w:w="6804"/>
        <w:gridCol w:w="142"/>
        <w:gridCol w:w="1417"/>
        <w:gridCol w:w="142"/>
        <w:gridCol w:w="1418"/>
        <w:gridCol w:w="142"/>
      </w:tblGrid>
      <w:tr w:rsidR="00ED50FC" w:rsidRPr="0009028A" w14:paraId="19DAD202" w14:textId="77777777" w:rsidTr="008C1630">
        <w:trPr>
          <w:trHeight w:val="227"/>
        </w:trPr>
        <w:tc>
          <w:tcPr>
            <w:tcW w:w="6946" w:type="dxa"/>
            <w:gridSpan w:val="2"/>
            <w:shd w:val="clear" w:color="auto" w:fill="auto"/>
            <w:noWrap/>
            <w:vAlign w:val="bottom"/>
            <w:hideMark/>
          </w:tcPr>
          <w:p w14:paraId="521E797F" w14:textId="77777777" w:rsidR="00ED50FC" w:rsidRPr="0009028A" w:rsidRDefault="00ED50FC" w:rsidP="00ED50FC">
            <w:pPr>
              <w:spacing w:after="0" w:line="240" w:lineRule="auto"/>
              <w:rPr>
                <w:rFonts w:ascii="Arial" w:eastAsia="Times New Roman" w:hAnsi="Arial" w:cs="Arial"/>
                <w:color w:val="103475"/>
                <w:sz w:val="24"/>
                <w:szCs w:val="24"/>
                <w:lang w:val="es-ES" w:eastAsia="es-ES"/>
              </w:rPr>
            </w:pPr>
          </w:p>
        </w:tc>
        <w:tc>
          <w:tcPr>
            <w:tcW w:w="1559" w:type="dxa"/>
            <w:gridSpan w:val="2"/>
            <w:shd w:val="clear" w:color="auto" w:fill="auto"/>
            <w:noWrap/>
            <w:vAlign w:val="center"/>
            <w:hideMark/>
          </w:tcPr>
          <w:p w14:paraId="7627E176" w14:textId="77777777" w:rsidR="00ED50FC" w:rsidRPr="0009028A" w:rsidRDefault="00ED50FC" w:rsidP="00ED50FC">
            <w:pPr>
              <w:spacing w:after="0" w:line="240" w:lineRule="auto"/>
              <w:jc w:val="center"/>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2019</w:t>
            </w:r>
          </w:p>
        </w:tc>
        <w:tc>
          <w:tcPr>
            <w:tcW w:w="1560" w:type="dxa"/>
            <w:gridSpan w:val="2"/>
            <w:shd w:val="clear" w:color="auto" w:fill="auto"/>
            <w:vAlign w:val="center"/>
            <w:hideMark/>
          </w:tcPr>
          <w:p w14:paraId="73017462" w14:textId="77777777" w:rsidR="00ED50FC" w:rsidRPr="0009028A" w:rsidRDefault="00ED50FC" w:rsidP="00ED50FC">
            <w:pPr>
              <w:spacing w:after="0" w:line="240" w:lineRule="auto"/>
              <w:jc w:val="center"/>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2018</w:t>
            </w:r>
          </w:p>
        </w:tc>
      </w:tr>
      <w:tr w:rsidR="00E90D01" w:rsidRPr="0009028A" w14:paraId="5C30FAF7" w14:textId="77777777" w:rsidTr="008C1630">
        <w:trPr>
          <w:gridAfter w:val="1"/>
          <w:wAfter w:w="142" w:type="dxa"/>
          <w:trHeight w:val="227"/>
        </w:trPr>
        <w:tc>
          <w:tcPr>
            <w:tcW w:w="6804" w:type="dxa"/>
            <w:shd w:val="clear" w:color="auto" w:fill="auto"/>
            <w:noWrap/>
            <w:vAlign w:val="center"/>
            <w:hideMark/>
          </w:tcPr>
          <w:p w14:paraId="7AB75AAF" w14:textId="77777777" w:rsidR="00E90D01" w:rsidRPr="0009028A" w:rsidRDefault="00E90D01" w:rsidP="00E90D01">
            <w:pPr>
              <w:spacing w:after="0" w:line="240" w:lineRule="auto"/>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val="es-ES" w:eastAsia="es-ES"/>
              </w:rPr>
              <w:t xml:space="preserve">Nuevas mediciones de obligaciones por beneficios definidos </w:t>
            </w:r>
          </w:p>
        </w:tc>
        <w:tc>
          <w:tcPr>
            <w:tcW w:w="1559" w:type="dxa"/>
            <w:gridSpan w:val="2"/>
            <w:shd w:val="clear" w:color="auto" w:fill="auto"/>
            <w:noWrap/>
            <w:vAlign w:val="center"/>
          </w:tcPr>
          <w:p w14:paraId="671EE21C" w14:textId="77777777" w:rsidR="00E90D01" w:rsidRPr="0009028A" w:rsidRDefault="00ED50FC" w:rsidP="00E90D01">
            <w:pPr>
              <w:spacing w:after="0" w:line="240" w:lineRule="auto"/>
              <w:jc w:val="right"/>
              <w:rPr>
                <w:rFonts w:ascii="Arial" w:hAnsi="Arial" w:cs="Arial"/>
                <w:color w:val="000000"/>
                <w:sz w:val="18"/>
                <w:szCs w:val="18"/>
              </w:rPr>
            </w:pPr>
            <w:r w:rsidRPr="0009028A">
              <w:rPr>
                <w:rFonts w:ascii="Arial" w:hAnsi="Arial" w:cs="Arial"/>
                <w:color w:val="000000"/>
                <w:sz w:val="18"/>
                <w:szCs w:val="18"/>
              </w:rPr>
              <w:t xml:space="preserve">$       </w:t>
            </w:r>
            <w:r w:rsidR="00D4733F" w:rsidRPr="0009028A">
              <w:rPr>
                <w:rFonts w:ascii="Arial" w:hAnsi="Arial" w:cs="Arial"/>
                <w:color w:val="000000"/>
                <w:sz w:val="18"/>
                <w:szCs w:val="18"/>
              </w:rPr>
              <w:t>1.031.982</w:t>
            </w:r>
          </w:p>
        </w:tc>
        <w:tc>
          <w:tcPr>
            <w:tcW w:w="1560" w:type="dxa"/>
            <w:gridSpan w:val="2"/>
            <w:shd w:val="clear" w:color="auto" w:fill="auto"/>
            <w:noWrap/>
            <w:vAlign w:val="center"/>
          </w:tcPr>
          <w:p w14:paraId="26D533CD" w14:textId="77777777" w:rsidR="00E90D01" w:rsidRPr="0009028A" w:rsidRDefault="00D4733F" w:rsidP="00E90D01">
            <w:pPr>
              <w:spacing w:after="0" w:line="240" w:lineRule="auto"/>
              <w:jc w:val="right"/>
              <w:rPr>
                <w:rFonts w:ascii="Arial" w:hAnsi="Arial" w:cs="Arial"/>
                <w:color w:val="000000"/>
                <w:sz w:val="18"/>
                <w:szCs w:val="18"/>
              </w:rPr>
            </w:pPr>
            <w:r w:rsidRPr="0009028A">
              <w:rPr>
                <w:rFonts w:ascii="Arial" w:hAnsi="Arial" w:cs="Arial"/>
                <w:color w:val="000000"/>
                <w:sz w:val="18"/>
                <w:szCs w:val="18"/>
              </w:rPr>
              <w:t>1.031.982</w:t>
            </w:r>
          </w:p>
        </w:tc>
      </w:tr>
      <w:tr w:rsidR="00E90D01" w:rsidRPr="0009028A" w14:paraId="7B2470A4" w14:textId="77777777" w:rsidTr="008C1630">
        <w:trPr>
          <w:gridAfter w:val="1"/>
          <w:wAfter w:w="142" w:type="dxa"/>
          <w:trHeight w:val="227"/>
        </w:trPr>
        <w:tc>
          <w:tcPr>
            <w:tcW w:w="6804" w:type="dxa"/>
            <w:shd w:val="clear" w:color="auto" w:fill="auto"/>
            <w:noWrap/>
            <w:vAlign w:val="center"/>
          </w:tcPr>
          <w:p w14:paraId="5E18B81C" w14:textId="77777777" w:rsidR="00E90D01" w:rsidRPr="0009028A" w:rsidRDefault="00E90D01" w:rsidP="00E90D01">
            <w:pPr>
              <w:spacing w:after="0" w:line="240" w:lineRule="auto"/>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val="es-ES" w:eastAsia="es-ES"/>
              </w:rPr>
              <w:t>Coberturas de flujos de efectivo</w:t>
            </w:r>
          </w:p>
        </w:tc>
        <w:tc>
          <w:tcPr>
            <w:tcW w:w="1559" w:type="dxa"/>
            <w:gridSpan w:val="2"/>
            <w:shd w:val="clear" w:color="auto" w:fill="auto"/>
            <w:noWrap/>
            <w:vAlign w:val="center"/>
          </w:tcPr>
          <w:p w14:paraId="755BF6F7" w14:textId="77777777" w:rsidR="00E90D01" w:rsidRPr="0009028A" w:rsidRDefault="00F57CF2" w:rsidP="00E90D01">
            <w:pPr>
              <w:spacing w:after="0" w:line="240" w:lineRule="auto"/>
              <w:jc w:val="right"/>
              <w:rPr>
                <w:rFonts w:ascii="Arial" w:hAnsi="Arial" w:cs="Arial"/>
                <w:color w:val="000000"/>
                <w:sz w:val="18"/>
                <w:szCs w:val="18"/>
              </w:rPr>
            </w:pPr>
            <w:r w:rsidRPr="0009028A">
              <w:rPr>
                <w:rFonts w:ascii="Arial" w:hAnsi="Arial" w:cs="Arial"/>
                <w:color w:val="000000"/>
                <w:sz w:val="18"/>
                <w:szCs w:val="18"/>
              </w:rPr>
              <w:t>(</w:t>
            </w:r>
            <w:r w:rsidR="00D4733F" w:rsidRPr="0009028A">
              <w:rPr>
                <w:rFonts w:ascii="Arial" w:hAnsi="Arial" w:cs="Arial"/>
                <w:color w:val="000000"/>
                <w:sz w:val="18"/>
                <w:szCs w:val="18"/>
              </w:rPr>
              <w:t>53.615.516</w:t>
            </w:r>
            <w:r w:rsidRPr="0009028A">
              <w:rPr>
                <w:rFonts w:ascii="Arial" w:hAnsi="Arial" w:cs="Arial"/>
                <w:color w:val="000000"/>
                <w:sz w:val="18"/>
                <w:szCs w:val="18"/>
              </w:rPr>
              <w:t>)</w:t>
            </w:r>
          </w:p>
        </w:tc>
        <w:tc>
          <w:tcPr>
            <w:tcW w:w="1560" w:type="dxa"/>
            <w:gridSpan w:val="2"/>
            <w:shd w:val="clear" w:color="auto" w:fill="auto"/>
            <w:noWrap/>
            <w:vAlign w:val="center"/>
          </w:tcPr>
          <w:p w14:paraId="641E580A" w14:textId="77777777" w:rsidR="00E90D01" w:rsidRPr="0009028A" w:rsidRDefault="00F57CF2" w:rsidP="00E90D01">
            <w:pPr>
              <w:spacing w:after="0" w:line="240" w:lineRule="auto"/>
              <w:jc w:val="right"/>
              <w:rPr>
                <w:rFonts w:ascii="Arial" w:hAnsi="Arial" w:cs="Arial"/>
                <w:color w:val="000000"/>
                <w:sz w:val="18"/>
                <w:szCs w:val="18"/>
              </w:rPr>
            </w:pPr>
            <w:r w:rsidRPr="0009028A">
              <w:rPr>
                <w:rFonts w:ascii="Arial" w:hAnsi="Arial" w:cs="Arial"/>
                <w:color w:val="000000"/>
                <w:sz w:val="18"/>
                <w:szCs w:val="18"/>
              </w:rPr>
              <w:t>(</w:t>
            </w:r>
            <w:r w:rsidR="00D4733F" w:rsidRPr="0009028A">
              <w:rPr>
                <w:rFonts w:ascii="Arial" w:hAnsi="Arial" w:cs="Arial"/>
                <w:color w:val="000000"/>
                <w:sz w:val="18"/>
                <w:szCs w:val="18"/>
              </w:rPr>
              <w:t>49.248.874</w:t>
            </w:r>
            <w:r w:rsidRPr="0009028A">
              <w:rPr>
                <w:rFonts w:ascii="Arial" w:hAnsi="Arial" w:cs="Arial"/>
                <w:color w:val="000000"/>
                <w:sz w:val="18"/>
                <w:szCs w:val="18"/>
              </w:rPr>
              <w:t>)</w:t>
            </w:r>
          </w:p>
        </w:tc>
      </w:tr>
      <w:tr w:rsidR="00E90D01" w:rsidRPr="0009028A" w14:paraId="2B4D4EC5" w14:textId="77777777" w:rsidTr="008C1630">
        <w:trPr>
          <w:gridAfter w:val="1"/>
          <w:wAfter w:w="142" w:type="dxa"/>
          <w:trHeight w:val="227"/>
        </w:trPr>
        <w:tc>
          <w:tcPr>
            <w:tcW w:w="6804" w:type="dxa"/>
            <w:shd w:val="clear" w:color="auto" w:fill="auto"/>
            <w:noWrap/>
            <w:vAlign w:val="center"/>
          </w:tcPr>
          <w:p w14:paraId="40022AD4" w14:textId="77777777" w:rsidR="00E90D01" w:rsidRPr="0009028A" w:rsidRDefault="00053008" w:rsidP="00E90D01">
            <w:pPr>
              <w:spacing w:after="0" w:line="240" w:lineRule="auto"/>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val="es-ES" w:eastAsia="es-ES"/>
              </w:rPr>
              <w:t>Impuesto diferido por coberturas</w:t>
            </w:r>
          </w:p>
        </w:tc>
        <w:tc>
          <w:tcPr>
            <w:tcW w:w="1559" w:type="dxa"/>
            <w:gridSpan w:val="2"/>
            <w:shd w:val="clear" w:color="auto" w:fill="auto"/>
            <w:noWrap/>
            <w:vAlign w:val="center"/>
          </w:tcPr>
          <w:p w14:paraId="2E31EC8B" w14:textId="77777777" w:rsidR="00E90D01" w:rsidRPr="0009028A" w:rsidRDefault="00D4733F" w:rsidP="00E90D01">
            <w:pPr>
              <w:spacing w:after="0" w:line="240" w:lineRule="auto"/>
              <w:jc w:val="right"/>
              <w:rPr>
                <w:rFonts w:ascii="Arial" w:hAnsi="Arial" w:cs="Arial"/>
                <w:color w:val="000000"/>
                <w:sz w:val="18"/>
                <w:szCs w:val="18"/>
              </w:rPr>
            </w:pPr>
            <w:r w:rsidRPr="0009028A">
              <w:rPr>
                <w:rFonts w:ascii="Arial" w:hAnsi="Arial" w:cs="Arial"/>
                <w:color w:val="000000"/>
                <w:sz w:val="18"/>
                <w:szCs w:val="18"/>
              </w:rPr>
              <w:t>10.873.420</w:t>
            </w:r>
          </w:p>
        </w:tc>
        <w:tc>
          <w:tcPr>
            <w:tcW w:w="1560" w:type="dxa"/>
            <w:gridSpan w:val="2"/>
            <w:shd w:val="clear" w:color="auto" w:fill="auto"/>
            <w:noWrap/>
            <w:vAlign w:val="center"/>
          </w:tcPr>
          <w:p w14:paraId="4C4C6F0E" w14:textId="77777777" w:rsidR="00E90D01" w:rsidRPr="0009028A" w:rsidRDefault="00F57CF2" w:rsidP="00E90D01">
            <w:pPr>
              <w:spacing w:after="0" w:line="240" w:lineRule="auto"/>
              <w:jc w:val="right"/>
              <w:rPr>
                <w:rFonts w:ascii="Arial" w:hAnsi="Arial" w:cs="Arial"/>
                <w:color w:val="000000"/>
                <w:sz w:val="18"/>
                <w:szCs w:val="18"/>
              </w:rPr>
            </w:pPr>
            <w:r w:rsidRPr="0009028A">
              <w:rPr>
                <w:rFonts w:ascii="Arial" w:hAnsi="Arial" w:cs="Arial"/>
                <w:color w:val="000000"/>
                <w:sz w:val="18"/>
                <w:szCs w:val="18"/>
              </w:rPr>
              <w:t>15.689.787</w:t>
            </w:r>
          </w:p>
        </w:tc>
      </w:tr>
      <w:tr w:rsidR="00D4733F" w:rsidRPr="0009028A" w14:paraId="0BD005BB" w14:textId="77777777" w:rsidTr="008C1630">
        <w:trPr>
          <w:gridAfter w:val="1"/>
          <w:wAfter w:w="142" w:type="dxa"/>
          <w:trHeight w:val="227"/>
        </w:trPr>
        <w:tc>
          <w:tcPr>
            <w:tcW w:w="6804" w:type="dxa"/>
            <w:shd w:val="clear" w:color="auto" w:fill="auto"/>
            <w:noWrap/>
            <w:vAlign w:val="center"/>
          </w:tcPr>
          <w:p w14:paraId="4FD39782" w14:textId="77777777" w:rsidR="00D4733F" w:rsidRPr="0009028A" w:rsidRDefault="00D4733F" w:rsidP="00D4733F">
            <w:pPr>
              <w:spacing w:after="0" w:line="240" w:lineRule="auto"/>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val="es-ES" w:eastAsia="es-ES"/>
              </w:rPr>
              <w:t>Impuesto diferido por conversión</w:t>
            </w:r>
          </w:p>
        </w:tc>
        <w:tc>
          <w:tcPr>
            <w:tcW w:w="1559" w:type="dxa"/>
            <w:gridSpan w:val="2"/>
            <w:shd w:val="clear" w:color="auto" w:fill="auto"/>
            <w:noWrap/>
            <w:vAlign w:val="center"/>
          </w:tcPr>
          <w:p w14:paraId="03683C0F" w14:textId="77777777" w:rsidR="00D4733F" w:rsidRPr="0009028A" w:rsidRDefault="00D4733F" w:rsidP="00D4733F">
            <w:pPr>
              <w:spacing w:after="0" w:line="240" w:lineRule="auto"/>
              <w:jc w:val="right"/>
              <w:rPr>
                <w:rFonts w:ascii="Arial" w:hAnsi="Arial" w:cs="Arial"/>
                <w:color w:val="000000"/>
                <w:sz w:val="18"/>
                <w:szCs w:val="18"/>
              </w:rPr>
            </w:pPr>
            <w:r w:rsidRPr="0009028A">
              <w:rPr>
                <w:rFonts w:ascii="Arial" w:hAnsi="Arial" w:cs="Arial"/>
                <w:color w:val="000000"/>
                <w:sz w:val="18"/>
                <w:szCs w:val="18"/>
              </w:rPr>
              <w:t>365.959</w:t>
            </w:r>
          </w:p>
        </w:tc>
        <w:tc>
          <w:tcPr>
            <w:tcW w:w="1560" w:type="dxa"/>
            <w:gridSpan w:val="2"/>
            <w:shd w:val="clear" w:color="auto" w:fill="auto"/>
            <w:noWrap/>
            <w:vAlign w:val="center"/>
          </w:tcPr>
          <w:p w14:paraId="50D4B928" w14:textId="77777777" w:rsidR="00D4733F" w:rsidRPr="0009028A" w:rsidRDefault="00F57CF2" w:rsidP="00D4733F">
            <w:pPr>
              <w:spacing w:after="0" w:line="240" w:lineRule="auto"/>
              <w:jc w:val="right"/>
              <w:rPr>
                <w:rFonts w:ascii="Arial" w:hAnsi="Arial" w:cs="Arial"/>
                <w:color w:val="000000"/>
                <w:sz w:val="18"/>
                <w:szCs w:val="18"/>
              </w:rPr>
            </w:pPr>
            <w:r w:rsidRPr="0009028A">
              <w:rPr>
                <w:rFonts w:ascii="Arial" w:hAnsi="Arial" w:cs="Arial"/>
                <w:color w:val="000000"/>
                <w:sz w:val="18"/>
                <w:szCs w:val="18"/>
              </w:rPr>
              <w:t>(70.045)</w:t>
            </w:r>
          </w:p>
        </w:tc>
      </w:tr>
      <w:tr w:rsidR="00D4733F" w:rsidRPr="0009028A" w14:paraId="19DAA29F" w14:textId="77777777" w:rsidTr="008C1630">
        <w:trPr>
          <w:gridAfter w:val="1"/>
          <w:wAfter w:w="142" w:type="dxa"/>
          <w:trHeight w:val="227"/>
        </w:trPr>
        <w:tc>
          <w:tcPr>
            <w:tcW w:w="6804" w:type="dxa"/>
            <w:shd w:val="clear" w:color="auto" w:fill="auto"/>
            <w:noWrap/>
            <w:vAlign w:val="center"/>
          </w:tcPr>
          <w:p w14:paraId="46789460" w14:textId="77777777" w:rsidR="00D4733F" w:rsidRPr="0009028A" w:rsidRDefault="00D4733F" w:rsidP="00D4733F">
            <w:pPr>
              <w:spacing w:after="0" w:line="240" w:lineRule="auto"/>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val="es-ES" w:eastAsia="es-ES"/>
              </w:rPr>
              <w:t>Diferencia en cambio conversión negocios en el extranjero</w:t>
            </w:r>
          </w:p>
        </w:tc>
        <w:tc>
          <w:tcPr>
            <w:tcW w:w="1559" w:type="dxa"/>
            <w:gridSpan w:val="2"/>
            <w:shd w:val="clear" w:color="auto" w:fill="auto"/>
            <w:noWrap/>
            <w:vAlign w:val="center"/>
          </w:tcPr>
          <w:p w14:paraId="1AE0FE9E" w14:textId="77777777" w:rsidR="00D4733F" w:rsidRPr="0009028A" w:rsidRDefault="00ED50FC" w:rsidP="00D4733F">
            <w:pPr>
              <w:spacing w:after="0" w:line="240" w:lineRule="auto"/>
              <w:jc w:val="right"/>
              <w:rPr>
                <w:rFonts w:ascii="Arial" w:hAnsi="Arial" w:cs="Arial"/>
                <w:color w:val="000000"/>
                <w:sz w:val="18"/>
                <w:szCs w:val="18"/>
                <w:u w:val="single"/>
              </w:rPr>
            </w:pPr>
            <w:r w:rsidRPr="0009028A">
              <w:rPr>
                <w:rFonts w:ascii="Arial" w:hAnsi="Arial" w:cs="Arial"/>
                <w:color w:val="000000"/>
                <w:sz w:val="18"/>
                <w:szCs w:val="18"/>
                <w:u w:val="single"/>
              </w:rPr>
              <w:t xml:space="preserve"> </w:t>
            </w:r>
            <w:r w:rsidR="00D4733F" w:rsidRPr="0009028A">
              <w:rPr>
                <w:rFonts w:ascii="Arial" w:hAnsi="Arial" w:cs="Arial"/>
                <w:color w:val="000000"/>
                <w:sz w:val="18"/>
                <w:szCs w:val="18"/>
                <w:u w:val="single"/>
              </w:rPr>
              <w:t>225.461.063</w:t>
            </w:r>
          </w:p>
        </w:tc>
        <w:tc>
          <w:tcPr>
            <w:tcW w:w="1560" w:type="dxa"/>
            <w:gridSpan w:val="2"/>
            <w:shd w:val="clear" w:color="auto" w:fill="auto"/>
            <w:noWrap/>
            <w:vAlign w:val="center"/>
          </w:tcPr>
          <w:p w14:paraId="4494C1C6" w14:textId="77777777" w:rsidR="00D4733F" w:rsidRPr="0009028A" w:rsidRDefault="00ED50FC" w:rsidP="00D4733F">
            <w:pPr>
              <w:spacing w:after="0" w:line="240" w:lineRule="auto"/>
              <w:jc w:val="right"/>
              <w:rPr>
                <w:rFonts w:ascii="Arial" w:hAnsi="Arial" w:cs="Arial"/>
                <w:color w:val="000000"/>
                <w:sz w:val="18"/>
                <w:szCs w:val="18"/>
                <w:u w:val="single"/>
              </w:rPr>
            </w:pPr>
            <w:r w:rsidRPr="0009028A">
              <w:rPr>
                <w:rFonts w:ascii="Arial" w:hAnsi="Arial" w:cs="Arial"/>
                <w:color w:val="000000"/>
                <w:sz w:val="18"/>
                <w:szCs w:val="18"/>
                <w:u w:val="single"/>
              </w:rPr>
              <w:t xml:space="preserve">  </w:t>
            </w:r>
            <w:r w:rsidR="00F57CF2" w:rsidRPr="0009028A">
              <w:rPr>
                <w:rFonts w:ascii="Arial" w:hAnsi="Arial" w:cs="Arial"/>
                <w:color w:val="000000"/>
                <w:sz w:val="18"/>
                <w:szCs w:val="18"/>
                <w:u w:val="single"/>
              </w:rPr>
              <w:t>257.634.223</w:t>
            </w:r>
          </w:p>
        </w:tc>
      </w:tr>
      <w:tr w:rsidR="00D4733F" w:rsidRPr="0009028A" w14:paraId="5931A5BC" w14:textId="77777777" w:rsidTr="008C1630">
        <w:trPr>
          <w:gridAfter w:val="1"/>
          <w:wAfter w:w="142" w:type="dxa"/>
          <w:trHeight w:val="227"/>
        </w:trPr>
        <w:tc>
          <w:tcPr>
            <w:tcW w:w="6804" w:type="dxa"/>
            <w:shd w:val="clear" w:color="auto" w:fill="auto"/>
            <w:noWrap/>
            <w:vAlign w:val="bottom"/>
            <w:hideMark/>
          </w:tcPr>
          <w:p w14:paraId="739D717E" w14:textId="77777777" w:rsidR="00D4733F" w:rsidRPr="0009028A" w:rsidRDefault="00D4733F" w:rsidP="00D4733F">
            <w:pPr>
              <w:spacing w:after="0" w:line="240" w:lineRule="auto"/>
              <w:rPr>
                <w:rFonts w:ascii="Arial" w:eastAsia="Times New Roman" w:hAnsi="Arial" w:cs="Arial"/>
                <w:b/>
                <w:color w:val="103475"/>
                <w:sz w:val="18"/>
                <w:szCs w:val="18"/>
                <w:lang w:val="es-ES" w:eastAsia="es-ES"/>
              </w:rPr>
            </w:pPr>
            <w:r w:rsidRPr="0009028A">
              <w:rPr>
                <w:rFonts w:ascii="Arial" w:eastAsia="Times New Roman" w:hAnsi="Arial" w:cs="Arial"/>
                <w:b/>
                <w:color w:val="103475"/>
                <w:sz w:val="18"/>
                <w:szCs w:val="18"/>
                <w:lang w:val="es-ES" w:eastAsia="es-ES"/>
              </w:rPr>
              <w:t>Total otro resultado integral (ORI)</w:t>
            </w:r>
          </w:p>
        </w:tc>
        <w:tc>
          <w:tcPr>
            <w:tcW w:w="1559" w:type="dxa"/>
            <w:gridSpan w:val="2"/>
            <w:shd w:val="clear" w:color="auto" w:fill="auto"/>
            <w:noWrap/>
            <w:vAlign w:val="center"/>
          </w:tcPr>
          <w:p w14:paraId="7A17F6C4" w14:textId="77777777" w:rsidR="00D4733F" w:rsidRPr="0009028A" w:rsidRDefault="00ED50FC" w:rsidP="00D4733F">
            <w:pPr>
              <w:spacing w:after="0" w:line="240" w:lineRule="auto"/>
              <w:jc w:val="right"/>
              <w:rPr>
                <w:rFonts w:ascii="Arial" w:eastAsia="Times New Roman" w:hAnsi="Arial" w:cs="Arial"/>
                <w:b/>
                <w:bCs/>
                <w:color w:val="103475"/>
                <w:sz w:val="18"/>
                <w:szCs w:val="18"/>
                <w:u w:val="double"/>
                <w:lang w:val="es-ES" w:eastAsia="es-ES"/>
              </w:rPr>
            </w:pPr>
            <w:r w:rsidRPr="0009028A">
              <w:rPr>
                <w:rFonts w:ascii="Arial" w:eastAsia="Times New Roman" w:hAnsi="Arial" w:cs="Arial"/>
                <w:b/>
                <w:bCs/>
                <w:color w:val="103475"/>
                <w:sz w:val="18"/>
                <w:szCs w:val="18"/>
                <w:lang w:val="es-ES" w:eastAsia="es-ES"/>
              </w:rPr>
              <w:t xml:space="preserve">$  </w:t>
            </w:r>
            <w:r w:rsidRPr="0009028A">
              <w:rPr>
                <w:rFonts w:ascii="Arial" w:eastAsia="Times New Roman" w:hAnsi="Arial" w:cs="Arial"/>
                <w:b/>
                <w:bCs/>
                <w:color w:val="103475"/>
                <w:sz w:val="18"/>
                <w:szCs w:val="18"/>
                <w:u w:val="double"/>
                <w:lang w:val="es-ES" w:eastAsia="es-ES"/>
              </w:rPr>
              <w:t xml:space="preserve"> </w:t>
            </w:r>
            <w:r w:rsidR="00D4733F" w:rsidRPr="0009028A">
              <w:rPr>
                <w:rFonts w:ascii="Arial" w:eastAsia="Times New Roman" w:hAnsi="Arial" w:cs="Arial"/>
                <w:b/>
                <w:bCs/>
                <w:color w:val="103475"/>
                <w:sz w:val="18"/>
                <w:szCs w:val="18"/>
                <w:u w:val="double"/>
                <w:lang w:val="es-ES" w:eastAsia="es-ES"/>
              </w:rPr>
              <w:t>184.116.908</w:t>
            </w:r>
          </w:p>
        </w:tc>
        <w:tc>
          <w:tcPr>
            <w:tcW w:w="1560" w:type="dxa"/>
            <w:gridSpan w:val="2"/>
            <w:shd w:val="clear" w:color="auto" w:fill="auto"/>
            <w:noWrap/>
            <w:vAlign w:val="center"/>
            <w:hideMark/>
          </w:tcPr>
          <w:p w14:paraId="0462B11F" w14:textId="77777777" w:rsidR="00D4733F" w:rsidRPr="0009028A" w:rsidRDefault="00ED50FC" w:rsidP="00D4733F">
            <w:pPr>
              <w:spacing w:after="0" w:line="240" w:lineRule="auto"/>
              <w:jc w:val="right"/>
              <w:rPr>
                <w:rFonts w:ascii="Arial" w:eastAsia="Times New Roman" w:hAnsi="Arial" w:cs="Arial"/>
                <w:b/>
                <w:bCs/>
                <w:color w:val="103475"/>
                <w:sz w:val="18"/>
                <w:szCs w:val="18"/>
                <w:u w:val="double"/>
                <w:lang w:val="es-ES" w:eastAsia="es-ES"/>
              </w:rPr>
            </w:pPr>
            <w:r w:rsidRPr="0009028A">
              <w:rPr>
                <w:rFonts w:ascii="Arial" w:eastAsia="Times New Roman" w:hAnsi="Arial" w:cs="Arial"/>
                <w:b/>
                <w:bCs/>
                <w:color w:val="103475"/>
                <w:sz w:val="18"/>
                <w:szCs w:val="18"/>
                <w:u w:val="double"/>
                <w:lang w:val="es-ES" w:eastAsia="es-ES"/>
              </w:rPr>
              <w:t xml:space="preserve">  </w:t>
            </w:r>
            <w:r w:rsidR="00F57CF2" w:rsidRPr="0009028A">
              <w:rPr>
                <w:rFonts w:ascii="Arial" w:eastAsia="Times New Roman" w:hAnsi="Arial" w:cs="Arial"/>
                <w:b/>
                <w:bCs/>
                <w:color w:val="103475"/>
                <w:sz w:val="18"/>
                <w:szCs w:val="18"/>
                <w:u w:val="double"/>
                <w:lang w:val="es-ES" w:eastAsia="es-ES"/>
              </w:rPr>
              <w:t>225.037.073</w:t>
            </w:r>
          </w:p>
        </w:tc>
      </w:tr>
    </w:tbl>
    <w:p w14:paraId="60B01555" w14:textId="77777777" w:rsidR="00160F79" w:rsidRPr="0009028A" w:rsidRDefault="00160F79" w:rsidP="008B5836">
      <w:pPr>
        <w:spacing w:after="0" w:line="240" w:lineRule="auto"/>
        <w:jc w:val="both"/>
        <w:rPr>
          <w:rFonts w:ascii="Arial" w:eastAsia="Arial" w:hAnsi="Arial" w:cs="Arial"/>
          <w:sz w:val="20"/>
          <w:szCs w:val="20"/>
          <w:highlight w:val="yellow"/>
          <w:lang w:val="es-AR"/>
        </w:rPr>
      </w:pPr>
    </w:p>
    <w:p w14:paraId="5E2F3744" w14:textId="77777777" w:rsidR="008B5836" w:rsidRDefault="005A0555" w:rsidP="008B5836">
      <w:pPr>
        <w:spacing w:after="0" w:line="240" w:lineRule="auto"/>
        <w:jc w:val="both"/>
        <w:rPr>
          <w:rFonts w:ascii="Arial" w:eastAsia="Arial" w:hAnsi="Arial" w:cs="Arial"/>
          <w:sz w:val="20"/>
          <w:szCs w:val="20"/>
          <w:lang w:val="es-AR"/>
        </w:rPr>
      </w:pPr>
      <w:r w:rsidRPr="0009028A">
        <w:rPr>
          <w:rFonts w:ascii="Arial" w:eastAsia="Arial" w:hAnsi="Arial" w:cs="Arial"/>
          <w:sz w:val="20"/>
          <w:szCs w:val="20"/>
          <w:lang w:val="es-AR"/>
        </w:rPr>
        <w:t xml:space="preserve">Durante el primer trimestre de 2019 no se realizaron reclasificaciones desde el </w:t>
      </w:r>
      <w:r w:rsidR="00A43D62" w:rsidRPr="0009028A">
        <w:rPr>
          <w:rFonts w:ascii="Arial" w:eastAsia="Arial" w:hAnsi="Arial" w:cs="Arial"/>
          <w:sz w:val="20"/>
          <w:szCs w:val="20"/>
          <w:lang w:val="es-AR"/>
        </w:rPr>
        <w:t xml:space="preserve">otro resultado integral </w:t>
      </w:r>
      <w:r w:rsidRPr="0009028A">
        <w:rPr>
          <w:rFonts w:ascii="Arial" w:eastAsia="Arial" w:hAnsi="Arial" w:cs="Arial"/>
          <w:sz w:val="20"/>
          <w:szCs w:val="20"/>
          <w:lang w:val="es-AR"/>
        </w:rPr>
        <w:t>al resultado del ejer</w:t>
      </w:r>
      <w:r w:rsidR="002E1D8B" w:rsidRPr="0009028A">
        <w:rPr>
          <w:rFonts w:ascii="Arial" w:eastAsia="Arial" w:hAnsi="Arial" w:cs="Arial"/>
          <w:sz w:val="20"/>
          <w:szCs w:val="20"/>
          <w:lang w:val="es-AR"/>
        </w:rPr>
        <w:t>c</w:t>
      </w:r>
      <w:r w:rsidRPr="0009028A">
        <w:rPr>
          <w:rFonts w:ascii="Arial" w:eastAsia="Arial" w:hAnsi="Arial" w:cs="Arial"/>
          <w:sz w:val="20"/>
          <w:szCs w:val="20"/>
          <w:lang w:val="es-AR"/>
        </w:rPr>
        <w:t>icio.</w:t>
      </w:r>
    </w:p>
    <w:p w14:paraId="523A4A77" w14:textId="77777777" w:rsidR="007C49A2" w:rsidRPr="0009028A" w:rsidRDefault="007C49A2" w:rsidP="008B5836">
      <w:pPr>
        <w:spacing w:after="0" w:line="240" w:lineRule="auto"/>
        <w:jc w:val="both"/>
        <w:rPr>
          <w:rFonts w:ascii="Arial" w:eastAsia="Arial" w:hAnsi="Arial" w:cs="Arial"/>
          <w:sz w:val="20"/>
          <w:szCs w:val="20"/>
          <w:lang w:val="es-AR"/>
        </w:rPr>
      </w:pPr>
    </w:p>
    <w:p w14:paraId="20A818E9" w14:textId="6F46AF15" w:rsidR="008B5836" w:rsidRPr="00964E83" w:rsidRDefault="008A43D7" w:rsidP="00964E83">
      <w:pPr>
        <w:pStyle w:val="Ttulo1"/>
      </w:pPr>
      <w:bookmarkStart w:id="324" w:name="_Toc506991949"/>
      <w:bookmarkStart w:id="325" w:name="_Toc8735115"/>
      <w:r w:rsidRPr="0009028A">
        <w:t>Nota</w:t>
      </w:r>
      <w:r w:rsidR="00356D6E" w:rsidRPr="0009028A">
        <w:t xml:space="preserve"> 1</w:t>
      </w:r>
      <w:r w:rsidR="00964E83">
        <w:t>7</w:t>
      </w:r>
      <w:r w:rsidR="008B5836" w:rsidRPr="0009028A">
        <w:t xml:space="preserve">: </w:t>
      </w:r>
      <w:r w:rsidRPr="0009028A">
        <w:t>Otros componentes del patrimonio</w:t>
      </w:r>
      <w:bookmarkEnd w:id="324"/>
      <w:bookmarkEnd w:id="325"/>
    </w:p>
    <w:p w14:paraId="6BD07849" w14:textId="77777777" w:rsidR="008B5836" w:rsidRPr="0009028A" w:rsidRDefault="005A0555" w:rsidP="00053008">
      <w:pPr>
        <w:spacing w:after="0" w:line="240" w:lineRule="auto"/>
        <w:jc w:val="both"/>
        <w:rPr>
          <w:rFonts w:ascii="Arial" w:eastAsia="Arial" w:hAnsi="Arial" w:cs="Arial"/>
          <w:sz w:val="20"/>
          <w:szCs w:val="20"/>
          <w:lang w:val="es-AR"/>
        </w:rPr>
      </w:pPr>
      <w:r w:rsidRPr="0009028A">
        <w:rPr>
          <w:rFonts w:ascii="Arial" w:eastAsia="Arial" w:hAnsi="Arial" w:cs="Arial"/>
          <w:sz w:val="20"/>
          <w:szCs w:val="20"/>
          <w:lang w:val="es-AR"/>
        </w:rPr>
        <w:t xml:space="preserve">El saldo </w:t>
      </w:r>
      <w:r w:rsidR="00053008" w:rsidRPr="0009028A">
        <w:rPr>
          <w:rFonts w:ascii="Arial" w:eastAsia="Arial" w:hAnsi="Arial" w:cs="Arial"/>
          <w:sz w:val="20"/>
          <w:szCs w:val="20"/>
          <w:lang w:val="es-AR"/>
        </w:rPr>
        <w:t>de otros componentes del patrimonio corresponde al método de participación por otras variaciones patrimoniales de las subsidiarias, asociadas y negocios conjuntos</w:t>
      </w:r>
      <w:r w:rsidRPr="0009028A">
        <w:rPr>
          <w:rFonts w:ascii="Arial" w:eastAsia="Arial" w:hAnsi="Arial" w:cs="Arial"/>
          <w:sz w:val="20"/>
          <w:szCs w:val="20"/>
          <w:lang w:val="es-AR"/>
        </w:rPr>
        <w:t>, la cual asciende a $</w:t>
      </w:r>
      <w:r w:rsidR="00DD56AF" w:rsidRPr="0009028A">
        <w:rPr>
          <w:rFonts w:ascii="Arial" w:eastAsia="Arial" w:hAnsi="Arial" w:cs="Arial"/>
          <w:sz w:val="20"/>
          <w:szCs w:val="20"/>
          <w:lang w:val="es-AR"/>
        </w:rPr>
        <w:t>(</w:t>
      </w:r>
      <w:r w:rsidRPr="0009028A">
        <w:rPr>
          <w:rFonts w:ascii="Arial" w:eastAsia="Arial" w:hAnsi="Arial" w:cs="Arial"/>
          <w:sz w:val="20"/>
          <w:szCs w:val="20"/>
          <w:lang w:val="es-AR"/>
        </w:rPr>
        <w:t>7.144.958</w:t>
      </w:r>
      <w:r w:rsidR="00DD56AF" w:rsidRPr="0009028A">
        <w:rPr>
          <w:rFonts w:ascii="Arial" w:eastAsia="Arial" w:hAnsi="Arial" w:cs="Arial"/>
          <w:sz w:val="20"/>
          <w:szCs w:val="20"/>
          <w:lang w:val="es-AR"/>
        </w:rPr>
        <w:t>).</w:t>
      </w:r>
    </w:p>
    <w:p w14:paraId="158AAC82" w14:textId="77777777" w:rsidR="00B34336" w:rsidRPr="0009028A" w:rsidRDefault="00B34336" w:rsidP="008B5836">
      <w:pPr>
        <w:spacing w:after="0"/>
        <w:jc w:val="both"/>
        <w:rPr>
          <w:rFonts w:ascii="Arial" w:hAnsi="Arial" w:cs="Arial"/>
          <w:b/>
          <w:color w:val="0C2D66"/>
          <w:sz w:val="20"/>
          <w:szCs w:val="20"/>
        </w:rPr>
      </w:pPr>
    </w:p>
    <w:p w14:paraId="5E7D8B0C" w14:textId="5965EF35" w:rsidR="008B5836" w:rsidRPr="00964E83" w:rsidRDefault="009B5911" w:rsidP="00964E83">
      <w:pPr>
        <w:pStyle w:val="Ttulo1"/>
      </w:pPr>
      <w:bookmarkStart w:id="326" w:name="_Toc506991950"/>
      <w:bookmarkStart w:id="327" w:name="_Toc8735116"/>
      <w:r w:rsidRPr="0009028A">
        <w:t>Nota 1</w:t>
      </w:r>
      <w:r w:rsidR="00964E83">
        <w:t>8</w:t>
      </w:r>
      <w:r w:rsidRPr="0009028A">
        <w:t>:</w:t>
      </w:r>
      <w:r w:rsidR="008B5836" w:rsidRPr="0009028A">
        <w:t xml:space="preserve"> </w:t>
      </w:r>
      <w:r w:rsidR="008A43D7" w:rsidRPr="0009028A">
        <w:t>Dividendos</w:t>
      </w:r>
      <w:bookmarkEnd w:id="326"/>
      <w:bookmarkEnd w:id="327"/>
      <w:r w:rsidR="008B5836" w:rsidRPr="0009028A">
        <w:rPr>
          <w:rFonts w:ascii="Arial" w:eastAsia="Arial" w:hAnsi="Arial" w:cs="Arial"/>
          <w:sz w:val="20"/>
          <w:szCs w:val="20"/>
          <w:lang w:val="es-AR"/>
        </w:rPr>
        <w:fldChar w:fldCharType="begin"/>
      </w:r>
      <w:r w:rsidR="008B5836" w:rsidRPr="0009028A">
        <w:rPr>
          <w:rFonts w:ascii="Arial" w:eastAsia="Arial" w:hAnsi="Arial" w:cs="Arial"/>
          <w:sz w:val="20"/>
          <w:szCs w:val="20"/>
          <w:lang w:val="es-AR"/>
        </w:rPr>
        <w:instrText xml:space="preserve"> LINK Excel.Sheet.12 "D:\\Users\\Documents\\GRUPO NIIF\\PROYECTOS XBRL\\PROYECTOS XBRL 2016\\ANEXO PLANTILLAS Q1 2016\\GA CONSOLIDADO\\ACTIVOS PPYE-PI-INT-ANCMV-AB Consolidado\\PPYE\\Propiedad Planta y Equipo 2015  DIC ultimo miles.xlsx" "Revelaciones miles xbrl dic 15!F23C1:F39C12" \a \f 4 \h  \* MERGEFORMAT </w:instrText>
      </w:r>
      <w:r w:rsidR="008B5836" w:rsidRPr="0009028A">
        <w:rPr>
          <w:rFonts w:ascii="Arial" w:eastAsia="Arial" w:hAnsi="Arial" w:cs="Arial"/>
          <w:sz w:val="20"/>
          <w:szCs w:val="20"/>
          <w:lang w:val="es-AR"/>
        </w:rPr>
        <w:fldChar w:fldCharType="separate"/>
      </w:r>
    </w:p>
    <w:p w14:paraId="114C4173" w14:textId="77777777" w:rsidR="00540ECD" w:rsidRPr="0009028A" w:rsidRDefault="008B5836" w:rsidP="00540ECD">
      <w:pPr>
        <w:spacing w:after="0"/>
        <w:jc w:val="both"/>
        <w:rPr>
          <w:rFonts w:ascii="Arial" w:eastAsia="Arial" w:hAnsi="Arial" w:cs="Arial"/>
          <w:sz w:val="20"/>
          <w:szCs w:val="20"/>
          <w:highlight w:val="yellow"/>
          <w:lang w:val="es-AR"/>
        </w:rPr>
      </w:pPr>
      <w:r w:rsidRPr="0009028A">
        <w:rPr>
          <w:rFonts w:ascii="Arial" w:eastAsia="Arial" w:hAnsi="Arial" w:cs="Arial"/>
          <w:sz w:val="20"/>
          <w:szCs w:val="20"/>
          <w:lang w:val="es-AR"/>
        </w:rPr>
        <w:fldChar w:fldCharType="end"/>
      </w:r>
      <w:r w:rsidR="00540ECD" w:rsidRPr="0009028A">
        <w:rPr>
          <w:rFonts w:ascii="Arial" w:eastAsia="Arial" w:hAnsi="Arial" w:cs="Arial"/>
          <w:sz w:val="20"/>
          <w:szCs w:val="20"/>
          <w:lang w:val="es-AR"/>
        </w:rPr>
        <w:t>La Asamblea General de Accionistas de la Compañía</w:t>
      </w:r>
      <w:r w:rsidR="00530E91" w:rsidRPr="0009028A">
        <w:rPr>
          <w:rFonts w:ascii="Arial" w:eastAsia="Arial" w:hAnsi="Arial" w:cs="Arial"/>
          <w:sz w:val="20"/>
          <w:szCs w:val="20"/>
          <w:lang w:val="es-AR"/>
        </w:rPr>
        <w:t xml:space="preserve">, celebrada el </w:t>
      </w:r>
      <w:r w:rsidR="00812D5E" w:rsidRPr="0009028A">
        <w:rPr>
          <w:rFonts w:ascii="Arial" w:eastAsia="Arial" w:hAnsi="Arial" w:cs="Arial"/>
          <w:sz w:val="20"/>
          <w:szCs w:val="20"/>
          <w:lang w:val="es-AR"/>
        </w:rPr>
        <w:t>26</w:t>
      </w:r>
      <w:r w:rsidR="00530E91" w:rsidRPr="0009028A">
        <w:rPr>
          <w:rFonts w:ascii="Arial" w:eastAsia="Arial" w:hAnsi="Arial" w:cs="Arial"/>
          <w:sz w:val="20"/>
          <w:szCs w:val="20"/>
          <w:lang w:val="es-AR"/>
        </w:rPr>
        <w:t xml:space="preserve"> de </w:t>
      </w:r>
      <w:r w:rsidR="00812D5E" w:rsidRPr="0009028A">
        <w:rPr>
          <w:rFonts w:ascii="Arial" w:eastAsia="Arial" w:hAnsi="Arial" w:cs="Arial"/>
          <w:sz w:val="20"/>
          <w:szCs w:val="20"/>
          <w:lang w:val="es-AR"/>
        </w:rPr>
        <w:t>marzo</w:t>
      </w:r>
      <w:r w:rsidR="00530E91" w:rsidRPr="0009028A">
        <w:rPr>
          <w:rFonts w:ascii="Arial" w:eastAsia="Arial" w:hAnsi="Arial" w:cs="Arial"/>
          <w:sz w:val="20"/>
          <w:szCs w:val="20"/>
          <w:lang w:val="es-AR"/>
        </w:rPr>
        <w:t xml:space="preserve"> de 201</w:t>
      </w:r>
      <w:r w:rsidR="00812D5E" w:rsidRPr="0009028A">
        <w:rPr>
          <w:rFonts w:ascii="Arial" w:eastAsia="Arial" w:hAnsi="Arial" w:cs="Arial"/>
          <w:sz w:val="20"/>
          <w:szCs w:val="20"/>
          <w:lang w:val="es-AR"/>
        </w:rPr>
        <w:t>9</w:t>
      </w:r>
      <w:r w:rsidR="00530E91" w:rsidRPr="0009028A">
        <w:rPr>
          <w:rFonts w:ascii="Arial" w:eastAsia="Arial" w:hAnsi="Arial" w:cs="Arial"/>
          <w:sz w:val="20"/>
          <w:szCs w:val="20"/>
          <w:lang w:val="es-AR"/>
        </w:rPr>
        <w:t>, decretó dividendos en efectivo sobre las acciones ordinarias de $</w:t>
      </w:r>
      <w:r w:rsidR="00812D5E" w:rsidRPr="0009028A">
        <w:rPr>
          <w:rFonts w:ascii="Arial" w:eastAsia="Arial" w:hAnsi="Arial" w:cs="Arial"/>
          <w:sz w:val="20"/>
          <w:szCs w:val="20"/>
          <w:lang w:val="es-AR"/>
        </w:rPr>
        <w:t>255</w:t>
      </w:r>
      <w:r w:rsidR="00530E91" w:rsidRPr="0009028A">
        <w:rPr>
          <w:rFonts w:ascii="Arial" w:eastAsia="Arial" w:hAnsi="Arial" w:cs="Arial"/>
          <w:sz w:val="20"/>
          <w:szCs w:val="20"/>
          <w:lang w:val="es-AR"/>
        </w:rPr>
        <w:t xml:space="preserve"> pesos anuales por acción (201</w:t>
      </w:r>
      <w:r w:rsidR="00812D5E" w:rsidRPr="0009028A">
        <w:rPr>
          <w:rFonts w:ascii="Arial" w:eastAsia="Arial" w:hAnsi="Arial" w:cs="Arial"/>
          <w:sz w:val="20"/>
          <w:szCs w:val="20"/>
          <w:lang w:val="es-AR"/>
        </w:rPr>
        <w:t>8</w:t>
      </w:r>
      <w:r w:rsidR="00530E91" w:rsidRPr="0009028A">
        <w:rPr>
          <w:rFonts w:ascii="Arial" w:eastAsia="Arial" w:hAnsi="Arial" w:cs="Arial"/>
          <w:sz w:val="20"/>
          <w:szCs w:val="20"/>
          <w:lang w:val="es-AR"/>
        </w:rPr>
        <w:t xml:space="preserve"> - $</w:t>
      </w:r>
      <w:r w:rsidR="00812D5E" w:rsidRPr="0009028A">
        <w:rPr>
          <w:rFonts w:ascii="Arial" w:eastAsia="Arial" w:hAnsi="Arial" w:cs="Arial"/>
          <w:sz w:val="20"/>
          <w:szCs w:val="20"/>
          <w:lang w:val="es-AR"/>
        </w:rPr>
        <w:t>505</w:t>
      </w:r>
      <w:r w:rsidR="00530E91" w:rsidRPr="0009028A">
        <w:rPr>
          <w:rFonts w:ascii="Arial" w:eastAsia="Arial" w:hAnsi="Arial" w:cs="Arial"/>
          <w:sz w:val="20"/>
          <w:szCs w:val="20"/>
          <w:lang w:val="es-AR"/>
        </w:rPr>
        <w:t xml:space="preserve">), pagaderos en </w:t>
      </w:r>
      <w:r w:rsidR="00812D5E" w:rsidRPr="0009028A">
        <w:rPr>
          <w:rFonts w:ascii="Arial" w:eastAsia="Arial" w:hAnsi="Arial" w:cs="Arial"/>
          <w:sz w:val="20"/>
          <w:szCs w:val="20"/>
          <w:lang w:val="es-AR"/>
        </w:rPr>
        <w:t xml:space="preserve">dos </w:t>
      </w:r>
      <w:r w:rsidR="00530E91" w:rsidRPr="0009028A">
        <w:rPr>
          <w:rFonts w:ascii="Arial" w:eastAsia="Arial" w:hAnsi="Arial" w:cs="Arial"/>
          <w:sz w:val="20"/>
          <w:szCs w:val="20"/>
          <w:lang w:val="es-AR"/>
        </w:rPr>
        <w:t>cuotas de $</w:t>
      </w:r>
      <w:r w:rsidR="00812D5E" w:rsidRPr="0009028A">
        <w:rPr>
          <w:rFonts w:ascii="Arial" w:eastAsia="Arial" w:hAnsi="Arial" w:cs="Arial"/>
          <w:sz w:val="20"/>
          <w:szCs w:val="20"/>
          <w:lang w:val="es-AR"/>
        </w:rPr>
        <w:t xml:space="preserve">153 </w:t>
      </w:r>
      <w:r w:rsidR="00530E91" w:rsidRPr="0009028A">
        <w:rPr>
          <w:rFonts w:ascii="Arial" w:eastAsia="Arial" w:hAnsi="Arial" w:cs="Arial"/>
          <w:sz w:val="20"/>
          <w:szCs w:val="20"/>
          <w:lang w:val="es-AR"/>
        </w:rPr>
        <w:t xml:space="preserve">pesos por acción </w:t>
      </w:r>
      <w:r w:rsidR="00812D5E" w:rsidRPr="0009028A">
        <w:rPr>
          <w:rFonts w:ascii="Arial" w:eastAsia="Arial" w:hAnsi="Arial" w:cs="Arial"/>
          <w:sz w:val="20"/>
          <w:szCs w:val="20"/>
          <w:lang w:val="es-AR"/>
        </w:rPr>
        <w:t xml:space="preserve">en junio y $102 pesos por acción en agosto. El </w:t>
      </w:r>
      <w:r w:rsidR="00530E91" w:rsidRPr="0009028A">
        <w:rPr>
          <w:rFonts w:ascii="Arial" w:eastAsia="Arial" w:hAnsi="Arial" w:cs="Arial"/>
          <w:sz w:val="20"/>
          <w:szCs w:val="20"/>
          <w:lang w:val="es-AR"/>
        </w:rPr>
        <w:t xml:space="preserve">valor total </w:t>
      </w:r>
      <w:r w:rsidR="00812D5E" w:rsidRPr="0009028A">
        <w:rPr>
          <w:rFonts w:ascii="Arial" w:eastAsia="Arial" w:hAnsi="Arial" w:cs="Arial"/>
          <w:sz w:val="20"/>
          <w:szCs w:val="20"/>
          <w:lang w:val="es-AR"/>
        </w:rPr>
        <w:t>es</w:t>
      </w:r>
      <w:r w:rsidR="00530E91" w:rsidRPr="0009028A">
        <w:rPr>
          <w:rFonts w:ascii="Arial" w:eastAsia="Arial" w:hAnsi="Arial" w:cs="Arial"/>
          <w:sz w:val="20"/>
          <w:szCs w:val="20"/>
          <w:lang w:val="es-AR"/>
        </w:rPr>
        <w:t xml:space="preserve"> $</w:t>
      </w:r>
      <w:r w:rsidR="00812D5E" w:rsidRPr="0009028A">
        <w:rPr>
          <w:rFonts w:ascii="Arial" w:eastAsia="Arial" w:hAnsi="Arial" w:cs="Arial"/>
          <w:sz w:val="20"/>
          <w:szCs w:val="20"/>
          <w:lang w:val="es-AR"/>
        </w:rPr>
        <w:t>50.000.000</w:t>
      </w:r>
      <w:r w:rsidR="00530E91" w:rsidRPr="0009028A">
        <w:rPr>
          <w:rFonts w:ascii="Arial" w:eastAsia="Arial" w:hAnsi="Arial" w:cs="Arial"/>
          <w:sz w:val="20"/>
          <w:szCs w:val="20"/>
          <w:lang w:val="es-AR"/>
        </w:rPr>
        <w:t xml:space="preserve"> (201</w:t>
      </w:r>
      <w:r w:rsidR="00812D5E" w:rsidRPr="0009028A">
        <w:rPr>
          <w:rFonts w:ascii="Arial" w:eastAsia="Arial" w:hAnsi="Arial" w:cs="Arial"/>
          <w:sz w:val="20"/>
          <w:szCs w:val="20"/>
          <w:lang w:val="es-AR"/>
        </w:rPr>
        <w:t>8</w:t>
      </w:r>
      <w:r w:rsidR="00530E91" w:rsidRPr="0009028A">
        <w:rPr>
          <w:rFonts w:ascii="Arial" w:eastAsia="Arial" w:hAnsi="Arial" w:cs="Arial"/>
          <w:sz w:val="20"/>
          <w:szCs w:val="20"/>
          <w:lang w:val="es-AR"/>
        </w:rPr>
        <w:t xml:space="preserve"> - $</w:t>
      </w:r>
      <w:r w:rsidR="00812D5E" w:rsidRPr="0009028A">
        <w:rPr>
          <w:rFonts w:ascii="Arial" w:eastAsia="Arial" w:hAnsi="Arial" w:cs="Arial"/>
          <w:sz w:val="20"/>
          <w:szCs w:val="20"/>
          <w:lang w:val="es-AR"/>
        </w:rPr>
        <w:t>99.000.000</w:t>
      </w:r>
      <w:r w:rsidR="00530E91" w:rsidRPr="0009028A">
        <w:rPr>
          <w:rFonts w:ascii="Arial" w:eastAsia="Arial" w:hAnsi="Arial" w:cs="Arial"/>
          <w:sz w:val="20"/>
          <w:szCs w:val="20"/>
          <w:lang w:val="es-AR"/>
        </w:rPr>
        <w:t>).</w:t>
      </w:r>
    </w:p>
    <w:p w14:paraId="35779672" w14:textId="77777777" w:rsidR="00540ECD" w:rsidRPr="0009028A" w:rsidRDefault="00540ECD" w:rsidP="00540ECD">
      <w:pPr>
        <w:spacing w:after="0"/>
        <w:jc w:val="both"/>
        <w:rPr>
          <w:rFonts w:ascii="Arial" w:eastAsia="Arial" w:hAnsi="Arial" w:cs="Arial"/>
          <w:sz w:val="20"/>
          <w:szCs w:val="20"/>
          <w:highlight w:val="yellow"/>
          <w:lang w:val="es-AR"/>
        </w:rPr>
      </w:pPr>
    </w:p>
    <w:tbl>
      <w:tblPr>
        <w:tblW w:w="9969" w:type="dxa"/>
        <w:tblCellMar>
          <w:left w:w="70" w:type="dxa"/>
          <w:right w:w="70" w:type="dxa"/>
        </w:tblCellMar>
        <w:tblLook w:val="04A0" w:firstRow="1" w:lastRow="0" w:firstColumn="1" w:lastColumn="0" w:noHBand="0" w:noVBand="1"/>
      </w:tblPr>
      <w:tblGrid>
        <w:gridCol w:w="4678"/>
        <w:gridCol w:w="1418"/>
        <w:gridCol w:w="2067"/>
        <w:gridCol w:w="1806"/>
      </w:tblGrid>
      <w:tr w:rsidR="00530E91" w:rsidRPr="0009028A" w14:paraId="738A1474" w14:textId="77777777" w:rsidTr="00ED50FC">
        <w:trPr>
          <w:trHeight w:val="258"/>
        </w:trPr>
        <w:tc>
          <w:tcPr>
            <w:tcW w:w="4678" w:type="dxa"/>
            <w:shd w:val="clear" w:color="auto" w:fill="auto"/>
            <w:noWrap/>
            <w:vAlign w:val="center"/>
            <w:hideMark/>
          </w:tcPr>
          <w:p w14:paraId="47D359B2" w14:textId="77777777" w:rsidR="00530E91" w:rsidRPr="0009028A" w:rsidRDefault="00530E91" w:rsidP="00F1550E">
            <w:pPr>
              <w:spacing w:after="0" w:line="240" w:lineRule="auto"/>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 xml:space="preserve">Dividendos decretados </w:t>
            </w:r>
          </w:p>
        </w:tc>
        <w:tc>
          <w:tcPr>
            <w:tcW w:w="1418" w:type="dxa"/>
            <w:shd w:val="clear" w:color="auto" w:fill="auto"/>
            <w:noWrap/>
            <w:vAlign w:val="center"/>
            <w:hideMark/>
          </w:tcPr>
          <w:p w14:paraId="1224EA0B" w14:textId="77777777" w:rsidR="00530E91" w:rsidRPr="0009028A" w:rsidRDefault="00530E91" w:rsidP="00F1550E">
            <w:pPr>
              <w:spacing w:after="0" w:line="240" w:lineRule="auto"/>
              <w:jc w:val="center"/>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 xml:space="preserve"> Acciones </w:t>
            </w:r>
          </w:p>
        </w:tc>
        <w:tc>
          <w:tcPr>
            <w:tcW w:w="2067" w:type="dxa"/>
            <w:shd w:val="clear" w:color="auto" w:fill="auto"/>
            <w:noWrap/>
            <w:vAlign w:val="center"/>
            <w:hideMark/>
          </w:tcPr>
          <w:p w14:paraId="2D335C73" w14:textId="77777777" w:rsidR="00530E91" w:rsidRPr="0009028A" w:rsidRDefault="00530E91" w:rsidP="00F1550E">
            <w:pPr>
              <w:spacing w:after="0" w:line="240" w:lineRule="auto"/>
              <w:jc w:val="center"/>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 xml:space="preserve"> $ anuales por acción </w:t>
            </w:r>
          </w:p>
        </w:tc>
        <w:tc>
          <w:tcPr>
            <w:tcW w:w="1806" w:type="dxa"/>
            <w:shd w:val="clear" w:color="auto" w:fill="auto"/>
            <w:noWrap/>
            <w:vAlign w:val="center"/>
            <w:hideMark/>
          </w:tcPr>
          <w:p w14:paraId="266E60F3" w14:textId="77777777" w:rsidR="00530E91" w:rsidRPr="0009028A" w:rsidRDefault="00530E91" w:rsidP="00F1550E">
            <w:pPr>
              <w:spacing w:after="0" w:line="240" w:lineRule="auto"/>
              <w:jc w:val="center"/>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201</w:t>
            </w:r>
            <w:r w:rsidR="006F5AC8" w:rsidRPr="0009028A">
              <w:rPr>
                <w:rFonts w:ascii="Arial" w:eastAsia="Times New Roman" w:hAnsi="Arial" w:cs="Arial"/>
                <w:b/>
                <w:bCs/>
                <w:color w:val="103475"/>
                <w:sz w:val="18"/>
                <w:szCs w:val="18"/>
                <w:lang w:val="es-ES" w:eastAsia="es-ES"/>
              </w:rPr>
              <w:t>9</w:t>
            </w:r>
          </w:p>
        </w:tc>
      </w:tr>
      <w:tr w:rsidR="00530E91" w:rsidRPr="0009028A" w14:paraId="58F91D9C" w14:textId="77777777" w:rsidTr="00ED50FC">
        <w:trPr>
          <w:trHeight w:val="60"/>
        </w:trPr>
        <w:tc>
          <w:tcPr>
            <w:tcW w:w="4678" w:type="dxa"/>
            <w:shd w:val="clear" w:color="auto" w:fill="auto"/>
            <w:noWrap/>
            <w:vAlign w:val="center"/>
            <w:hideMark/>
          </w:tcPr>
          <w:p w14:paraId="133F9F9A" w14:textId="77777777" w:rsidR="00530E91" w:rsidRPr="0009028A" w:rsidRDefault="00530E91" w:rsidP="00F1550E">
            <w:pPr>
              <w:spacing w:after="0" w:line="240" w:lineRule="auto"/>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val="es-ES" w:eastAsia="es-ES"/>
              </w:rPr>
              <w:t xml:space="preserve"> Dividendo ordinari</w:t>
            </w:r>
            <w:r w:rsidR="00812D5E" w:rsidRPr="0009028A">
              <w:rPr>
                <w:rFonts w:ascii="Arial" w:eastAsia="Times New Roman" w:hAnsi="Arial" w:cs="Arial"/>
                <w:color w:val="000000"/>
                <w:sz w:val="18"/>
                <w:szCs w:val="18"/>
                <w:lang w:val="es-ES" w:eastAsia="es-ES"/>
              </w:rPr>
              <w:t>o</w:t>
            </w:r>
          </w:p>
        </w:tc>
        <w:tc>
          <w:tcPr>
            <w:tcW w:w="1418" w:type="dxa"/>
            <w:shd w:val="clear" w:color="auto" w:fill="auto"/>
            <w:noWrap/>
            <w:vAlign w:val="center"/>
          </w:tcPr>
          <w:p w14:paraId="0ADA9B5C" w14:textId="77777777" w:rsidR="00530E91" w:rsidRPr="0009028A" w:rsidRDefault="00B34336" w:rsidP="00F1550E">
            <w:pPr>
              <w:spacing w:after="0" w:line="240" w:lineRule="auto"/>
              <w:jc w:val="right"/>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val="es-ES" w:eastAsia="es-ES"/>
              </w:rPr>
              <w:t>196.046.822</w:t>
            </w:r>
          </w:p>
        </w:tc>
        <w:tc>
          <w:tcPr>
            <w:tcW w:w="2067" w:type="dxa"/>
            <w:shd w:val="clear" w:color="auto" w:fill="auto"/>
            <w:noWrap/>
            <w:vAlign w:val="center"/>
            <w:hideMark/>
          </w:tcPr>
          <w:p w14:paraId="7F86C5AD" w14:textId="77777777" w:rsidR="00530E91" w:rsidRPr="0009028A" w:rsidRDefault="00B34336" w:rsidP="00F1550E">
            <w:pPr>
              <w:spacing w:after="0" w:line="240" w:lineRule="auto"/>
              <w:jc w:val="center"/>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val="es-ES" w:eastAsia="es-ES"/>
              </w:rPr>
              <w:t>255</w:t>
            </w:r>
          </w:p>
        </w:tc>
        <w:tc>
          <w:tcPr>
            <w:tcW w:w="1806" w:type="dxa"/>
            <w:shd w:val="clear" w:color="auto" w:fill="auto"/>
            <w:noWrap/>
            <w:vAlign w:val="center"/>
          </w:tcPr>
          <w:p w14:paraId="705A72F5" w14:textId="77777777" w:rsidR="00530E91" w:rsidRPr="0009028A" w:rsidRDefault="00B34336" w:rsidP="00F1550E">
            <w:pPr>
              <w:tabs>
                <w:tab w:val="decimal" w:pos="1335"/>
              </w:tabs>
              <w:spacing w:after="0" w:line="240" w:lineRule="auto"/>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val="es-ES" w:eastAsia="es-ES"/>
              </w:rPr>
              <w:t>50.000.000</w:t>
            </w:r>
          </w:p>
        </w:tc>
      </w:tr>
      <w:tr w:rsidR="00530E91" w:rsidRPr="0009028A" w14:paraId="2ADCEAEF" w14:textId="77777777" w:rsidTr="00ED50FC">
        <w:trPr>
          <w:trHeight w:val="227"/>
        </w:trPr>
        <w:tc>
          <w:tcPr>
            <w:tcW w:w="4678" w:type="dxa"/>
            <w:shd w:val="clear" w:color="auto" w:fill="auto"/>
            <w:noWrap/>
            <w:vAlign w:val="center"/>
            <w:hideMark/>
          </w:tcPr>
          <w:p w14:paraId="67F1C635" w14:textId="77777777" w:rsidR="00530E91" w:rsidRPr="0009028A" w:rsidRDefault="00530E91" w:rsidP="00F1550E">
            <w:pPr>
              <w:spacing w:after="0" w:line="240" w:lineRule="auto"/>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 xml:space="preserve"> Total </w:t>
            </w:r>
          </w:p>
        </w:tc>
        <w:tc>
          <w:tcPr>
            <w:tcW w:w="1418" w:type="dxa"/>
            <w:shd w:val="clear" w:color="auto" w:fill="auto"/>
            <w:noWrap/>
            <w:vAlign w:val="center"/>
          </w:tcPr>
          <w:p w14:paraId="414DC59B" w14:textId="77777777" w:rsidR="00530E91" w:rsidRPr="0009028A" w:rsidRDefault="00B34336" w:rsidP="00F1550E">
            <w:pPr>
              <w:spacing w:after="0" w:line="240" w:lineRule="auto"/>
              <w:jc w:val="right"/>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196.046.822</w:t>
            </w:r>
          </w:p>
        </w:tc>
        <w:tc>
          <w:tcPr>
            <w:tcW w:w="2067" w:type="dxa"/>
            <w:shd w:val="clear" w:color="auto" w:fill="auto"/>
            <w:noWrap/>
            <w:vAlign w:val="center"/>
            <w:hideMark/>
          </w:tcPr>
          <w:p w14:paraId="5FA2A9CB" w14:textId="77777777" w:rsidR="00530E91" w:rsidRPr="0009028A" w:rsidRDefault="00530E91" w:rsidP="00F1550E">
            <w:pPr>
              <w:spacing w:after="0" w:line="240" w:lineRule="auto"/>
              <w:jc w:val="center"/>
              <w:rPr>
                <w:rFonts w:ascii="Arial" w:eastAsia="Times New Roman" w:hAnsi="Arial" w:cs="Arial"/>
                <w:color w:val="103475"/>
                <w:sz w:val="18"/>
                <w:szCs w:val="18"/>
                <w:lang w:val="es-ES" w:eastAsia="es-ES"/>
              </w:rPr>
            </w:pPr>
          </w:p>
        </w:tc>
        <w:tc>
          <w:tcPr>
            <w:tcW w:w="1806" w:type="dxa"/>
            <w:shd w:val="clear" w:color="auto" w:fill="auto"/>
            <w:noWrap/>
            <w:vAlign w:val="center"/>
          </w:tcPr>
          <w:p w14:paraId="7E58AC74" w14:textId="77777777" w:rsidR="00530E91" w:rsidRPr="0009028A" w:rsidRDefault="00B34336" w:rsidP="00F1550E">
            <w:pPr>
              <w:tabs>
                <w:tab w:val="decimal" w:pos="1335"/>
              </w:tabs>
              <w:spacing w:after="0" w:line="240" w:lineRule="auto"/>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50.000.000</w:t>
            </w:r>
          </w:p>
        </w:tc>
      </w:tr>
    </w:tbl>
    <w:p w14:paraId="638A3E5F" w14:textId="5CAA537C" w:rsidR="00FF7BFA" w:rsidRPr="0009028A" w:rsidRDefault="00FF7BFA" w:rsidP="008B5836">
      <w:pPr>
        <w:spacing w:after="0" w:line="240" w:lineRule="auto"/>
        <w:rPr>
          <w:rFonts w:ascii="Arial" w:eastAsia="Arial" w:hAnsi="Arial" w:cs="Arial"/>
          <w:sz w:val="20"/>
          <w:szCs w:val="20"/>
          <w:highlight w:val="yellow"/>
          <w:lang w:val="es-AR"/>
        </w:rPr>
      </w:pPr>
    </w:p>
    <w:p w14:paraId="49879E13" w14:textId="06D679D1" w:rsidR="008B5836" w:rsidRPr="0009028A" w:rsidRDefault="00F91521" w:rsidP="00D100F1">
      <w:pPr>
        <w:pStyle w:val="Ttulo1"/>
        <w:rPr>
          <w:color w:val="FF0000"/>
        </w:rPr>
      </w:pPr>
      <w:bookmarkStart w:id="328" w:name="_Toc506991951"/>
      <w:bookmarkStart w:id="329" w:name="_Toc8735117"/>
      <w:bookmarkStart w:id="330" w:name="_Hlk506979293"/>
      <w:bookmarkEnd w:id="312"/>
      <w:r w:rsidRPr="0009028A">
        <w:t xml:space="preserve">Nota </w:t>
      </w:r>
      <w:r w:rsidR="009B5911" w:rsidRPr="0009028A">
        <w:t>1</w:t>
      </w:r>
      <w:r w:rsidR="00964E83">
        <w:t>9</w:t>
      </w:r>
      <w:r w:rsidRPr="0009028A">
        <w:t>: Ingreso de actividades ordinarias</w:t>
      </w:r>
      <w:bookmarkEnd w:id="328"/>
      <w:bookmarkEnd w:id="329"/>
    </w:p>
    <w:bookmarkEnd w:id="330"/>
    <w:p w14:paraId="72C81764" w14:textId="77777777" w:rsidR="005D2B29" w:rsidRPr="0009028A" w:rsidRDefault="008B5836" w:rsidP="008B5836">
      <w:pPr>
        <w:spacing w:after="0" w:line="262" w:lineRule="auto"/>
        <w:ind w:right="276"/>
        <w:jc w:val="both"/>
        <w:rPr>
          <w:rFonts w:ascii="Arial" w:hAnsi="Arial" w:cs="Arial"/>
          <w:sz w:val="20"/>
          <w:szCs w:val="20"/>
        </w:rPr>
      </w:pPr>
      <w:r w:rsidRPr="0009028A">
        <w:rPr>
          <w:rFonts w:ascii="Arial" w:hAnsi="Arial" w:cs="Arial"/>
          <w:sz w:val="20"/>
          <w:szCs w:val="20"/>
        </w:rPr>
        <w:t>A continuación, se presenta un análisis de los ingresos de actividades ordinarias de la Compañía</w:t>
      </w:r>
      <w:r w:rsidR="009758C0" w:rsidRPr="0009028A">
        <w:rPr>
          <w:rFonts w:ascii="Arial" w:hAnsi="Arial" w:cs="Arial"/>
          <w:sz w:val="20"/>
          <w:szCs w:val="20"/>
        </w:rPr>
        <w:t xml:space="preserve"> a 3</w:t>
      </w:r>
      <w:r w:rsidR="006F5AC8" w:rsidRPr="0009028A">
        <w:rPr>
          <w:rFonts w:ascii="Arial" w:hAnsi="Arial" w:cs="Arial"/>
          <w:sz w:val="20"/>
          <w:szCs w:val="20"/>
        </w:rPr>
        <w:t>1</w:t>
      </w:r>
      <w:r w:rsidR="009758C0" w:rsidRPr="0009028A">
        <w:rPr>
          <w:rFonts w:ascii="Arial" w:hAnsi="Arial" w:cs="Arial"/>
          <w:sz w:val="20"/>
          <w:szCs w:val="20"/>
        </w:rPr>
        <w:t xml:space="preserve"> de </w:t>
      </w:r>
      <w:r w:rsidR="006F5AC8" w:rsidRPr="0009028A">
        <w:rPr>
          <w:rFonts w:ascii="Arial" w:hAnsi="Arial" w:cs="Arial"/>
          <w:sz w:val="20"/>
          <w:szCs w:val="20"/>
        </w:rPr>
        <w:t>marzo</w:t>
      </w:r>
      <w:r w:rsidR="00BD43A1" w:rsidRPr="0009028A">
        <w:rPr>
          <w:rFonts w:ascii="Arial" w:hAnsi="Arial" w:cs="Arial"/>
          <w:sz w:val="20"/>
          <w:szCs w:val="20"/>
        </w:rPr>
        <w:t>:</w:t>
      </w:r>
    </w:p>
    <w:tbl>
      <w:tblPr>
        <w:tblW w:w="5000" w:type="pct"/>
        <w:jc w:val="center"/>
        <w:tblCellMar>
          <w:left w:w="70" w:type="dxa"/>
          <w:right w:w="70" w:type="dxa"/>
        </w:tblCellMar>
        <w:tblLook w:val="04A0" w:firstRow="1" w:lastRow="0" w:firstColumn="1" w:lastColumn="0" w:noHBand="0" w:noVBand="1"/>
      </w:tblPr>
      <w:tblGrid>
        <w:gridCol w:w="5298"/>
        <w:gridCol w:w="2498"/>
        <w:gridCol w:w="2125"/>
      </w:tblGrid>
      <w:tr w:rsidR="006F5AC8" w:rsidRPr="0009028A" w14:paraId="78A683A9" w14:textId="77777777" w:rsidTr="00ED50FC">
        <w:trPr>
          <w:trHeight w:val="246"/>
          <w:jc w:val="center"/>
        </w:trPr>
        <w:tc>
          <w:tcPr>
            <w:tcW w:w="2670" w:type="pct"/>
            <w:shd w:val="clear" w:color="auto" w:fill="auto"/>
            <w:vAlign w:val="center"/>
          </w:tcPr>
          <w:p w14:paraId="01364507" w14:textId="77777777" w:rsidR="006F5AC8" w:rsidRPr="0009028A" w:rsidRDefault="006F5AC8" w:rsidP="00866451">
            <w:pPr>
              <w:spacing w:after="0" w:line="240" w:lineRule="auto"/>
              <w:rPr>
                <w:rFonts w:ascii="Arial" w:eastAsia="Times New Roman" w:hAnsi="Arial" w:cs="Arial"/>
                <w:color w:val="000000"/>
                <w:lang w:eastAsia="es-CO"/>
              </w:rPr>
            </w:pPr>
          </w:p>
        </w:tc>
        <w:tc>
          <w:tcPr>
            <w:tcW w:w="2330" w:type="pct"/>
            <w:gridSpan w:val="2"/>
            <w:shd w:val="clear" w:color="auto" w:fill="auto"/>
            <w:vAlign w:val="center"/>
          </w:tcPr>
          <w:p w14:paraId="1A02CE06" w14:textId="77777777" w:rsidR="006F5AC8" w:rsidRPr="0009028A" w:rsidRDefault="006F5AC8" w:rsidP="00866451">
            <w:pPr>
              <w:spacing w:after="0" w:line="240" w:lineRule="auto"/>
              <w:jc w:val="center"/>
              <w:rPr>
                <w:rFonts w:ascii="Arial" w:eastAsia="Times New Roman" w:hAnsi="Arial" w:cs="Arial"/>
                <w:b/>
                <w:bCs/>
                <w:sz w:val="18"/>
                <w:szCs w:val="18"/>
                <w:lang w:eastAsia="es-CO"/>
              </w:rPr>
            </w:pPr>
          </w:p>
        </w:tc>
      </w:tr>
      <w:tr w:rsidR="00ED50FC" w:rsidRPr="0009028A" w14:paraId="698E6456" w14:textId="77777777" w:rsidTr="00A01FEB">
        <w:trPr>
          <w:trHeight w:val="89"/>
          <w:jc w:val="center"/>
        </w:trPr>
        <w:tc>
          <w:tcPr>
            <w:tcW w:w="2670" w:type="pct"/>
            <w:shd w:val="clear" w:color="auto" w:fill="auto"/>
            <w:vAlign w:val="center"/>
            <w:hideMark/>
          </w:tcPr>
          <w:p w14:paraId="2715DAAD" w14:textId="3B234353" w:rsidR="00ED50FC" w:rsidRPr="0009028A" w:rsidRDefault="00ED50FC" w:rsidP="00ED50FC">
            <w:pPr>
              <w:spacing w:after="0" w:line="240" w:lineRule="auto"/>
              <w:rPr>
                <w:rFonts w:ascii="Arial" w:eastAsia="Times New Roman" w:hAnsi="Arial" w:cs="Arial"/>
                <w:color w:val="000000"/>
                <w:lang w:eastAsia="es-CO"/>
              </w:rPr>
            </w:pPr>
          </w:p>
        </w:tc>
        <w:tc>
          <w:tcPr>
            <w:tcW w:w="1259" w:type="pct"/>
            <w:shd w:val="clear" w:color="auto" w:fill="auto"/>
            <w:vAlign w:val="center"/>
            <w:hideMark/>
          </w:tcPr>
          <w:p w14:paraId="0C72ECDA" w14:textId="77777777" w:rsidR="00ED50FC" w:rsidRPr="0009028A" w:rsidRDefault="00ED50FC" w:rsidP="00A01FEB">
            <w:pPr>
              <w:spacing w:after="0" w:line="240" w:lineRule="auto"/>
              <w:jc w:val="center"/>
              <w:rPr>
                <w:rFonts w:ascii="Arial" w:eastAsia="Times New Roman" w:hAnsi="Arial" w:cs="Arial"/>
                <w:b/>
                <w:bCs/>
                <w:sz w:val="18"/>
                <w:szCs w:val="18"/>
                <w:lang w:eastAsia="es-CO"/>
              </w:rPr>
            </w:pPr>
            <w:r w:rsidRPr="0009028A">
              <w:rPr>
                <w:rFonts w:ascii="Arial" w:eastAsia="Times New Roman" w:hAnsi="Arial" w:cs="Arial"/>
                <w:b/>
                <w:bCs/>
                <w:color w:val="103475"/>
                <w:sz w:val="18"/>
                <w:szCs w:val="18"/>
                <w:lang w:val="es-ES" w:eastAsia="es-ES"/>
              </w:rPr>
              <w:t>Marzo 2019</w:t>
            </w:r>
          </w:p>
        </w:tc>
        <w:tc>
          <w:tcPr>
            <w:tcW w:w="1071" w:type="pct"/>
            <w:shd w:val="clear" w:color="auto" w:fill="auto"/>
            <w:vAlign w:val="center"/>
          </w:tcPr>
          <w:p w14:paraId="2FF51E0B" w14:textId="3158734D" w:rsidR="00ED50FC" w:rsidRPr="0009028A" w:rsidRDefault="00F01816" w:rsidP="00A01FEB">
            <w:pPr>
              <w:spacing w:after="0" w:line="240" w:lineRule="auto"/>
              <w:jc w:val="center"/>
              <w:rPr>
                <w:rFonts w:ascii="Arial" w:eastAsia="Times New Roman" w:hAnsi="Arial" w:cs="Arial"/>
                <w:b/>
                <w:bCs/>
                <w:sz w:val="18"/>
                <w:szCs w:val="18"/>
                <w:lang w:eastAsia="es-CO"/>
              </w:rPr>
            </w:pPr>
            <w:r w:rsidRPr="0009028A">
              <w:rPr>
                <w:rFonts w:ascii="Arial" w:eastAsia="Times New Roman" w:hAnsi="Arial" w:cs="Arial"/>
                <w:b/>
                <w:bCs/>
                <w:color w:val="103475"/>
                <w:sz w:val="18"/>
                <w:szCs w:val="18"/>
                <w:lang w:val="es-ES" w:eastAsia="es-ES"/>
              </w:rPr>
              <w:t xml:space="preserve">Marzo </w:t>
            </w:r>
            <w:r w:rsidR="00ED50FC" w:rsidRPr="0009028A">
              <w:rPr>
                <w:rFonts w:ascii="Arial" w:eastAsia="Times New Roman" w:hAnsi="Arial" w:cs="Arial"/>
                <w:b/>
                <w:bCs/>
                <w:color w:val="103475"/>
                <w:sz w:val="18"/>
                <w:szCs w:val="18"/>
                <w:lang w:val="es-ES" w:eastAsia="es-ES"/>
              </w:rPr>
              <w:t>2018</w:t>
            </w:r>
          </w:p>
        </w:tc>
      </w:tr>
      <w:tr w:rsidR="006F5AC8" w:rsidRPr="0009028A" w14:paraId="49BDB907" w14:textId="77777777" w:rsidTr="00ED50FC">
        <w:trPr>
          <w:trHeight w:val="246"/>
          <w:jc w:val="center"/>
        </w:trPr>
        <w:tc>
          <w:tcPr>
            <w:tcW w:w="2670" w:type="pct"/>
            <w:shd w:val="clear" w:color="auto" w:fill="auto"/>
            <w:vAlign w:val="center"/>
          </w:tcPr>
          <w:p w14:paraId="16AC1701" w14:textId="77777777" w:rsidR="006F5AC8" w:rsidRPr="0009028A" w:rsidRDefault="006F5AC8" w:rsidP="00774738">
            <w:pPr>
              <w:spacing w:after="0" w:line="240" w:lineRule="auto"/>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val="es-ES" w:eastAsia="es-ES"/>
              </w:rPr>
              <w:t>Método de participación (</w:t>
            </w:r>
            <w:r w:rsidR="00235983" w:rsidRPr="0009028A">
              <w:rPr>
                <w:rFonts w:ascii="Arial" w:eastAsia="Times New Roman" w:hAnsi="Arial" w:cs="Arial"/>
                <w:color w:val="000000"/>
                <w:sz w:val="18"/>
                <w:szCs w:val="18"/>
                <w:lang w:val="es-ES" w:eastAsia="es-ES"/>
              </w:rPr>
              <w:t>1</w:t>
            </w:r>
            <w:r w:rsidRPr="0009028A">
              <w:rPr>
                <w:rFonts w:ascii="Arial" w:eastAsia="Times New Roman" w:hAnsi="Arial" w:cs="Arial"/>
                <w:color w:val="000000"/>
                <w:sz w:val="18"/>
                <w:szCs w:val="18"/>
                <w:lang w:val="es-ES" w:eastAsia="es-ES"/>
              </w:rPr>
              <w:t>)</w:t>
            </w:r>
          </w:p>
        </w:tc>
        <w:tc>
          <w:tcPr>
            <w:tcW w:w="1259" w:type="pct"/>
            <w:shd w:val="clear" w:color="auto" w:fill="auto"/>
            <w:vAlign w:val="center"/>
          </w:tcPr>
          <w:p w14:paraId="62FB3A15" w14:textId="77777777" w:rsidR="006F5AC8" w:rsidRPr="0009028A" w:rsidRDefault="00ED50FC" w:rsidP="00774738">
            <w:pPr>
              <w:spacing w:after="0" w:line="240" w:lineRule="auto"/>
              <w:jc w:val="right"/>
              <w:rPr>
                <w:rFonts w:ascii="Arial" w:eastAsia="Times New Roman" w:hAnsi="Arial" w:cs="Arial"/>
                <w:sz w:val="18"/>
                <w:szCs w:val="18"/>
                <w:lang w:eastAsia="es-CO"/>
              </w:rPr>
            </w:pPr>
            <w:r w:rsidRPr="0009028A">
              <w:rPr>
                <w:rFonts w:ascii="Arial" w:eastAsia="Times New Roman" w:hAnsi="Arial" w:cs="Arial"/>
                <w:sz w:val="18"/>
                <w:szCs w:val="18"/>
                <w:lang w:eastAsia="es-CO"/>
              </w:rPr>
              <w:t xml:space="preserve">$         </w:t>
            </w:r>
            <w:r w:rsidR="00A512E9" w:rsidRPr="0009028A">
              <w:rPr>
                <w:rFonts w:ascii="Arial" w:eastAsia="Times New Roman" w:hAnsi="Arial" w:cs="Arial"/>
                <w:sz w:val="18"/>
                <w:szCs w:val="18"/>
                <w:lang w:eastAsia="es-CO"/>
              </w:rPr>
              <w:t>62.752.388</w:t>
            </w:r>
          </w:p>
        </w:tc>
        <w:tc>
          <w:tcPr>
            <w:tcW w:w="1071" w:type="pct"/>
            <w:shd w:val="clear" w:color="auto" w:fill="auto"/>
            <w:vAlign w:val="center"/>
          </w:tcPr>
          <w:p w14:paraId="5AF024B9" w14:textId="77777777" w:rsidR="006F5AC8" w:rsidRPr="0009028A" w:rsidRDefault="00A512E9" w:rsidP="00774738">
            <w:pPr>
              <w:spacing w:after="0" w:line="240" w:lineRule="auto"/>
              <w:jc w:val="right"/>
              <w:rPr>
                <w:rFonts w:ascii="Arial" w:eastAsia="Times New Roman" w:hAnsi="Arial" w:cs="Arial"/>
                <w:sz w:val="18"/>
                <w:szCs w:val="18"/>
                <w:lang w:eastAsia="es-CO"/>
              </w:rPr>
            </w:pPr>
            <w:r w:rsidRPr="0009028A">
              <w:rPr>
                <w:rFonts w:ascii="Arial" w:eastAsia="Times New Roman" w:hAnsi="Arial" w:cs="Arial"/>
                <w:sz w:val="18"/>
                <w:szCs w:val="18"/>
                <w:lang w:eastAsia="es-CO"/>
              </w:rPr>
              <w:t>59.731.721</w:t>
            </w:r>
          </w:p>
        </w:tc>
      </w:tr>
      <w:tr w:rsidR="006F5AC8" w:rsidRPr="0009028A" w14:paraId="60A96C0E" w14:textId="77777777" w:rsidTr="00ED50FC">
        <w:trPr>
          <w:trHeight w:val="246"/>
          <w:jc w:val="center"/>
        </w:trPr>
        <w:tc>
          <w:tcPr>
            <w:tcW w:w="2670" w:type="pct"/>
            <w:shd w:val="clear" w:color="auto" w:fill="auto"/>
            <w:vAlign w:val="center"/>
          </w:tcPr>
          <w:p w14:paraId="0E7029FF" w14:textId="77777777" w:rsidR="006F5AC8" w:rsidRPr="0009028A" w:rsidRDefault="006F5AC8" w:rsidP="00774738">
            <w:pPr>
              <w:spacing w:after="0" w:line="240" w:lineRule="auto"/>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val="es-ES" w:eastAsia="es-ES"/>
              </w:rPr>
              <w:t>Actividad financiera (</w:t>
            </w:r>
            <w:r w:rsidR="00235983" w:rsidRPr="0009028A">
              <w:rPr>
                <w:rFonts w:ascii="Arial" w:eastAsia="Times New Roman" w:hAnsi="Arial" w:cs="Arial"/>
                <w:color w:val="000000"/>
                <w:sz w:val="18"/>
                <w:szCs w:val="18"/>
                <w:lang w:val="es-ES" w:eastAsia="es-ES"/>
              </w:rPr>
              <w:t>2</w:t>
            </w:r>
            <w:r w:rsidRPr="0009028A">
              <w:rPr>
                <w:rFonts w:ascii="Arial" w:eastAsia="Times New Roman" w:hAnsi="Arial" w:cs="Arial"/>
                <w:color w:val="000000"/>
                <w:sz w:val="18"/>
                <w:szCs w:val="18"/>
                <w:lang w:val="es-ES" w:eastAsia="es-ES"/>
              </w:rPr>
              <w:t>)</w:t>
            </w:r>
          </w:p>
        </w:tc>
        <w:tc>
          <w:tcPr>
            <w:tcW w:w="1259" w:type="pct"/>
            <w:shd w:val="clear" w:color="auto" w:fill="auto"/>
            <w:vAlign w:val="center"/>
          </w:tcPr>
          <w:p w14:paraId="0007D70F" w14:textId="77777777" w:rsidR="006F5AC8" w:rsidRPr="0009028A" w:rsidRDefault="00A512E9" w:rsidP="00774738">
            <w:pPr>
              <w:spacing w:after="0" w:line="240" w:lineRule="auto"/>
              <w:jc w:val="right"/>
              <w:rPr>
                <w:rFonts w:ascii="Arial" w:eastAsia="Times New Roman" w:hAnsi="Arial" w:cs="Arial"/>
                <w:sz w:val="18"/>
                <w:szCs w:val="18"/>
                <w:lang w:eastAsia="es-CO"/>
              </w:rPr>
            </w:pPr>
            <w:r w:rsidRPr="0009028A">
              <w:rPr>
                <w:rFonts w:ascii="Arial" w:eastAsia="Times New Roman" w:hAnsi="Arial" w:cs="Arial"/>
                <w:sz w:val="18"/>
                <w:szCs w:val="18"/>
                <w:lang w:eastAsia="es-CO"/>
              </w:rPr>
              <w:t>7.423.855</w:t>
            </w:r>
          </w:p>
        </w:tc>
        <w:tc>
          <w:tcPr>
            <w:tcW w:w="1071" w:type="pct"/>
            <w:shd w:val="clear" w:color="auto" w:fill="auto"/>
            <w:vAlign w:val="center"/>
          </w:tcPr>
          <w:p w14:paraId="47D20F80" w14:textId="77777777" w:rsidR="006F5AC8" w:rsidRPr="0009028A" w:rsidRDefault="00A512E9" w:rsidP="0077473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8.104.486</w:t>
            </w:r>
          </w:p>
        </w:tc>
      </w:tr>
      <w:tr w:rsidR="00A512E9" w:rsidRPr="0009028A" w14:paraId="09C7675B" w14:textId="77777777" w:rsidTr="00ED50FC">
        <w:trPr>
          <w:trHeight w:val="246"/>
          <w:jc w:val="center"/>
        </w:trPr>
        <w:tc>
          <w:tcPr>
            <w:tcW w:w="2670" w:type="pct"/>
            <w:shd w:val="clear" w:color="auto" w:fill="auto"/>
            <w:vAlign w:val="center"/>
          </w:tcPr>
          <w:p w14:paraId="5EA3324C" w14:textId="2A8D3B43" w:rsidR="00A512E9" w:rsidRPr="0009028A" w:rsidRDefault="00D03A61" w:rsidP="00A512E9">
            <w:pPr>
              <w:spacing w:after="0" w:line="240" w:lineRule="auto"/>
              <w:rPr>
                <w:rFonts w:ascii="Arial" w:eastAsia="Times New Roman" w:hAnsi="Arial" w:cs="Arial"/>
                <w:color w:val="000000"/>
                <w:sz w:val="18"/>
                <w:szCs w:val="18"/>
                <w:lang w:val="es-ES" w:eastAsia="es-ES"/>
              </w:rPr>
            </w:pPr>
            <w:r w:rsidRPr="0009028A">
              <w:rPr>
                <w:rFonts w:ascii="Arial" w:eastAsia="Times New Roman" w:hAnsi="Arial" w:cs="Arial"/>
                <w:color w:val="000000"/>
                <w:sz w:val="18"/>
                <w:szCs w:val="18"/>
                <w:lang w:val="es-ES" w:eastAsia="es-ES"/>
              </w:rPr>
              <w:t>Construcción</w:t>
            </w:r>
          </w:p>
        </w:tc>
        <w:tc>
          <w:tcPr>
            <w:tcW w:w="1259" w:type="pct"/>
            <w:shd w:val="clear" w:color="auto" w:fill="auto"/>
            <w:vAlign w:val="center"/>
          </w:tcPr>
          <w:p w14:paraId="35CD65F3" w14:textId="77777777" w:rsidR="00A512E9" w:rsidRPr="0009028A" w:rsidRDefault="00ED50FC" w:rsidP="00A512E9">
            <w:pPr>
              <w:spacing w:after="0" w:line="240" w:lineRule="auto"/>
              <w:jc w:val="right"/>
              <w:rPr>
                <w:rFonts w:ascii="Arial" w:eastAsia="Times New Roman" w:hAnsi="Arial" w:cs="Arial"/>
                <w:sz w:val="18"/>
                <w:szCs w:val="18"/>
                <w:u w:val="single"/>
                <w:lang w:eastAsia="es-CO"/>
              </w:rPr>
            </w:pPr>
            <w:r w:rsidRPr="0009028A">
              <w:rPr>
                <w:rFonts w:ascii="Arial" w:eastAsia="Times New Roman" w:hAnsi="Arial" w:cs="Arial"/>
                <w:sz w:val="18"/>
                <w:szCs w:val="18"/>
                <w:u w:val="single"/>
                <w:lang w:eastAsia="es-CO"/>
              </w:rPr>
              <w:t xml:space="preserve">        </w:t>
            </w:r>
            <w:r w:rsidR="00A512E9" w:rsidRPr="0009028A">
              <w:rPr>
                <w:rFonts w:ascii="Arial" w:eastAsia="Times New Roman" w:hAnsi="Arial" w:cs="Arial"/>
                <w:sz w:val="18"/>
                <w:szCs w:val="18"/>
                <w:u w:val="single"/>
                <w:lang w:eastAsia="es-CO"/>
              </w:rPr>
              <w:t>472.098</w:t>
            </w:r>
          </w:p>
        </w:tc>
        <w:tc>
          <w:tcPr>
            <w:tcW w:w="1071" w:type="pct"/>
            <w:shd w:val="clear" w:color="auto" w:fill="auto"/>
            <w:vAlign w:val="center"/>
          </w:tcPr>
          <w:p w14:paraId="23CCFB0A" w14:textId="77777777" w:rsidR="00A512E9" w:rsidRPr="0009028A" w:rsidRDefault="00ED50FC" w:rsidP="00A512E9">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 xml:space="preserve">          </w:t>
            </w:r>
            <w:r w:rsidR="00A512E9" w:rsidRPr="0009028A">
              <w:rPr>
                <w:rFonts w:ascii="Arial" w:eastAsia="Times New Roman" w:hAnsi="Arial" w:cs="Arial"/>
                <w:color w:val="000000"/>
                <w:sz w:val="18"/>
                <w:szCs w:val="18"/>
                <w:u w:val="single"/>
                <w:lang w:eastAsia="es-CO"/>
              </w:rPr>
              <w:t>148.960</w:t>
            </w:r>
          </w:p>
        </w:tc>
      </w:tr>
      <w:tr w:rsidR="00A512E9" w:rsidRPr="0009028A" w14:paraId="160F8F64" w14:textId="77777777" w:rsidTr="00ED50FC">
        <w:trPr>
          <w:trHeight w:val="246"/>
          <w:jc w:val="center"/>
        </w:trPr>
        <w:tc>
          <w:tcPr>
            <w:tcW w:w="2670" w:type="pct"/>
            <w:shd w:val="clear" w:color="auto" w:fill="auto"/>
            <w:vAlign w:val="center"/>
            <w:hideMark/>
          </w:tcPr>
          <w:p w14:paraId="41D4D4CB" w14:textId="77777777" w:rsidR="00A512E9" w:rsidRPr="0009028A" w:rsidRDefault="00A512E9" w:rsidP="00A512E9">
            <w:pPr>
              <w:spacing w:after="0" w:line="240" w:lineRule="auto"/>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val="es-ES" w:eastAsia="es-ES"/>
              </w:rPr>
              <w:t>Total Ingreso de actividades ordinarias</w:t>
            </w:r>
          </w:p>
        </w:tc>
        <w:tc>
          <w:tcPr>
            <w:tcW w:w="1259" w:type="pct"/>
            <w:shd w:val="clear" w:color="auto" w:fill="auto"/>
            <w:vAlign w:val="center"/>
            <w:hideMark/>
          </w:tcPr>
          <w:p w14:paraId="1CF43535" w14:textId="77777777" w:rsidR="00A512E9" w:rsidRPr="0009028A" w:rsidRDefault="00ED50FC" w:rsidP="00A512E9">
            <w:pPr>
              <w:spacing w:after="0" w:line="240" w:lineRule="auto"/>
              <w:jc w:val="right"/>
              <w:rPr>
                <w:rFonts w:ascii="Arial" w:hAnsi="Arial" w:cs="Arial"/>
                <w:b/>
                <w:bCs/>
                <w:color w:val="103475"/>
                <w:sz w:val="18"/>
                <w:szCs w:val="18"/>
                <w:u w:val="double"/>
              </w:rPr>
            </w:pPr>
            <w:r w:rsidRPr="0009028A">
              <w:rPr>
                <w:rFonts w:ascii="Arial" w:hAnsi="Arial" w:cs="Arial"/>
                <w:b/>
                <w:bCs/>
                <w:color w:val="103475"/>
                <w:sz w:val="18"/>
                <w:szCs w:val="18"/>
              </w:rPr>
              <w:t xml:space="preserve">$     </w:t>
            </w:r>
            <w:r w:rsidRPr="0009028A">
              <w:rPr>
                <w:rFonts w:ascii="Arial" w:hAnsi="Arial" w:cs="Arial"/>
                <w:b/>
                <w:bCs/>
                <w:color w:val="103475"/>
                <w:sz w:val="18"/>
                <w:szCs w:val="18"/>
                <w:u w:val="double"/>
              </w:rPr>
              <w:t xml:space="preserve">   </w:t>
            </w:r>
            <w:r w:rsidR="00C93A20" w:rsidRPr="0009028A">
              <w:rPr>
                <w:rFonts w:ascii="Arial" w:hAnsi="Arial" w:cs="Arial"/>
                <w:b/>
                <w:bCs/>
                <w:color w:val="103475"/>
                <w:sz w:val="18"/>
                <w:szCs w:val="18"/>
                <w:u w:val="double"/>
              </w:rPr>
              <w:t>70.648.341</w:t>
            </w:r>
            <w:r w:rsidR="00A512E9" w:rsidRPr="0009028A">
              <w:rPr>
                <w:rFonts w:ascii="Arial" w:hAnsi="Arial" w:cs="Arial"/>
                <w:b/>
                <w:bCs/>
                <w:color w:val="103475"/>
                <w:sz w:val="18"/>
                <w:szCs w:val="18"/>
                <w:u w:val="double"/>
              </w:rPr>
              <w:t xml:space="preserve"> </w:t>
            </w:r>
          </w:p>
        </w:tc>
        <w:tc>
          <w:tcPr>
            <w:tcW w:w="1071" w:type="pct"/>
            <w:shd w:val="clear" w:color="auto" w:fill="auto"/>
            <w:vAlign w:val="center"/>
          </w:tcPr>
          <w:p w14:paraId="5FA9F457" w14:textId="77777777" w:rsidR="00A512E9" w:rsidRPr="0009028A" w:rsidRDefault="00ED50FC" w:rsidP="00A512E9">
            <w:pPr>
              <w:spacing w:after="0" w:line="240" w:lineRule="auto"/>
              <w:jc w:val="right"/>
              <w:rPr>
                <w:rFonts w:ascii="Arial" w:hAnsi="Arial" w:cs="Arial"/>
                <w:b/>
                <w:bCs/>
                <w:color w:val="103475"/>
                <w:sz w:val="18"/>
                <w:szCs w:val="18"/>
                <w:u w:val="double"/>
              </w:rPr>
            </w:pPr>
            <w:r w:rsidRPr="0009028A">
              <w:rPr>
                <w:rFonts w:ascii="Arial" w:hAnsi="Arial" w:cs="Arial"/>
                <w:b/>
                <w:bCs/>
                <w:color w:val="103475"/>
                <w:sz w:val="18"/>
                <w:szCs w:val="18"/>
                <w:u w:val="double"/>
              </w:rPr>
              <w:t xml:space="preserve">     </w:t>
            </w:r>
            <w:r w:rsidR="00C93A20" w:rsidRPr="0009028A">
              <w:rPr>
                <w:rFonts w:ascii="Arial" w:hAnsi="Arial" w:cs="Arial"/>
                <w:b/>
                <w:bCs/>
                <w:color w:val="103475"/>
                <w:sz w:val="18"/>
                <w:szCs w:val="18"/>
                <w:u w:val="double"/>
              </w:rPr>
              <w:t>67.985.167</w:t>
            </w:r>
          </w:p>
        </w:tc>
      </w:tr>
    </w:tbl>
    <w:p w14:paraId="6DFCA460" w14:textId="77777777" w:rsidR="007D28E0" w:rsidRPr="0009028A" w:rsidRDefault="007D28E0" w:rsidP="00235983">
      <w:pPr>
        <w:autoSpaceDE w:val="0"/>
        <w:autoSpaceDN w:val="0"/>
        <w:adjustRightInd w:val="0"/>
        <w:spacing w:after="0" w:line="240" w:lineRule="auto"/>
        <w:jc w:val="both"/>
        <w:rPr>
          <w:rFonts w:ascii="Arial" w:hAnsi="Arial" w:cs="Arial"/>
          <w:sz w:val="20"/>
          <w:szCs w:val="20"/>
          <w:highlight w:val="yellow"/>
        </w:rPr>
      </w:pPr>
    </w:p>
    <w:p w14:paraId="103AE7CC" w14:textId="77777777" w:rsidR="008B5836" w:rsidRPr="0009028A" w:rsidRDefault="00235983" w:rsidP="00235983">
      <w:pPr>
        <w:autoSpaceDE w:val="0"/>
        <w:autoSpaceDN w:val="0"/>
        <w:adjustRightInd w:val="0"/>
        <w:spacing w:after="0" w:line="240" w:lineRule="auto"/>
        <w:jc w:val="both"/>
        <w:rPr>
          <w:rFonts w:ascii="Arial" w:hAnsi="Arial" w:cs="Arial"/>
          <w:sz w:val="20"/>
          <w:szCs w:val="20"/>
          <w:highlight w:val="yellow"/>
        </w:rPr>
      </w:pPr>
      <w:r w:rsidRPr="0009028A">
        <w:rPr>
          <w:rFonts w:ascii="Arial" w:hAnsi="Arial" w:cs="Arial"/>
          <w:sz w:val="20"/>
          <w:szCs w:val="20"/>
        </w:rPr>
        <w:t xml:space="preserve">(1) </w:t>
      </w:r>
      <w:r w:rsidR="00053008" w:rsidRPr="0009028A">
        <w:rPr>
          <w:rFonts w:ascii="Arial" w:hAnsi="Arial" w:cs="Arial"/>
          <w:sz w:val="20"/>
          <w:szCs w:val="20"/>
        </w:rPr>
        <w:t>A 31 de marzo corresponde a método de participación patrimonial de las siguientes subsidiarias, asociadas y negocios conjuntos: subsidiarias $42.634.466 (2018 $40.913.552), negocios conjuntos $11.186.363 (2018 $9.046.070), asociadas $8.931.559 (2018 $9.772.099):</w:t>
      </w:r>
    </w:p>
    <w:p w14:paraId="3EDB2665" w14:textId="77777777" w:rsidR="00053008" w:rsidRPr="0009028A" w:rsidRDefault="00053008" w:rsidP="00053008">
      <w:pPr>
        <w:autoSpaceDE w:val="0"/>
        <w:autoSpaceDN w:val="0"/>
        <w:adjustRightInd w:val="0"/>
        <w:spacing w:after="0" w:line="240" w:lineRule="auto"/>
        <w:jc w:val="both"/>
        <w:rPr>
          <w:rFonts w:ascii="Arial" w:hAnsi="Arial" w:cs="Arial"/>
          <w:sz w:val="20"/>
          <w:szCs w:val="20"/>
          <w:highlight w:val="yellow"/>
        </w:rPr>
      </w:pPr>
    </w:p>
    <w:tbl>
      <w:tblPr>
        <w:tblW w:w="10065" w:type="dxa"/>
        <w:tblCellMar>
          <w:left w:w="70" w:type="dxa"/>
          <w:right w:w="70" w:type="dxa"/>
        </w:tblCellMar>
        <w:tblLook w:val="04A0" w:firstRow="1" w:lastRow="0" w:firstColumn="1" w:lastColumn="0" w:noHBand="0" w:noVBand="1"/>
      </w:tblPr>
      <w:tblGrid>
        <w:gridCol w:w="4253"/>
        <w:gridCol w:w="2410"/>
        <w:gridCol w:w="1842"/>
        <w:gridCol w:w="1415"/>
        <w:gridCol w:w="145"/>
      </w:tblGrid>
      <w:tr w:rsidR="00ED50FC" w:rsidRPr="0009028A" w14:paraId="19DCF67D" w14:textId="77777777" w:rsidTr="00ED50FC">
        <w:trPr>
          <w:trHeight w:val="227"/>
        </w:trPr>
        <w:tc>
          <w:tcPr>
            <w:tcW w:w="4253" w:type="dxa"/>
            <w:shd w:val="clear" w:color="auto" w:fill="auto"/>
            <w:vAlign w:val="center"/>
            <w:hideMark/>
          </w:tcPr>
          <w:p w14:paraId="785CCDC0" w14:textId="77777777" w:rsidR="00ED50FC" w:rsidRPr="0009028A" w:rsidRDefault="00240AD3" w:rsidP="00703DFE">
            <w:pPr>
              <w:spacing w:after="0" w:line="240" w:lineRule="auto"/>
              <w:rPr>
                <w:rFonts w:ascii="Arial" w:eastAsia="Times New Roman" w:hAnsi="Arial" w:cs="Arial"/>
                <w:b/>
                <w:color w:val="002060"/>
                <w:sz w:val="18"/>
                <w:szCs w:val="18"/>
                <w:lang w:eastAsia="es-CO"/>
              </w:rPr>
            </w:pPr>
            <w:r w:rsidRPr="0009028A">
              <w:rPr>
                <w:rFonts w:ascii="Arial" w:eastAsia="Times New Roman" w:hAnsi="Arial" w:cs="Arial"/>
                <w:b/>
                <w:color w:val="002060"/>
                <w:sz w:val="18"/>
                <w:szCs w:val="18"/>
                <w:lang w:eastAsia="es-CO"/>
              </w:rPr>
              <w:t>Compañía</w:t>
            </w:r>
          </w:p>
        </w:tc>
        <w:tc>
          <w:tcPr>
            <w:tcW w:w="2410" w:type="dxa"/>
            <w:shd w:val="clear" w:color="auto" w:fill="auto"/>
            <w:vAlign w:val="center"/>
            <w:hideMark/>
          </w:tcPr>
          <w:p w14:paraId="1B4E2F85" w14:textId="07273702" w:rsidR="00ED50FC" w:rsidRPr="0009028A" w:rsidRDefault="00ED50FC" w:rsidP="00D03A61">
            <w:pPr>
              <w:spacing w:after="0" w:line="240" w:lineRule="auto"/>
              <w:jc w:val="center"/>
              <w:rPr>
                <w:rFonts w:ascii="Arial" w:eastAsia="Times New Roman" w:hAnsi="Arial" w:cs="Arial"/>
                <w:b/>
                <w:bCs/>
                <w:color w:val="002060"/>
                <w:sz w:val="18"/>
                <w:szCs w:val="18"/>
                <w:lang w:eastAsia="es-CO"/>
              </w:rPr>
            </w:pPr>
            <w:r w:rsidRPr="0009028A">
              <w:rPr>
                <w:rFonts w:ascii="Arial" w:eastAsia="Times New Roman" w:hAnsi="Arial" w:cs="Arial"/>
                <w:b/>
                <w:bCs/>
                <w:color w:val="002060"/>
                <w:sz w:val="18"/>
                <w:szCs w:val="18"/>
                <w:lang w:eastAsia="es-CO"/>
              </w:rPr>
              <w:t>Clasificación de la inversión</w:t>
            </w:r>
          </w:p>
        </w:tc>
        <w:tc>
          <w:tcPr>
            <w:tcW w:w="1842" w:type="dxa"/>
            <w:shd w:val="clear" w:color="auto" w:fill="auto"/>
            <w:noWrap/>
            <w:vAlign w:val="center"/>
            <w:hideMark/>
          </w:tcPr>
          <w:p w14:paraId="2181C308" w14:textId="77777777" w:rsidR="00ED50FC" w:rsidRPr="0009028A" w:rsidRDefault="00ED50FC" w:rsidP="00D03A61">
            <w:pPr>
              <w:spacing w:after="0" w:line="240" w:lineRule="auto"/>
              <w:jc w:val="center"/>
              <w:rPr>
                <w:rFonts w:ascii="Arial" w:eastAsia="Times New Roman" w:hAnsi="Arial" w:cs="Arial"/>
                <w:b/>
                <w:bCs/>
                <w:color w:val="002060"/>
                <w:sz w:val="18"/>
                <w:szCs w:val="18"/>
                <w:lang w:eastAsia="es-CO"/>
              </w:rPr>
            </w:pPr>
            <w:r w:rsidRPr="0009028A">
              <w:rPr>
                <w:rFonts w:ascii="Arial" w:eastAsia="Times New Roman" w:hAnsi="Arial" w:cs="Arial"/>
                <w:b/>
                <w:bCs/>
                <w:color w:val="002060"/>
                <w:sz w:val="18"/>
                <w:szCs w:val="18"/>
                <w:lang w:val="es-ES" w:eastAsia="es-ES"/>
              </w:rPr>
              <w:t>Marzo 2019</w:t>
            </w:r>
          </w:p>
        </w:tc>
        <w:tc>
          <w:tcPr>
            <w:tcW w:w="1560" w:type="dxa"/>
            <w:gridSpan w:val="2"/>
            <w:shd w:val="clear" w:color="auto" w:fill="auto"/>
            <w:vAlign w:val="center"/>
            <w:hideMark/>
          </w:tcPr>
          <w:p w14:paraId="0A23C8DA" w14:textId="77777777" w:rsidR="00ED50FC" w:rsidRPr="0009028A" w:rsidRDefault="00F01816" w:rsidP="00D03A61">
            <w:pPr>
              <w:spacing w:after="0" w:line="240" w:lineRule="auto"/>
              <w:jc w:val="center"/>
              <w:rPr>
                <w:rFonts w:ascii="Arial" w:eastAsia="Times New Roman" w:hAnsi="Arial" w:cs="Arial"/>
                <w:b/>
                <w:bCs/>
                <w:color w:val="002060"/>
                <w:sz w:val="18"/>
                <w:szCs w:val="18"/>
                <w:lang w:eastAsia="es-CO"/>
              </w:rPr>
            </w:pPr>
            <w:r w:rsidRPr="0009028A">
              <w:rPr>
                <w:rFonts w:ascii="Arial" w:eastAsia="Times New Roman" w:hAnsi="Arial" w:cs="Arial"/>
                <w:b/>
                <w:bCs/>
                <w:color w:val="002060"/>
                <w:sz w:val="18"/>
                <w:szCs w:val="18"/>
                <w:lang w:val="es-ES" w:eastAsia="es-ES"/>
              </w:rPr>
              <w:t>Marzo</w:t>
            </w:r>
            <w:r w:rsidR="00ED50FC" w:rsidRPr="0009028A">
              <w:rPr>
                <w:rFonts w:ascii="Arial" w:eastAsia="Times New Roman" w:hAnsi="Arial" w:cs="Arial"/>
                <w:b/>
                <w:bCs/>
                <w:color w:val="002060"/>
                <w:sz w:val="18"/>
                <w:szCs w:val="18"/>
                <w:lang w:val="es-ES" w:eastAsia="es-ES"/>
              </w:rPr>
              <w:t xml:space="preserve"> 2018</w:t>
            </w:r>
          </w:p>
        </w:tc>
      </w:tr>
      <w:tr w:rsidR="00681BA2" w:rsidRPr="0009028A" w14:paraId="3E80FE73" w14:textId="77777777" w:rsidTr="00ED50FC">
        <w:trPr>
          <w:gridAfter w:val="1"/>
          <w:wAfter w:w="145" w:type="dxa"/>
          <w:trHeight w:val="227"/>
        </w:trPr>
        <w:tc>
          <w:tcPr>
            <w:tcW w:w="4253" w:type="dxa"/>
            <w:shd w:val="clear" w:color="auto" w:fill="auto"/>
            <w:vAlign w:val="center"/>
            <w:hideMark/>
          </w:tcPr>
          <w:p w14:paraId="4CE8E217"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Odinsa Holding Inc</w:t>
            </w:r>
          </w:p>
        </w:tc>
        <w:tc>
          <w:tcPr>
            <w:tcW w:w="2410" w:type="dxa"/>
            <w:shd w:val="clear" w:color="auto" w:fill="auto"/>
            <w:vAlign w:val="center"/>
            <w:hideMark/>
          </w:tcPr>
          <w:p w14:paraId="1D366D8A"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Subsidiaria</w:t>
            </w:r>
          </w:p>
        </w:tc>
        <w:tc>
          <w:tcPr>
            <w:tcW w:w="1842" w:type="dxa"/>
            <w:shd w:val="clear" w:color="auto" w:fill="auto"/>
            <w:vAlign w:val="center"/>
            <w:hideMark/>
          </w:tcPr>
          <w:p w14:paraId="4C151129" w14:textId="77777777" w:rsidR="00053008" w:rsidRPr="0009028A" w:rsidRDefault="00ED50FC"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       </w:t>
            </w:r>
            <w:r w:rsidR="00053008" w:rsidRPr="0009028A">
              <w:rPr>
                <w:rFonts w:ascii="Arial" w:eastAsia="Times New Roman" w:hAnsi="Arial" w:cs="Arial"/>
                <w:color w:val="000000"/>
                <w:sz w:val="18"/>
                <w:szCs w:val="18"/>
                <w:lang w:eastAsia="es-CO"/>
              </w:rPr>
              <w:t>26.184.450</w:t>
            </w:r>
          </w:p>
        </w:tc>
        <w:tc>
          <w:tcPr>
            <w:tcW w:w="1415" w:type="dxa"/>
            <w:shd w:val="clear" w:color="auto" w:fill="auto"/>
            <w:vAlign w:val="center"/>
            <w:hideMark/>
          </w:tcPr>
          <w:p w14:paraId="5F403D6A"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25.390.310</w:t>
            </w:r>
          </w:p>
        </w:tc>
      </w:tr>
      <w:tr w:rsidR="00681BA2" w:rsidRPr="0009028A" w14:paraId="1C6D320F" w14:textId="77777777" w:rsidTr="00ED50FC">
        <w:trPr>
          <w:gridAfter w:val="1"/>
          <w:wAfter w:w="145" w:type="dxa"/>
          <w:trHeight w:val="227"/>
        </w:trPr>
        <w:tc>
          <w:tcPr>
            <w:tcW w:w="4253" w:type="dxa"/>
            <w:shd w:val="clear" w:color="auto" w:fill="auto"/>
            <w:vAlign w:val="center"/>
            <w:hideMark/>
          </w:tcPr>
          <w:p w14:paraId="75AE4DAD"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Concesión La Pintada S.A.S</w:t>
            </w:r>
            <w:r w:rsidR="00681BA2" w:rsidRPr="0009028A">
              <w:rPr>
                <w:rFonts w:ascii="Arial" w:eastAsia="Times New Roman" w:hAnsi="Arial" w:cs="Arial"/>
                <w:color w:val="000000"/>
                <w:sz w:val="18"/>
                <w:szCs w:val="18"/>
                <w:lang w:eastAsia="es-CO"/>
              </w:rPr>
              <w:t>.</w:t>
            </w:r>
          </w:p>
        </w:tc>
        <w:tc>
          <w:tcPr>
            <w:tcW w:w="2410" w:type="dxa"/>
            <w:shd w:val="clear" w:color="auto" w:fill="auto"/>
            <w:vAlign w:val="center"/>
            <w:hideMark/>
          </w:tcPr>
          <w:p w14:paraId="3AE6E620" w14:textId="54EF71AA" w:rsidR="00053008" w:rsidRPr="0009028A" w:rsidRDefault="00D03A61"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Asociada</w:t>
            </w:r>
          </w:p>
        </w:tc>
        <w:tc>
          <w:tcPr>
            <w:tcW w:w="1842" w:type="dxa"/>
            <w:shd w:val="clear" w:color="auto" w:fill="auto"/>
            <w:vAlign w:val="center"/>
            <w:hideMark/>
          </w:tcPr>
          <w:p w14:paraId="47173244"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9.148.843</w:t>
            </w:r>
          </w:p>
        </w:tc>
        <w:tc>
          <w:tcPr>
            <w:tcW w:w="1415" w:type="dxa"/>
            <w:shd w:val="clear" w:color="auto" w:fill="auto"/>
            <w:vAlign w:val="center"/>
            <w:hideMark/>
          </w:tcPr>
          <w:p w14:paraId="5FF02FF8"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7.384.046</w:t>
            </w:r>
          </w:p>
        </w:tc>
      </w:tr>
      <w:tr w:rsidR="00681BA2" w:rsidRPr="0009028A" w14:paraId="713E5065" w14:textId="77777777" w:rsidTr="00ED50FC">
        <w:trPr>
          <w:gridAfter w:val="1"/>
          <w:wAfter w:w="145" w:type="dxa"/>
          <w:trHeight w:val="227"/>
        </w:trPr>
        <w:tc>
          <w:tcPr>
            <w:tcW w:w="4253" w:type="dxa"/>
            <w:shd w:val="clear" w:color="auto" w:fill="auto"/>
            <w:vAlign w:val="center"/>
            <w:hideMark/>
          </w:tcPr>
          <w:p w14:paraId="242631AF"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Autopistas del Café S.A.</w:t>
            </w:r>
          </w:p>
        </w:tc>
        <w:tc>
          <w:tcPr>
            <w:tcW w:w="2410" w:type="dxa"/>
            <w:shd w:val="clear" w:color="auto" w:fill="auto"/>
            <w:vAlign w:val="center"/>
            <w:hideMark/>
          </w:tcPr>
          <w:p w14:paraId="684CBDF2"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Subsidiaria</w:t>
            </w:r>
          </w:p>
        </w:tc>
        <w:tc>
          <w:tcPr>
            <w:tcW w:w="1842" w:type="dxa"/>
            <w:shd w:val="clear" w:color="auto" w:fill="auto"/>
            <w:vAlign w:val="center"/>
            <w:hideMark/>
          </w:tcPr>
          <w:p w14:paraId="631FCFAB"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8.585.640</w:t>
            </w:r>
          </w:p>
        </w:tc>
        <w:tc>
          <w:tcPr>
            <w:tcW w:w="1415" w:type="dxa"/>
            <w:shd w:val="clear" w:color="auto" w:fill="auto"/>
            <w:vAlign w:val="center"/>
            <w:hideMark/>
          </w:tcPr>
          <w:p w14:paraId="566EBC65"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6.686.221</w:t>
            </w:r>
          </w:p>
        </w:tc>
      </w:tr>
      <w:tr w:rsidR="00681BA2" w:rsidRPr="0009028A" w14:paraId="693D262E" w14:textId="77777777" w:rsidTr="00ED50FC">
        <w:trPr>
          <w:gridAfter w:val="1"/>
          <w:wAfter w:w="145" w:type="dxa"/>
          <w:trHeight w:val="227"/>
        </w:trPr>
        <w:tc>
          <w:tcPr>
            <w:tcW w:w="4253" w:type="dxa"/>
            <w:shd w:val="clear" w:color="auto" w:fill="auto"/>
            <w:vAlign w:val="center"/>
            <w:hideMark/>
          </w:tcPr>
          <w:p w14:paraId="7E9F2D7F"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Consorcio Farallones</w:t>
            </w:r>
          </w:p>
        </w:tc>
        <w:tc>
          <w:tcPr>
            <w:tcW w:w="2410" w:type="dxa"/>
            <w:shd w:val="clear" w:color="auto" w:fill="auto"/>
            <w:vAlign w:val="center"/>
            <w:hideMark/>
          </w:tcPr>
          <w:p w14:paraId="3BA15640" w14:textId="12DE2A13" w:rsidR="00053008" w:rsidRPr="0009028A" w:rsidRDefault="00D03A61"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Negocio conjunto</w:t>
            </w:r>
          </w:p>
        </w:tc>
        <w:tc>
          <w:tcPr>
            <w:tcW w:w="1842" w:type="dxa"/>
            <w:shd w:val="clear" w:color="auto" w:fill="auto"/>
            <w:vAlign w:val="center"/>
            <w:hideMark/>
          </w:tcPr>
          <w:p w14:paraId="3776AB7E"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6.250.820</w:t>
            </w:r>
          </w:p>
        </w:tc>
        <w:tc>
          <w:tcPr>
            <w:tcW w:w="1415" w:type="dxa"/>
            <w:shd w:val="clear" w:color="auto" w:fill="auto"/>
            <w:vAlign w:val="center"/>
            <w:hideMark/>
          </w:tcPr>
          <w:p w14:paraId="5E9DDD3C"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9.158.874</w:t>
            </w:r>
          </w:p>
        </w:tc>
      </w:tr>
      <w:tr w:rsidR="00681BA2" w:rsidRPr="0009028A" w14:paraId="2E44427D" w14:textId="77777777" w:rsidTr="00ED50FC">
        <w:trPr>
          <w:gridAfter w:val="1"/>
          <w:wAfter w:w="145" w:type="dxa"/>
          <w:trHeight w:val="227"/>
        </w:trPr>
        <w:tc>
          <w:tcPr>
            <w:tcW w:w="4253" w:type="dxa"/>
            <w:shd w:val="clear" w:color="auto" w:fill="auto"/>
            <w:vAlign w:val="center"/>
            <w:hideMark/>
          </w:tcPr>
          <w:p w14:paraId="69EE9550"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Consorcio Grupo Constructor Autopistas del Café</w:t>
            </w:r>
          </w:p>
        </w:tc>
        <w:tc>
          <w:tcPr>
            <w:tcW w:w="2410" w:type="dxa"/>
            <w:shd w:val="clear" w:color="auto" w:fill="auto"/>
            <w:vAlign w:val="center"/>
            <w:hideMark/>
          </w:tcPr>
          <w:p w14:paraId="00E31FC4"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Subsidiaria</w:t>
            </w:r>
          </w:p>
        </w:tc>
        <w:tc>
          <w:tcPr>
            <w:tcW w:w="1842" w:type="dxa"/>
            <w:shd w:val="clear" w:color="auto" w:fill="auto"/>
            <w:vAlign w:val="center"/>
            <w:hideMark/>
          </w:tcPr>
          <w:p w14:paraId="244665CA"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4.418.220</w:t>
            </w:r>
          </w:p>
        </w:tc>
        <w:tc>
          <w:tcPr>
            <w:tcW w:w="1415" w:type="dxa"/>
            <w:shd w:val="clear" w:color="auto" w:fill="auto"/>
            <w:vAlign w:val="center"/>
            <w:hideMark/>
          </w:tcPr>
          <w:p w14:paraId="3BBBCA14"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4.812.935</w:t>
            </w:r>
          </w:p>
        </w:tc>
      </w:tr>
      <w:tr w:rsidR="00681BA2" w:rsidRPr="0009028A" w14:paraId="2D50D39A" w14:textId="77777777" w:rsidTr="00ED50FC">
        <w:trPr>
          <w:gridAfter w:val="1"/>
          <w:wAfter w:w="145" w:type="dxa"/>
          <w:trHeight w:val="227"/>
        </w:trPr>
        <w:tc>
          <w:tcPr>
            <w:tcW w:w="4253" w:type="dxa"/>
            <w:shd w:val="clear" w:color="auto" w:fill="auto"/>
            <w:vAlign w:val="center"/>
            <w:hideMark/>
          </w:tcPr>
          <w:p w14:paraId="0BB76FB5"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Consorcio Constructor Nuevo Dorado</w:t>
            </w:r>
          </w:p>
        </w:tc>
        <w:tc>
          <w:tcPr>
            <w:tcW w:w="2410" w:type="dxa"/>
            <w:shd w:val="clear" w:color="auto" w:fill="auto"/>
            <w:vAlign w:val="center"/>
            <w:hideMark/>
          </w:tcPr>
          <w:p w14:paraId="1745325F" w14:textId="76EF8459" w:rsidR="00053008" w:rsidRPr="0009028A" w:rsidRDefault="00D03A61"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Negocio conjunto</w:t>
            </w:r>
          </w:p>
        </w:tc>
        <w:tc>
          <w:tcPr>
            <w:tcW w:w="1842" w:type="dxa"/>
            <w:shd w:val="clear" w:color="auto" w:fill="auto"/>
            <w:vAlign w:val="center"/>
            <w:hideMark/>
          </w:tcPr>
          <w:p w14:paraId="54AA2227"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2.552.447</w:t>
            </w:r>
          </w:p>
        </w:tc>
        <w:tc>
          <w:tcPr>
            <w:tcW w:w="1415" w:type="dxa"/>
            <w:shd w:val="clear" w:color="auto" w:fill="auto"/>
            <w:vAlign w:val="center"/>
            <w:hideMark/>
          </w:tcPr>
          <w:p w14:paraId="1DED227D"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292.168</w:t>
            </w:r>
          </w:p>
        </w:tc>
      </w:tr>
      <w:tr w:rsidR="00681BA2" w:rsidRPr="0009028A" w14:paraId="4318E2A6" w14:textId="77777777" w:rsidTr="00ED50FC">
        <w:trPr>
          <w:gridAfter w:val="1"/>
          <w:wAfter w:w="145" w:type="dxa"/>
          <w:trHeight w:val="227"/>
        </w:trPr>
        <w:tc>
          <w:tcPr>
            <w:tcW w:w="4253" w:type="dxa"/>
            <w:shd w:val="clear" w:color="auto" w:fill="auto"/>
            <w:vAlign w:val="center"/>
            <w:hideMark/>
          </w:tcPr>
          <w:p w14:paraId="10D28BA5" w14:textId="77777777" w:rsidR="00053008" w:rsidRPr="0009028A" w:rsidRDefault="00053008" w:rsidP="00053008">
            <w:pPr>
              <w:spacing w:after="0" w:line="240" w:lineRule="auto"/>
              <w:rPr>
                <w:rFonts w:ascii="Arial" w:eastAsia="Times New Roman" w:hAnsi="Arial" w:cs="Arial"/>
                <w:color w:val="000000"/>
                <w:sz w:val="18"/>
                <w:szCs w:val="18"/>
                <w:lang w:val="en-US" w:eastAsia="es-CO"/>
              </w:rPr>
            </w:pPr>
            <w:r w:rsidRPr="0009028A">
              <w:rPr>
                <w:rFonts w:ascii="Arial" w:eastAsia="Times New Roman" w:hAnsi="Arial" w:cs="Arial"/>
                <w:color w:val="000000"/>
                <w:sz w:val="18"/>
                <w:szCs w:val="18"/>
                <w:lang w:val="en-US" w:eastAsia="es-CO"/>
              </w:rPr>
              <w:t>Caribbean Infrastructure Company N.V.</w:t>
            </w:r>
          </w:p>
        </w:tc>
        <w:tc>
          <w:tcPr>
            <w:tcW w:w="2410" w:type="dxa"/>
            <w:shd w:val="clear" w:color="auto" w:fill="auto"/>
            <w:vAlign w:val="center"/>
            <w:hideMark/>
          </w:tcPr>
          <w:p w14:paraId="78440477"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Subsidiaria</w:t>
            </w:r>
          </w:p>
        </w:tc>
        <w:tc>
          <w:tcPr>
            <w:tcW w:w="1842" w:type="dxa"/>
            <w:shd w:val="clear" w:color="auto" w:fill="auto"/>
            <w:vAlign w:val="center"/>
            <w:hideMark/>
          </w:tcPr>
          <w:p w14:paraId="646C4D07"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1.818.391</w:t>
            </w:r>
          </w:p>
        </w:tc>
        <w:tc>
          <w:tcPr>
            <w:tcW w:w="1415" w:type="dxa"/>
            <w:shd w:val="clear" w:color="auto" w:fill="auto"/>
            <w:vAlign w:val="center"/>
            <w:hideMark/>
          </w:tcPr>
          <w:p w14:paraId="29D3F2DD"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1.946.493</w:t>
            </w:r>
          </w:p>
        </w:tc>
      </w:tr>
      <w:tr w:rsidR="00681BA2" w:rsidRPr="0009028A" w14:paraId="0E00A0FA" w14:textId="77777777" w:rsidTr="00ED50FC">
        <w:trPr>
          <w:gridAfter w:val="1"/>
          <w:wAfter w:w="145" w:type="dxa"/>
          <w:trHeight w:val="227"/>
        </w:trPr>
        <w:tc>
          <w:tcPr>
            <w:tcW w:w="4253" w:type="dxa"/>
            <w:shd w:val="clear" w:color="auto" w:fill="auto"/>
            <w:vAlign w:val="center"/>
            <w:hideMark/>
          </w:tcPr>
          <w:p w14:paraId="2CBBD665"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Opaín S.A.</w:t>
            </w:r>
          </w:p>
        </w:tc>
        <w:tc>
          <w:tcPr>
            <w:tcW w:w="2410" w:type="dxa"/>
            <w:shd w:val="clear" w:color="auto" w:fill="auto"/>
            <w:vAlign w:val="center"/>
            <w:hideMark/>
          </w:tcPr>
          <w:p w14:paraId="3D1C9D3C" w14:textId="1592C01D" w:rsidR="00053008" w:rsidRPr="0009028A" w:rsidRDefault="00D03A61"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Asociada</w:t>
            </w:r>
          </w:p>
        </w:tc>
        <w:tc>
          <w:tcPr>
            <w:tcW w:w="1842" w:type="dxa"/>
            <w:shd w:val="clear" w:color="auto" w:fill="auto"/>
            <w:vAlign w:val="center"/>
            <w:hideMark/>
          </w:tcPr>
          <w:p w14:paraId="0DC8D7A6"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1.805.361</w:t>
            </w:r>
          </w:p>
        </w:tc>
        <w:tc>
          <w:tcPr>
            <w:tcW w:w="1415" w:type="dxa"/>
            <w:shd w:val="clear" w:color="auto" w:fill="auto"/>
            <w:vAlign w:val="center"/>
            <w:hideMark/>
          </w:tcPr>
          <w:p w14:paraId="6D05AE67"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1.706.232</w:t>
            </w:r>
          </w:p>
        </w:tc>
      </w:tr>
      <w:tr w:rsidR="00681BA2" w:rsidRPr="0009028A" w14:paraId="3C84B060" w14:textId="77777777" w:rsidTr="00ED50FC">
        <w:trPr>
          <w:gridAfter w:val="1"/>
          <w:wAfter w:w="145" w:type="dxa"/>
          <w:trHeight w:val="227"/>
        </w:trPr>
        <w:tc>
          <w:tcPr>
            <w:tcW w:w="4253" w:type="dxa"/>
            <w:shd w:val="clear" w:color="auto" w:fill="auto"/>
            <w:vAlign w:val="center"/>
            <w:hideMark/>
          </w:tcPr>
          <w:p w14:paraId="492C5E87"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Odinsa Proyectos e Inversiones S.A.</w:t>
            </w:r>
          </w:p>
        </w:tc>
        <w:tc>
          <w:tcPr>
            <w:tcW w:w="2410" w:type="dxa"/>
            <w:shd w:val="clear" w:color="auto" w:fill="auto"/>
            <w:vAlign w:val="center"/>
            <w:hideMark/>
          </w:tcPr>
          <w:p w14:paraId="4633345D"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Subsidiaria</w:t>
            </w:r>
          </w:p>
        </w:tc>
        <w:tc>
          <w:tcPr>
            <w:tcW w:w="1842" w:type="dxa"/>
            <w:shd w:val="clear" w:color="auto" w:fill="auto"/>
            <w:vAlign w:val="center"/>
            <w:hideMark/>
          </w:tcPr>
          <w:p w14:paraId="356CAD07" w14:textId="77777777" w:rsidR="00053008" w:rsidRPr="0009028A" w:rsidRDefault="00053008" w:rsidP="00681BA2">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1.726.136</w:t>
            </w:r>
          </w:p>
        </w:tc>
        <w:tc>
          <w:tcPr>
            <w:tcW w:w="1415" w:type="dxa"/>
            <w:shd w:val="clear" w:color="auto" w:fill="auto"/>
            <w:vAlign w:val="center"/>
            <w:hideMark/>
          </w:tcPr>
          <w:p w14:paraId="2536A5D5" w14:textId="77777777" w:rsidR="00053008" w:rsidRPr="0009028A" w:rsidRDefault="00053008" w:rsidP="00681BA2">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1.893.517</w:t>
            </w:r>
          </w:p>
        </w:tc>
      </w:tr>
      <w:tr w:rsidR="00681BA2" w:rsidRPr="0009028A" w14:paraId="5CF16426" w14:textId="77777777" w:rsidTr="00ED50FC">
        <w:trPr>
          <w:gridAfter w:val="1"/>
          <w:wAfter w:w="145" w:type="dxa"/>
          <w:trHeight w:val="227"/>
        </w:trPr>
        <w:tc>
          <w:tcPr>
            <w:tcW w:w="4253" w:type="dxa"/>
            <w:shd w:val="clear" w:color="auto" w:fill="auto"/>
            <w:vAlign w:val="center"/>
            <w:hideMark/>
          </w:tcPr>
          <w:p w14:paraId="496F1E1A"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Agregados Argos S.A.S</w:t>
            </w:r>
            <w:r w:rsidR="00681BA2" w:rsidRPr="0009028A">
              <w:rPr>
                <w:rFonts w:ascii="Arial" w:eastAsia="Times New Roman" w:hAnsi="Arial" w:cs="Arial"/>
                <w:color w:val="000000"/>
                <w:sz w:val="18"/>
                <w:szCs w:val="18"/>
                <w:lang w:eastAsia="es-CO"/>
              </w:rPr>
              <w:t>.</w:t>
            </w:r>
          </w:p>
        </w:tc>
        <w:tc>
          <w:tcPr>
            <w:tcW w:w="2410" w:type="dxa"/>
            <w:shd w:val="clear" w:color="auto" w:fill="auto"/>
            <w:vAlign w:val="center"/>
            <w:hideMark/>
          </w:tcPr>
          <w:p w14:paraId="46E2B35F" w14:textId="71A939BE" w:rsidR="00053008" w:rsidRPr="0009028A" w:rsidRDefault="00D03A61"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Asociada</w:t>
            </w:r>
          </w:p>
        </w:tc>
        <w:tc>
          <w:tcPr>
            <w:tcW w:w="1842" w:type="dxa"/>
            <w:shd w:val="clear" w:color="auto" w:fill="auto"/>
            <w:vAlign w:val="center"/>
            <w:hideMark/>
          </w:tcPr>
          <w:p w14:paraId="02081AE2"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169.377</w:t>
            </w:r>
          </w:p>
        </w:tc>
        <w:tc>
          <w:tcPr>
            <w:tcW w:w="1415" w:type="dxa"/>
            <w:shd w:val="clear" w:color="auto" w:fill="auto"/>
            <w:vAlign w:val="center"/>
            <w:hideMark/>
          </w:tcPr>
          <w:p w14:paraId="0BFBFBA3" w14:textId="77777777" w:rsidR="00053008" w:rsidRPr="0009028A" w:rsidRDefault="00681BA2"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w:t>
            </w:r>
            <w:r w:rsidR="00053008" w:rsidRPr="0009028A">
              <w:rPr>
                <w:rFonts w:ascii="Arial" w:eastAsia="Times New Roman" w:hAnsi="Arial" w:cs="Arial"/>
                <w:color w:val="000000"/>
                <w:sz w:val="18"/>
                <w:szCs w:val="18"/>
                <w:lang w:eastAsia="es-CO"/>
              </w:rPr>
              <w:t>89.548</w:t>
            </w:r>
            <w:r w:rsidRPr="0009028A">
              <w:rPr>
                <w:rFonts w:ascii="Arial" w:eastAsia="Times New Roman" w:hAnsi="Arial" w:cs="Arial"/>
                <w:color w:val="000000"/>
                <w:sz w:val="18"/>
                <w:szCs w:val="18"/>
                <w:lang w:eastAsia="es-CO"/>
              </w:rPr>
              <w:t>)</w:t>
            </w:r>
          </w:p>
        </w:tc>
      </w:tr>
      <w:tr w:rsidR="00681BA2" w:rsidRPr="0009028A" w14:paraId="10759E9D" w14:textId="77777777" w:rsidTr="00ED50FC">
        <w:trPr>
          <w:gridAfter w:val="1"/>
          <w:wAfter w:w="145" w:type="dxa"/>
          <w:trHeight w:val="227"/>
        </w:trPr>
        <w:tc>
          <w:tcPr>
            <w:tcW w:w="4253" w:type="dxa"/>
            <w:shd w:val="clear" w:color="auto" w:fill="auto"/>
            <w:vAlign w:val="center"/>
            <w:hideMark/>
          </w:tcPr>
          <w:p w14:paraId="339BDEA9"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Odinsa Servicios S</w:t>
            </w:r>
            <w:r w:rsidR="00681BA2" w:rsidRPr="0009028A">
              <w:rPr>
                <w:rFonts w:ascii="Arial" w:eastAsia="Times New Roman" w:hAnsi="Arial" w:cs="Arial"/>
                <w:color w:val="000000"/>
                <w:sz w:val="18"/>
                <w:szCs w:val="18"/>
                <w:lang w:eastAsia="es-CO"/>
              </w:rPr>
              <w:t>.</w:t>
            </w:r>
            <w:r w:rsidRPr="0009028A">
              <w:rPr>
                <w:rFonts w:ascii="Arial" w:eastAsia="Times New Roman" w:hAnsi="Arial" w:cs="Arial"/>
                <w:color w:val="000000"/>
                <w:sz w:val="18"/>
                <w:szCs w:val="18"/>
                <w:lang w:eastAsia="es-CO"/>
              </w:rPr>
              <w:t>A</w:t>
            </w:r>
            <w:r w:rsidR="00681BA2" w:rsidRPr="0009028A">
              <w:rPr>
                <w:rFonts w:ascii="Arial" w:eastAsia="Times New Roman" w:hAnsi="Arial" w:cs="Arial"/>
                <w:color w:val="000000"/>
                <w:sz w:val="18"/>
                <w:szCs w:val="18"/>
                <w:lang w:eastAsia="es-CO"/>
              </w:rPr>
              <w:t>.</w:t>
            </w:r>
            <w:r w:rsidRPr="0009028A">
              <w:rPr>
                <w:rFonts w:ascii="Arial" w:eastAsia="Times New Roman" w:hAnsi="Arial" w:cs="Arial"/>
                <w:color w:val="000000"/>
                <w:sz w:val="18"/>
                <w:szCs w:val="18"/>
                <w:lang w:eastAsia="es-CO"/>
              </w:rPr>
              <w:t>S</w:t>
            </w:r>
            <w:r w:rsidR="00681BA2" w:rsidRPr="0009028A">
              <w:rPr>
                <w:rFonts w:ascii="Arial" w:eastAsia="Times New Roman" w:hAnsi="Arial" w:cs="Arial"/>
                <w:color w:val="000000"/>
                <w:sz w:val="18"/>
                <w:szCs w:val="18"/>
                <w:lang w:eastAsia="es-CO"/>
              </w:rPr>
              <w:t>.</w:t>
            </w:r>
          </w:p>
        </w:tc>
        <w:tc>
          <w:tcPr>
            <w:tcW w:w="2410" w:type="dxa"/>
            <w:shd w:val="clear" w:color="auto" w:fill="auto"/>
            <w:vAlign w:val="center"/>
            <w:hideMark/>
          </w:tcPr>
          <w:p w14:paraId="7DB9D447"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Subsidiaria</w:t>
            </w:r>
          </w:p>
        </w:tc>
        <w:tc>
          <w:tcPr>
            <w:tcW w:w="1842" w:type="dxa"/>
            <w:shd w:val="clear" w:color="auto" w:fill="auto"/>
            <w:vAlign w:val="center"/>
            <w:hideMark/>
          </w:tcPr>
          <w:p w14:paraId="5D11B4A8"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158.775</w:t>
            </w:r>
          </w:p>
        </w:tc>
        <w:tc>
          <w:tcPr>
            <w:tcW w:w="1415" w:type="dxa"/>
            <w:shd w:val="clear" w:color="auto" w:fill="auto"/>
            <w:vAlign w:val="center"/>
            <w:hideMark/>
          </w:tcPr>
          <w:p w14:paraId="0B4C7D75"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106.517</w:t>
            </w:r>
          </w:p>
        </w:tc>
      </w:tr>
      <w:tr w:rsidR="00681BA2" w:rsidRPr="0009028A" w14:paraId="5316AE33" w14:textId="77777777" w:rsidTr="00ED50FC">
        <w:trPr>
          <w:gridAfter w:val="1"/>
          <w:wAfter w:w="145" w:type="dxa"/>
          <w:trHeight w:val="227"/>
        </w:trPr>
        <w:tc>
          <w:tcPr>
            <w:tcW w:w="4253" w:type="dxa"/>
            <w:shd w:val="clear" w:color="auto" w:fill="auto"/>
            <w:vAlign w:val="center"/>
            <w:hideMark/>
          </w:tcPr>
          <w:p w14:paraId="0B52ADDA"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Fiducoldex-Autopista del Café S</w:t>
            </w:r>
            <w:r w:rsidR="00681BA2" w:rsidRPr="0009028A">
              <w:rPr>
                <w:rFonts w:ascii="Arial" w:eastAsia="Times New Roman" w:hAnsi="Arial" w:cs="Arial"/>
                <w:color w:val="000000"/>
                <w:sz w:val="18"/>
                <w:szCs w:val="18"/>
                <w:lang w:eastAsia="es-CO"/>
              </w:rPr>
              <w:t>.</w:t>
            </w:r>
            <w:r w:rsidRPr="0009028A">
              <w:rPr>
                <w:rFonts w:ascii="Arial" w:eastAsia="Times New Roman" w:hAnsi="Arial" w:cs="Arial"/>
                <w:color w:val="000000"/>
                <w:sz w:val="18"/>
                <w:szCs w:val="18"/>
                <w:lang w:eastAsia="es-CO"/>
              </w:rPr>
              <w:t>A</w:t>
            </w:r>
            <w:r w:rsidR="00681BA2" w:rsidRPr="0009028A">
              <w:rPr>
                <w:rFonts w:ascii="Arial" w:eastAsia="Times New Roman" w:hAnsi="Arial" w:cs="Arial"/>
                <w:color w:val="000000"/>
                <w:sz w:val="18"/>
                <w:szCs w:val="18"/>
                <w:lang w:eastAsia="es-CO"/>
              </w:rPr>
              <w:t>.</w:t>
            </w:r>
            <w:r w:rsidRPr="0009028A">
              <w:rPr>
                <w:rFonts w:ascii="Arial" w:eastAsia="Times New Roman" w:hAnsi="Arial" w:cs="Arial"/>
                <w:color w:val="000000"/>
                <w:sz w:val="18"/>
                <w:szCs w:val="18"/>
                <w:lang w:eastAsia="es-CO"/>
              </w:rPr>
              <w:t xml:space="preserve"> </w:t>
            </w:r>
          </w:p>
        </w:tc>
        <w:tc>
          <w:tcPr>
            <w:tcW w:w="2410" w:type="dxa"/>
            <w:shd w:val="clear" w:color="auto" w:fill="auto"/>
            <w:vAlign w:val="center"/>
            <w:hideMark/>
          </w:tcPr>
          <w:p w14:paraId="7DE43C3D"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Subsidiaria</w:t>
            </w:r>
          </w:p>
        </w:tc>
        <w:tc>
          <w:tcPr>
            <w:tcW w:w="1842" w:type="dxa"/>
            <w:shd w:val="clear" w:color="auto" w:fill="auto"/>
            <w:vAlign w:val="center"/>
            <w:hideMark/>
          </w:tcPr>
          <w:p w14:paraId="37E7EB45"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142.736</w:t>
            </w:r>
          </w:p>
        </w:tc>
        <w:tc>
          <w:tcPr>
            <w:tcW w:w="1415" w:type="dxa"/>
            <w:shd w:val="clear" w:color="auto" w:fill="auto"/>
            <w:vAlign w:val="center"/>
            <w:hideMark/>
          </w:tcPr>
          <w:p w14:paraId="57397A53"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195.641</w:t>
            </w:r>
          </w:p>
        </w:tc>
      </w:tr>
      <w:tr w:rsidR="00681BA2" w:rsidRPr="0009028A" w14:paraId="218E696C" w14:textId="77777777" w:rsidTr="00ED50FC">
        <w:trPr>
          <w:gridAfter w:val="1"/>
          <w:wAfter w:w="145" w:type="dxa"/>
          <w:trHeight w:val="227"/>
        </w:trPr>
        <w:tc>
          <w:tcPr>
            <w:tcW w:w="4253" w:type="dxa"/>
            <w:shd w:val="clear" w:color="auto" w:fill="auto"/>
            <w:vAlign w:val="center"/>
            <w:hideMark/>
          </w:tcPr>
          <w:p w14:paraId="2825B185"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Consorcio Mantenimiento Opaín</w:t>
            </w:r>
          </w:p>
        </w:tc>
        <w:tc>
          <w:tcPr>
            <w:tcW w:w="2410" w:type="dxa"/>
            <w:shd w:val="clear" w:color="auto" w:fill="auto"/>
            <w:vAlign w:val="center"/>
            <w:hideMark/>
          </w:tcPr>
          <w:p w14:paraId="491810BC" w14:textId="17928C30" w:rsidR="00053008" w:rsidRPr="0009028A" w:rsidRDefault="00D03A61"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Negocio conjunto</w:t>
            </w:r>
          </w:p>
        </w:tc>
        <w:tc>
          <w:tcPr>
            <w:tcW w:w="1842" w:type="dxa"/>
            <w:shd w:val="clear" w:color="auto" w:fill="auto"/>
            <w:vAlign w:val="center"/>
            <w:hideMark/>
          </w:tcPr>
          <w:p w14:paraId="3B46D8D5"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128.292</w:t>
            </w:r>
          </w:p>
        </w:tc>
        <w:tc>
          <w:tcPr>
            <w:tcW w:w="1415" w:type="dxa"/>
            <w:shd w:val="clear" w:color="auto" w:fill="auto"/>
            <w:vAlign w:val="center"/>
            <w:hideMark/>
          </w:tcPr>
          <w:p w14:paraId="27F949BC"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321.072</w:t>
            </w:r>
          </w:p>
        </w:tc>
      </w:tr>
      <w:tr w:rsidR="00681BA2" w:rsidRPr="0009028A" w14:paraId="3BCF4666" w14:textId="77777777" w:rsidTr="00ED50FC">
        <w:trPr>
          <w:gridAfter w:val="1"/>
          <w:wAfter w:w="145" w:type="dxa"/>
          <w:trHeight w:val="227"/>
        </w:trPr>
        <w:tc>
          <w:tcPr>
            <w:tcW w:w="4253" w:type="dxa"/>
            <w:shd w:val="clear" w:color="auto" w:fill="auto"/>
            <w:vAlign w:val="center"/>
            <w:hideMark/>
          </w:tcPr>
          <w:p w14:paraId="6F6F0995"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Servicios Corporativos Integrales S.A.S</w:t>
            </w:r>
            <w:r w:rsidR="00681BA2" w:rsidRPr="0009028A">
              <w:rPr>
                <w:rFonts w:ascii="Arial" w:eastAsia="Times New Roman" w:hAnsi="Arial" w:cs="Arial"/>
                <w:color w:val="000000"/>
                <w:sz w:val="18"/>
                <w:szCs w:val="18"/>
                <w:lang w:eastAsia="es-CO"/>
              </w:rPr>
              <w:t>.</w:t>
            </w:r>
          </w:p>
        </w:tc>
        <w:tc>
          <w:tcPr>
            <w:tcW w:w="2410" w:type="dxa"/>
            <w:shd w:val="clear" w:color="auto" w:fill="auto"/>
            <w:vAlign w:val="center"/>
            <w:hideMark/>
          </w:tcPr>
          <w:p w14:paraId="11CF7F8F" w14:textId="595C045A" w:rsidR="00053008" w:rsidRPr="0009028A" w:rsidRDefault="0009028A"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Asociada</w:t>
            </w:r>
          </w:p>
        </w:tc>
        <w:tc>
          <w:tcPr>
            <w:tcW w:w="1842" w:type="dxa"/>
            <w:shd w:val="clear" w:color="auto" w:fill="auto"/>
            <w:vAlign w:val="center"/>
            <w:hideMark/>
          </w:tcPr>
          <w:p w14:paraId="605D501D"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62.782</w:t>
            </w:r>
          </w:p>
        </w:tc>
        <w:tc>
          <w:tcPr>
            <w:tcW w:w="1415" w:type="dxa"/>
            <w:shd w:val="clear" w:color="auto" w:fill="auto"/>
            <w:vAlign w:val="center"/>
            <w:hideMark/>
          </w:tcPr>
          <w:p w14:paraId="76D74717"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45.340</w:t>
            </w:r>
          </w:p>
        </w:tc>
      </w:tr>
      <w:tr w:rsidR="00681BA2" w:rsidRPr="0009028A" w14:paraId="7962A4B8" w14:textId="77777777" w:rsidTr="00ED50FC">
        <w:trPr>
          <w:gridAfter w:val="1"/>
          <w:wAfter w:w="145" w:type="dxa"/>
          <w:trHeight w:val="227"/>
        </w:trPr>
        <w:tc>
          <w:tcPr>
            <w:tcW w:w="4253" w:type="dxa"/>
            <w:shd w:val="clear" w:color="auto" w:fill="auto"/>
            <w:vAlign w:val="center"/>
            <w:hideMark/>
          </w:tcPr>
          <w:p w14:paraId="19CC9970"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Boulevard Turístico del Atlántico S.A.</w:t>
            </w:r>
          </w:p>
        </w:tc>
        <w:tc>
          <w:tcPr>
            <w:tcW w:w="2410" w:type="dxa"/>
            <w:shd w:val="clear" w:color="auto" w:fill="auto"/>
            <w:vAlign w:val="center"/>
            <w:hideMark/>
          </w:tcPr>
          <w:p w14:paraId="5927241E"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Subsidiaria</w:t>
            </w:r>
          </w:p>
        </w:tc>
        <w:tc>
          <w:tcPr>
            <w:tcW w:w="1842" w:type="dxa"/>
            <w:shd w:val="clear" w:color="auto" w:fill="auto"/>
            <w:vAlign w:val="center"/>
            <w:hideMark/>
          </w:tcPr>
          <w:p w14:paraId="4DA18936"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35.967</w:t>
            </w:r>
          </w:p>
        </w:tc>
        <w:tc>
          <w:tcPr>
            <w:tcW w:w="1415" w:type="dxa"/>
            <w:shd w:val="clear" w:color="auto" w:fill="auto"/>
            <w:vAlign w:val="center"/>
            <w:hideMark/>
          </w:tcPr>
          <w:p w14:paraId="4919AF30"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31.070</w:t>
            </w:r>
          </w:p>
        </w:tc>
      </w:tr>
      <w:tr w:rsidR="00681BA2" w:rsidRPr="0009028A" w14:paraId="1786DA6F" w14:textId="77777777" w:rsidTr="00ED50FC">
        <w:trPr>
          <w:gridAfter w:val="1"/>
          <w:wAfter w:w="145" w:type="dxa"/>
          <w:trHeight w:val="227"/>
        </w:trPr>
        <w:tc>
          <w:tcPr>
            <w:tcW w:w="4253" w:type="dxa"/>
            <w:shd w:val="clear" w:color="auto" w:fill="auto"/>
            <w:vAlign w:val="center"/>
            <w:hideMark/>
          </w:tcPr>
          <w:p w14:paraId="58561057"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Autopistas del Nordeste Cayman Ltd.</w:t>
            </w:r>
          </w:p>
        </w:tc>
        <w:tc>
          <w:tcPr>
            <w:tcW w:w="2410" w:type="dxa"/>
            <w:shd w:val="clear" w:color="auto" w:fill="auto"/>
            <w:vAlign w:val="center"/>
            <w:hideMark/>
          </w:tcPr>
          <w:p w14:paraId="78BDD037"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Subsidiaria</w:t>
            </w:r>
          </w:p>
        </w:tc>
        <w:tc>
          <w:tcPr>
            <w:tcW w:w="1842" w:type="dxa"/>
            <w:shd w:val="clear" w:color="auto" w:fill="auto"/>
            <w:vAlign w:val="center"/>
            <w:hideMark/>
          </w:tcPr>
          <w:p w14:paraId="24E9BC6D"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8.247</w:t>
            </w:r>
          </w:p>
        </w:tc>
        <w:tc>
          <w:tcPr>
            <w:tcW w:w="1415" w:type="dxa"/>
            <w:shd w:val="clear" w:color="auto" w:fill="auto"/>
            <w:vAlign w:val="center"/>
            <w:hideMark/>
          </w:tcPr>
          <w:p w14:paraId="35EE718C"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6.300</w:t>
            </w:r>
          </w:p>
        </w:tc>
      </w:tr>
      <w:tr w:rsidR="00681BA2" w:rsidRPr="0009028A" w14:paraId="1EE7E1AB" w14:textId="77777777" w:rsidTr="00ED50FC">
        <w:trPr>
          <w:gridAfter w:val="1"/>
          <w:wAfter w:w="145" w:type="dxa"/>
          <w:trHeight w:val="227"/>
        </w:trPr>
        <w:tc>
          <w:tcPr>
            <w:tcW w:w="4253" w:type="dxa"/>
            <w:shd w:val="clear" w:color="auto" w:fill="auto"/>
            <w:vAlign w:val="center"/>
            <w:hideMark/>
          </w:tcPr>
          <w:p w14:paraId="2B768E3F"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JV Proyecto BTA S.R.L </w:t>
            </w:r>
          </w:p>
        </w:tc>
        <w:tc>
          <w:tcPr>
            <w:tcW w:w="2410" w:type="dxa"/>
            <w:shd w:val="clear" w:color="auto" w:fill="auto"/>
            <w:vAlign w:val="center"/>
            <w:hideMark/>
          </w:tcPr>
          <w:p w14:paraId="7E3BCA05"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Subsidiaria</w:t>
            </w:r>
          </w:p>
        </w:tc>
        <w:tc>
          <w:tcPr>
            <w:tcW w:w="1842" w:type="dxa"/>
            <w:shd w:val="clear" w:color="auto" w:fill="auto"/>
            <w:vAlign w:val="center"/>
            <w:hideMark/>
          </w:tcPr>
          <w:p w14:paraId="56C2186D"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3.363</w:t>
            </w:r>
          </w:p>
        </w:tc>
        <w:tc>
          <w:tcPr>
            <w:tcW w:w="1415" w:type="dxa"/>
            <w:shd w:val="clear" w:color="auto" w:fill="auto"/>
            <w:vAlign w:val="center"/>
            <w:hideMark/>
          </w:tcPr>
          <w:p w14:paraId="6F2FFC1D"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4.878</w:t>
            </w:r>
          </w:p>
        </w:tc>
      </w:tr>
      <w:tr w:rsidR="00681BA2" w:rsidRPr="0009028A" w14:paraId="305F5B6C" w14:textId="77777777" w:rsidTr="00ED50FC">
        <w:trPr>
          <w:gridAfter w:val="1"/>
          <w:wAfter w:w="145" w:type="dxa"/>
          <w:trHeight w:val="227"/>
        </w:trPr>
        <w:tc>
          <w:tcPr>
            <w:tcW w:w="4253" w:type="dxa"/>
            <w:shd w:val="clear" w:color="auto" w:fill="auto"/>
            <w:vAlign w:val="center"/>
            <w:hideMark/>
          </w:tcPr>
          <w:p w14:paraId="40C91DC9"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JV Proyecto ADN S.R.L.</w:t>
            </w:r>
          </w:p>
        </w:tc>
        <w:tc>
          <w:tcPr>
            <w:tcW w:w="2410" w:type="dxa"/>
            <w:shd w:val="clear" w:color="auto" w:fill="auto"/>
            <w:vAlign w:val="center"/>
            <w:hideMark/>
          </w:tcPr>
          <w:p w14:paraId="7E88787D"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Subsidiaria</w:t>
            </w:r>
          </w:p>
        </w:tc>
        <w:tc>
          <w:tcPr>
            <w:tcW w:w="1842" w:type="dxa"/>
            <w:shd w:val="clear" w:color="auto" w:fill="auto"/>
            <w:vAlign w:val="center"/>
            <w:hideMark/>
          </w:tcPr>
          <w:p w14:paraId="548356C2"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2.311</w:t>
            </w:r>
          </w:p>
        </w:tc>
        <w:tc>
          <w:tcPr>
            <w:tcW w:w="1415" w:type="dxa"/>
            <w:shd w:val="clear" w:color="auto" w:fill="auto"/>
            <w:vAlign w:val="center"/>
            <w:hideMark/>
          </w:tcPr>
          <w:p w14:paraId="4DA43A5A"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5.720</w:t>
            </w:r>
          </w:p>
        </w:tc>
      </w:tr>
      <w:tr w:rsidR="00681BA2" w:rsidRPr="0009028A" w14:paraId="0EAA9B36" w14:textId="77777777" w:rsidTr="00ED50FC">
        <w:trPr>
          <w:gridAfter w:val="1"/>
          <w:wAfter w:w="145" w:type="dxa"/>
          <w:trHeight w:val="227"/>
        </w:trPr>
        <w:tc>
          <w:tcPr>
            <w:tcW w:w="4253" w:type="dxa"/>
            <w:shd w:val="clear" w:color="auto" w:fill="auto"/>
            <w:vAlign w:val="center"/>
            <w:hideMark/>
          </w:tcPr>
          <w:p w14:paraId="55431813"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Autopistas del Nordeste S.A.</w:t>
            </w:r>
          </w:p>
        </w:tc>
        <w:tc>
          <w:tcPr>
            <w:tcW w:w="2410" w:type="dxa"/>
            <w:shd w:val="clear" w:color="auto" w:fill="auto"/>
            <w:vAlign w:val="center"/>
            <w:hideMark/>
          </w:tcPr>
          <w:p w14:paraId="09FF6294"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Subsidiaria</w:t>
            </w:r>
          </w:p>
        </w:tc>
        <w:tc>
          <w:tcPr>
            <w:tcW w:w="1842" w:type="dxa"/>
            <w:shd w:val="clear" w:color="auto" w:fill="auto"/>
            <w:vAlign w:val="center"/>
            <w:hideMark/>
          </w:tcPr>
          <w:p w14:paraId="25757ACB"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413</w:t>
            </w:r>
          </w:p>
        </w:tc>
        <w:tc>
          <w:tcPr>
            <w:tcW w:w="1415" w:type="dxa"/>
            <w:shd w:val="clear" w:color="auto" w:fill="auto"/>
            <w:vAlign w:val="center"/>
            <w:hideMark/>
          </w:tcPr>
          <w:p w14:paraId="26F48BF9"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317</w:t>
            </w:r>
          </w:p>
        </w:tc>
      </w:tr>
      <w:tr w:rsidR="00681BA2" w:rsidRPr="0009028A" w14:paraId="783D5DF3" w14:textId="77777777" w:rsidTr="00ED50FC">
        <w:trPr>
          <w:gridAfter w:val="1"/>
          <w:wAfter w:w="145" w:type="dxa"/>
          <w:trHeight w:val="227"/>
        </w:trPr>
        <w:tc>
          <w:tcPr>
            <w:tcW w:w="4253" w:type="dxa"/>
            <w:shd w:val="clear" w:color="auto" w:fill="auto"/>
            <w:vAlign w:val="center"/>
            <w:hideMark/>
          </w:tcPr>
          <w:p w14:paraId="42113298"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Aerotocumen S.A</w:t>
            </w:r>
            <w:r w:rsidR="00681BA2" w:rsidRPr="0009028A">
              <w:rPr>
                <w:rFonts w:ascii="Arial" w:eastAsia="Times New Roman" w:hAnsi="Arial" w:cs="Arial"/>
                <w:color w:val="000000"/>
                <w:sz w:val="18"/>
                <w:szCs w:val="18"/>
                <w:lang w:eastAsia="es-CO"/>
              </w:rPr>
              <w:t>.</w:t>
            </w:r>
          </w:p>
        </w:tc>
        <w:tc>
          <w:tcPr>
            <w:tcW w:w="2410" w:type="dxa"/>
            <w:shd w:val="clear" w:color="auto" w:fill="auto"/>
            <w:vAlign w:val="center"/>
            <w:hideMark/>
          </w:tcPr>
          <w:p w14:paraId="28CED21A" w14:textId="72811CCF" w:rsidR="00053008" w:rsidRPr="0009028A" w:rsidRDefault="0009028A"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Negocio conjunto</w:t>
            </w:r>
          </w:p>
        </w:tc>
        <w:tc>
          <w:tcPr>
            <w:tcW w:w="1842" w:type="dxa"/>
            <w:shd w:val="clear" w:color="auto" w:fill="auto"/>
            <w:vAlign w:val="center"/>
            <w:hideMark/>
          </w:tcPr>
          <w:p w14:paraId="215F03F7"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w:t>
            </w:r>
          </w:p>
        </w:tc>
        <w:tc>
          <w:tcPr>
            <w:tcW w:w="1415" w:type="dxa"/>
            <w:shd w:val="clear" w:color="auto" w:fill="auto"/>
            <w:vAlign w:val="center"/>
            <w:hideMark/>
          </w:tcPr>
          <w:p w14:paraId="5527F05F" w14:textId="77777777" w:rsidR="00053008" w:rsidRPr="0009028A" w:rsidRDefault="00681BA2"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w:t>
            </w:r>
            <w:r w:rsidR="00053008" w:rsidRPr="0009028A">
              <w:rPr>
                <w:rFonts w:ascii="Arial" w:eastAsia="Times New Roman" w:hAnsi="Arial" w:cs="Arial"/>
                <w:color w:val="000000"/>
                <w:sz w:val="18"/>
                <w:szCs w:val="18"/>
                <w:lang w:eastAsia="es-CO"/>
              </w:rPr>
              <w:t>15</w:t>
            </w:r>
            <w:r w:rsidRPr="0009028A">
              <w:rPr>
                <w:rFonts w:ascii="Arial" w:eastAsia="Times New Roman" w:hAnsi="Arial" w:cs="Arial"/>
                <w:color w:val="000000"/>
                <w:sz w:val="18"/>
                <w:szCs w:val="18"/>
                <w:lang w:eastAsia="es-CO"/>
              </w:rPr>
              <w:t>)</w:t>
            </w:r>
          </w:p>
        </w:tc>
      </w:tr>
      <w:tr w:rsidR="00681BA2" w:rsidRPr="0009028A" w14:paraId="720CD20E" w14:textId="77777777" w:rsidTr="00ED50FC">
        <w:trPr>
          <w:gridAfter w:val="1"/>
          <w:wAfter w:w="145" w:type="dxa"/>
          <w:trHeight w:val="227"/>
        </w:trPr>
        <w:tc>
          <w:tcPr>
            <w:tcW w:w="4253" w:type="dxa"/>
            <w:shd w:val="clear" w:color="auto" w:fill="auto"/>
            <w:vAlign w:val="center"/>
            <w:hideMark/>
          </w:tcPr>
          <w:p w14:paraId="654A33A1"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Constructora Bogotá Fase III S.A. </w:t>
            </w:r>
          </w:p>
        </w:tc>
        <w:tc>
          <w:tcPr>
            <w:tcW w:w="2410" w:type="dxa"/>
            <w:shd w:val="clear" w:color="auto" w:fill="auto"/>
            <w:vAlign w:val="center"/>
            <w:hideMark/>
          </w:tcPr>
          <w:p w14:paraId="6AAB872B"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Subsidiaria</w:t>
            </w:r>
          </w:p>
        </w:tc>
        <w:tc>
          <w:tcPr>
            <w:tcW w:w="1842" w:type="dxa"/>
            <w:shd w:val="clear" w:color="auto" w:fill="auto"/>
            <w:vAlign w:val="center"/>
            <w:hideMark/>
          </w:tcPr>
          <w:p w14:paraId="516D7B19" w14:textId="77777777" w:rsidR="00053008" w:rsidRPr="0009028A" w:rsidRDefault="00681BA2"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w:t>
            </w:r>
            <w:r w:rsidR="00053008" w:rsidRPr="0009028A">
              <w:rPr>
                <w:rFonts w:ascii="Arial" w:eastAsia="Times New Roman" w:hAnsi="Arial" w:cs="Arial"/>
                <w:color w:val="000000"/>
                <w:sz w:val="18"/>
                <w:szCs w:val="18"/>
                <w:lang w:eastAsia="es-CO"/>
              </w:rPr>
              <w:t>27.265</w:t>
            </w:r>
            <w:r w:rsidRPr="0009028A">
              <w:rPr>
                <w:rFonts w:ascii="Arial" w:eastAsia="Times New Roman" w:hAnsi="Arial" w:cs="Arial"/>
                <w:color w:val="000000"/>
                <w:sz w:val="18"/>
                <w:szCs w:val="18"/>
                <w:lang w:eastAsia="es-CO"/>
              </w:rPr>
              <w:t>)</w:t>
            </w:r>
          </w:p>
        </w:tc>
        <w:tc>
          <w:tcPr>
            <w:tcW w:w="1415" w:type="dxa"/>
            <w:shd w:val="clear" w:color="auto" w:fill="auto"/>
            <w:vAlign w:val="center"/>
            <w:hideMark/>
          </w:tcPr>
          <w:p w14:paraId="70185F4C" w14:textId="77777777" w:rsidR="00053008" w:rsidRPr="0009028A" w:rsidRDefault="00053008"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181.616</w:t>
            </w:r>
          </w:p>
        </w:tc>
      </w:tr>
      <w:tr w:rsidR="00681BA2" w:rsidRPr="0009028A" w14:paraId="465C6777" w14:textId="77777777" w:rsidTr="00ED50FC">
        <w:trPr>
          <w:gridAfter w:val="1"/>
          <w:wAfter w:w="145" w:type="dxa"/>
          <w:trHeight w:val="227"/>
        </w:trPr>
        <w:tc>
          <w:tcPr>
            <w:tcW w:w="4253" w:type="dxa"/>
            <w:shd w:val="clear" w:color="auto" w:fill="auto"/>
            <w:vAlign w:val="center"/>
            <w:hideMark/>
          </w:tcPr>
          <w:p w14:paraId="70E34F34"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Autopistas de los Llanos S.A.</w:t>
            </w:r>
          </w:p>
        </w:tc>
        <w:tc>
          <w:tcPr>
            <w:tcW w:w="2410" w:type="dxa"/>
            <w:shd w:val="clear" w:color="auto" w:fill="auto"/>
            <w:vAlign w:val="center"/>
            <w:hideMark/>
          </w:tcPr>
          <w:p w14:paraId="5B62824A"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Subsidiaria</w:t>
            </w:r>
          </w:p>
        </w:tc>
        <w:tc>
          <w:tcPr>
            <w:tcW w:w="1842" w:type="dxa"/>
            <w:shd w:val="clear" w:color="auto" w:fill="auto"/>
            <w:vAlign w:val="center"/>
            <w:hideMark/>
          </w:tcPr>
          <w:p w14:paraId="6D2D2939" w14:textId="77777777" w:rsidR="00053008" w:rsidRPr="0009028A" w:rsidRDefault="00681BA2"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w:t>
            </w:r>
            <w:r w:rsidR="00053008" w:rsidRPr="0009028A">
              <w:rPr>
                <w:rFonts w:ascii="Arial" w:eastAsia="Times New Roman" w:hAnsi="Arial" w:cs="Arial"/>
                <w:color w:val="000000"/>
                <w:sz w:val="18"/>
                <w:szCs w:val="18"/>
                <w:lang w:eastAsia="es-CO"/>
              </w:rPr>
              <w:t>54.295</w:t>
            </w:r>
            <w:r w:rsidRPr="0009028A">
              <w:rPr>
                <w:rFonts w:ascii="Arial" w:eastAsia="Times New Roman" w:hAnsi="Arial" w:cs="Arial"/>
                <w:color w:val="000000"/>
                <w:sz w:val="18"/>
                <w:szCs w:val="18"/>
                <w:lang w:eastAsia="es-CO"/>
              </w:rPr>
              <w:t>)</w:t>
            </w:r>
          </w:p>
        </w:tc>
        <w:tc>
          <w:tcPr>
            <w:tcW w:w="1415" w:type="dxa"/>
            <w:shd w:val="clear" w:color="auto" w:fill="auto"/>
            <w:vAlign w:val="center"/>
            <w:hideMark/>
          </w:tcPr>
          <w:p w14:paraId="78934F76" w14:textId="77777777" w:rsidR="00053008" w:rsidRPr="0009028A" w:rsidRDefault="00681BA2" w:rsidP="00053008">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w:t>
            </w:r>
            <w:r w:rsidR="00053008" w:rsidRPr="0009028A">
              <w:rPr>
                <w:rFonts w:ascii="Arial" w:eastAsia="Times New Roman" w:hAnsi="Arial" w:cs="Arial"/>
                <w:color w:val="000000"/>
                <w:sz w:val="18"/>
                <w:szCs w:val="18"/>
                <w:lang w:eastAsia="es-CO"/>
              </w:rPr>
              <w:t>122.193</w:t>
            </w:r>
            <w:r w:rsidRPr="0009028A">
              <w:rPr>
                <w:rFonts w:ascii="Arial" w:eastAsia="Times New Roman" w:hAnsi="Arial" w:cs="Arial"/>
                <w:color w:val="000000"/>
                <w:sz w:val="18"/>
                <w:szCs w:val="18"/>
                <w:lang w:eastAsia="es-CO"/>
              </w:rPr>
              <w:t>)</w:t>
            </w:r>
          </w:p>
        </w:tc>
      </w:tr>
      <w:tr w:rsidR="00681BA2" w:rsidRPr="0009028A" w14:paraId="7687A04C" w14:textId="77777777" w:rsidTr="00ED50FC">
        <w:trPr>
          <w:gridAfter w:val="1"/>
          <w:wAfter w:w="145" w:type="dxa"/>
          <w:trHeight w:val="227"/>
        </w:trPr>
        <w:tc>
          <w:tcPr>
            <w:tcW w:w="4253" w:type="dxa"/>
            <w:shd w:val="clear" w:color="auto" w:fill="auto"/>
            <w:vAlign w:val="center"/>
            <w:hideMark/>
          </w:tcPr>
          <w:p w14:paraId="61FA14F9"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Concesión Vial de los Llanos S.A.S</w:t>
            </w:r>
            <w:r w:rsidR="00681BA2" w:rsidRPr="0009028A">
              <w:rPr>
                <w:rFonts w:ascii="Arial" w:eastAsia="Times New Roman" w:hAnsi="Arial" w:cs="Arial"/>
                <w:color w:val="000000"/>
                <w:sz w:val="18"/>
                <w:szCs w:val="18"/>
                <w:lang w:eastAsia="es-CO"/>
              </w:rPr>
              <w:t>.</w:t>
            </w:r>
          </w:p>
        </w:tc>
        <w:tc>
          <w:tcPr>
            <w:tcW w:w="2410" w:type="dxa"/>
            <w:shd w:val="clear" w:color="auto" w:fill="auto"/>
            <w:vAlign w:val="center"/>
            <w:hideMark/>
          </w:tcPr>
          <w:p w14:paraId="52037F01" w14:textId="77777777" w:rsidR="00053008" w:rsidRPr="0009028A" w:rsidRDefault="00053008" w:rsidP="0005300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Subsidiaria</w:t>
            </w:r>
          </w:p>
        </w:tc>
        <w:tc>
          <w:tcPr>
            <w:tcW w:w="1842" w:type="dxa"/>
            <w:shd w:val="clear" w:color="auto" w:fill="auto"/>
            <w:vAlign w:val="center"/>
            <w:hideMark/>
          </w:tcPr>
          <w:p w14:paraId="6B2C2E70" w14:textId="77777777" w:rsidR="00053008" w:rsidRPr="0009028A" w:rsidRDefault="00ED50FC" w:rsidP="00053008">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 xml:space="preserve">    </w:t>
            </w:r>
            <w:r w:rsidR="00681BA2" w:rsidRPr="0009028A">
              <w:rPr>
                <w:rFonts w:ascii="Arial" w:eastAsia="Times New Roman" w:hAnsi="Arial" w:cs="Arial"/>
                <w:color w:val="000000"/>
                <w:sz w:val="18"/>
                <w:szCs w:val="18"/>
                <w:u w:val="single"/>
                <w:lang w:eastAsia="es-CO"/>
              </w:rPr>
              <w:t>(</w:t>
            </w:r>
            <w:r w:rsidR="00053008" w:rsidRPr="0009028A">
              <w:rPr>
                <w:rFonts w:ascii="Arial" w:eastAsia="Times New Roman" w:hAnsi="Arial" w:cs="Arial"/>
                <w:color w:val="000000"/>
                <w:sz w:val="18"/>
                <w:szCs w:val="18"/>
                <w:u w:val="single"/>
                <w:lang w:eastAsia="es-CO"/>
              </w:rPr>
              <w:t>368.623</w:t>
            </w:r>
            <w:r w:rsidR="00681BA2" w:rsidRPr="0009028A">
              <w:rPr>
                <w:rFonts w:ascii="Arial" w:eastAsia="Times New Roman" w:hAnsi="Arial" w:cs="Arial"/>
                <w:color w:val="000000"/>
                <w:sz w:val="18"/>
                <w:szCs w:val="18"/>
                <w:u w:val="single"/>
                <w:lang w:eastAsia="es-CO"/>
              </w:rPr>
              <w:t>)</w:t>
            </w:r>
          </w:p>
        </w:tc>
        <w:tc>
          <w:tcPr>
            <w:tcW w:w="1415" w:type="dxa"/>
            <w:shd w:val="clear" w:color="auto" w:fill="auto"/>
            <w:vAlign w:val="center"/>
            <w:hideMark/>
          </w:tcPr>
          <w:p w14:paraId="18FE802B" w14:textId="77777777" w:rsidR="00053008" w:rsidRPr="0009028A" w:rsidRDefault="00ED50FC" w:rsidP="00053008">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 xml:space="preserve">   </w:t>
            </w:r>
            <w:r w:rsidR="00681BA2" w:rsidRPr="0009028A">
              <w:rPr>
                <w:rFonts w:ascii="Arial" w:eastAsia="Times New Roman" w:hAnsi="Arial" w:cs="Arial"/>
                <w:color w:val="000000"/>
                <w:sz w:val="18"/>
                <w:szCs w:val="18"/>
                <w:u w:val="single"/>
                <w:lang w:eastAsia="es-CO"/>
              </w:rPr>
              <w:t>(</w:t>
            </w:r>
            <w:r w:rsidR="00053008" w:rsidRPr="0009028A">
              <w:rPr>
                <w:rFonts w:ascii="Arial" w:eastAsia="Times New Roman" w:hAnsi="Arial" w:cs="Arial"/>
                <w:color w:val="000000"/>
                <w:sz w:val="18"/>
                <w:szCs w:val="18"/>
                <w:u w:val="single"/>
                <w:lang w:eastAsia="es-CO"/>
              </w:rPr>
              <w:t>225.790</w:t>
            </w:r>
            <w:r w:rsidR="00681BA2" w:rsidRPr="0009028A">
              <w:rPr>
                <w:rFonts w:ascii="Arial" w:eastAsia="Times New Roman" w:hAnsi="Arial" w:cs="Arial"/>
                <w:color w:val="000000"/>
                <w:sz w:val="18"/>
                <w:szCs w:val="18"/>
                <w:u w:val="single"/>
                <w:lang w:eastAsia="es-CO"/>
              </w:rPr>
              <w:t>)</w:t>
            </w:r>
          </w:p>
        </w:tc>
      </w:tr>
      <w:tr w:rsidR="00053008" w:rsidRPr="0009028A" w14:paraId="33340F8B" w14:textId="77777777" w:rsidTr="00ED50FC">
        <w:trPr>
          <w:gridAfter w:val="1"/>
          <w:wAfter w:w="145" w:type="dxa"/>
          <w:trHeight w:val="227"/>
        </w:trPr>
        <w:tc>
          <w:tcPr>
            <w:tcW w:w="4253" w:type="dxa"/>
            <w:shd w:val="clear" w:color="auto" w:fill="auto"/>
            <w:noWrap/>
            <w:vAlign w:val="center"/>
            <w:hideMark/>
          </w:tcPr>
          <w:p w14:paraId="4C1D8A08" w14:textId="77777777" w:rsidR="00053008" w:rsidRPr="0009028A" w:rsidRDefault="00053008" w:rsidP="00053008">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Total método de participación patrimonial</w:t>
            </w:r>
          </w:p>
        </w:tc>
        <w:tc>
          <w:tcPr>
            <w:tcW w:w="2410" w:type="dxa"/>
            <w:shd w:val="clear" w:color="auto" w:fill="auto"/>
            <w:noWrap/>
            <w:vAlign w:val="center"/>
            <w:hideMark/>
          </w:tcPr>
          <w:p w14:paraId="244529A7" w14:textId="77777777" w:rsidR="00053008" w:rsidRPr="0009028A" w:rsidRDefault="00053008" w:rsidP="00053008">
            <w:pPr>
              <w:spacing w:after="0" w:line="240" w:lineRule="auto"/>
              <w:jc w:val="right"/>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 </w:t>
            </w:r>
          </w:p>
        </w:tc>
        <w:tc>
          <w:tcPr>
            <w:tcW w:w="1842" w:type="dxa"/>
            <w:shd w:val="clear" w:color="auto" w:fill="auto"/>
            <w:noWrap/>
            <w:vAlign w:val="center"/>
            <w:hideMark/>
          </w:tcPr>
          <w:p w14:paraId="0C5BAFDB" w14:textId="77777777" w:rsidR="00053008" w:rsidRPr="0009028A" w:rsidRDefault="00ED50FC" w:rsidP="00053008">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lang w:eastAsia="es-CO"/>
              </w:rPr>
              <w:t xml:space="preserve">$  </w:t>
            </w:r>
            <w:r w:rsidRPr="0009028A">
              <w:rPr>
                <w:rFonts w:ascii="Arial" w:eastAsia="Times New Roman" w:hAnsi="Arial" w:cs="Arial"/>
                <w:b/>
                <w:bCs/>
                <w:color w:val="103475"/>
                <w:sz w:val="18"/>
                <w:szCs w:val="18"/>
                <w:u w:val="double"/>
                <w:lang w:eastAsia="es-CO"/>
              </w:rPr>
              <w:t xml:space="preserve">  </w:t>
            </w:r>
            <w:r w:rsidR="00053008" w:rsidRPr="0009028A">
              <w:rPr>
                <w:rFonts w:ascii="Arial" w:eastAsia="Times New Roman" w:hAnsi="Arial" w:cs="Arial"/>
                <w:b/>
                <w:bCs/>
                <w:color w:val="103475"/>
                <w:sz w:val="18"/>
                <w:szCs w:val="18"/>
                <w:u w:val="double"/>
                <w:lang w:eastAsia="es-CO"/>
              </w:rPr>
              <w:t>62.752.388</w:t>
            </w:r>
          </w:p>
        </w:tc>
        <w:tc>
          <w:tcPr>
            <w:tcW w:w="1415" w:type="dxa"/>
            <w:shd w:val="clear" w:color="auto" w:fill="auto"/>
            <w:noWrap/>
            <w:vAlign w:val="center"/>
            <w:hideMark/>
          </w:tcPr>
          <w:p w14:paraId="34762346" w14:textId="77777777" w:rsidR="00053008" w:rsidRPr="0009028A" w:rsidRDefault="00053008" w:rsidP="00053008">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59.731.721</w:t>
            </w:r>
          </w:p>
        </w:tc>
      </w:tr>
    </w:tbl>
    <w:p w14:paraId="6F451C8A" w14:textId="77777777" w:rsidR="008B5836" w:rsidRPr="0009028A" w:rsidRDefault="008B5836" w:rsidP="008B5836">
      <w:pPr>
        <w:autoSpaceDE w:val="0"/>
        <w:autoSpaceDN w:val="0"/>
        <w:adjustRightInd w:val="0"/>
        <w:spacing w:after="0" w:line="240" w:lineRule="auto"/>
        <w:jc w:val="both"/>
        <w:rPr>
          <w:rFonts w:ascii="Arial" w:hAnsi="Arial" w:cs="Arial"/>
          <w:sz w:val="20"/>
          <w:szCs w:val="20"/>
        </w:rPr>
      </w:pPr>
    </w:p>
    <w:p w14:paraId="4964BA31" w14:textId="77777777" w:rsidR="00235983" w:rsidRPr="0009028A" w:rsidRDefault="00235983" w:rsidP="008B5836">
      <w:pPr>
        <w:autoSpaceDE w:val="0"/>
        <w:autoSpaceDN w:val="0"/>
        <w:adjustRightInd w:val="0"/>
        <w:spacing w:after="0" w:line="240" w:lineRule="auto"/>
        <w:jc w:val="both"/>
        <w:rPr>
          <w:rFonts w:ascii="Arial" w:hAnsi="Arial" w:cs="Arial"/>
          <w:sz w:val="20"/>
          <w:szCs w:val="20"/>
        </w:rPr>
      </w:pPr>
      <w:r w:rsidRPr="0009028A">
        <w:rPr>
          <w:rFonts w:ascii="Arial" w:hAnsi="Arial" w:cs="Arial"/>
          <w:sz w:val="20"/>
          <w:szCs w:val="20"/>
        </w:rPr>
        <w:t xml:space="preserve">(2) </w:t>
      </w:r>
      <w:r w:rsidR="00E315BA" w:rsidRPr="0009028A">
        <w:rPr>
          <w:rFonts w:ascii="Arial" w:hAnsi="Arial" w:cs="Arial"/>
          <w:sz w:val="20"/>
          <w:szCs w:val="20"/>
        </w:rPr>
        <w:t>Se compone principalmente intereses por préstamos a Concesión La Pintada y Concesión Vial de los Llanos por $6.495.865</w:t>
      </w:r>
      <w:r w:rsidR="00E70377" w:rsidRPr="0009028A">
        <w:rPr>
          <w:rFonts w:ascii="Arial" w:hAnsi="Arial" w:cs="Arial"/>
          <w:sz w:val="20"/>
          <w:szCs w:val="20"/>
        </w:rPr>
        <w:t xml:space="preserve"> (2018 - $6.886.870).</w:t>
      </w:r>
    </w:p>
    <w:p w14:paraId="3847BE8C" w14:textId="11ADD337" w:rsidR="00E315BA" w:rsidRPr="0009028A" w:rsidRDefault="00E315BA" w:rsidP="008B5836">
      <w:pPr>
        <w:autoSpaceDE w:val="0"/>
        <w:autoSpaceDN w:val="0"/>
        <w:adjustRightInd w:val="0"/>
        <w:spacing w:after="0" w:line="240" w:lineRule="auto"/>
        <w:jc w:val="both"/>
        <w:rPr>
          <w:rFonts w:ascii="Arial" w:hAnsi="Arial" w:cs="Arial"/>
          <w:sz w:val="20"/>
          <w:szCs w:val="20"/>
          <w:highlight w:val="yellow"/>
        </w:rPr>
      </w:pPr>
    </w:p>
    <w:p w14:paraId="31628AEF" w14:textId="77777777" w:rsidR="0009028A" w:rsidRPr="0009028A" w:rsidRDefault="0009028A" w:rsidP="0009028A">
      <w:pPr>
        <w:rPr>
          <w:rFonts w:ascii="Arial" w:hAnsi="Arial" w:cs="Arial"/>
          <w:sz w:val="20"/>
          <w:szCs w:val="20"/>
        </w:rPr>
      </w:pPr>
      <w:r w:rsidRPr="0009028A">
        <w:rPr>
          <w:rFonts w:ascii="Arial" w:hAnsi="Arial" w:cs="Arial"/>
          <w:sz w:val="20"/>
          <w:szCs w:val="20"/>
        </w:rPr>
        <w:t>A continuación se detalla los ingresos de acuerdo a las obligaciones de desempeño:</w:t>
      </w:r>
    </w:p>
    <w:tbl>
      <w:tblPr>
        <w:tblW w:w="7369" w:type="dxa"/>
        <w:tblCellMar>
          <w:left w:w="70" w:type="dxa"/>
          <w:right w:w="70" w:type="dxa"/>
        </w:tblCellMar>
        <w:tblLook w:val="04A0" w:firstRow="1" w:lastRow="0" w:firstColumn="1" w:lastColumn="0" w:noHBand="0" w:noVBand="1"/>
      </w:tblPr>
      <w:tblGrid>
        <w:gridCol w:w="4535"/>
        <w:gridCol w:w="1417"/>
        <w:gridCol w:w="1417"/>
      </w:tblGrid>
      <w:tr w:rsidR="00EF26F1" w:rsidRPr="0009028A" w14:paraId="6DD871B5" w14:textId="6F56513C" w:rsidTr="00F75D67">
        <w:trPr>
          <w:trHeight w:val="630"/>
        </w:trPr>
        <w:tc>
          <w:tcPr>
            <w:tcW w:w="4535" w:type="dxa"/>
            <w:tcBorders>
              <w:top w:val="nil"/>
              <w:left w:val="nil"/>
              <w:bottom w:val="nil"/>
              <w:right w:val="nil"/>
            </w:tcBorders>
            <w:shd w:val="clear" w:color="auto" w:fill="auto"/>
            <w:noWrap/>
            <w:vAlign w:val="center"/>
          </w:tcPr>
          <w:p w14:paraId="2296099A" w14:textId="77777777" w:rsidR="00EF26F1" w:rsidRPr="0009028A" w:rsidRDefault="00EF26F1" w:rsidP="00EF26F1">
            <w:pPr>
              <w:spacing w:after="0" w:line="240" w:lineRule="auto"/>
              <w:jc w:val="center"/>
              <w:rPr>
                <w:rFonts w:ascii="Arial" w:eastAsia="Times New Roman" w:hAnsi="Arial" w:cs="Arial"/>
                <w:sz w:val="24"/>
                <w:szCs w:val="24"/>
                <w:lang w:eastAsia="es-CO"/>
              </w:rPr>
            </w:pPr>
          </w:p>
        </w:tc>
        <w:tc>
          <w:tcPr>
            <w:tcW w:w="2834" w:type="dxa"/>
            <w:gridSpan w:val="2"/>
            <w:tcBorders>
              <w:top w:val="nil"/>
              <w:left w:val="nil"/>
              <w:bottom w:val="single" w:sz="4" w:space="0" w:color="auto"/>
              <w:right w:val="nil"/>
            </w:tcBorders>
            <w:shd w:val="clear" w:color="auto" w:fill="auto"/>
            <w:vAlign w:val="center"/>
          </w:tcPr>
          <w:p w14:paraId="5D775485" w14:textId="0E6BF73C" w:rsidR="00EF26F1" w:rsidRPr="0009028A" w:rsidRDefault="00EF26F1" w:rsidP="00EF26F1">
            <w:pPr>
              <w:spacing w:after="0" w:line="240" w:lineRule="auto"/>
              <w:jc w:val="center"/>
              <w:rPr>
                <w:rFonts w:ascii="Arial" w:eastAsia="Times New Roman" w:hAnsi="Arial" w:cs="Arial"/>
                <w:b/>
                <w:bCs/>
                <w:color w:val="103475"/>
                <w:sz w:val="18"/>
                <w:szCs w:val="18"/>
                <w:lang w:eastAsia="es-CO"/>
              </w:rPr>
            </w:pPr>
            <w:r>
              <w:rPr>
                <w:rFonts w:ascii="Arial" w:eastAsia="Times New Roman" w:hAnsi="Arial" w:cs="Arial"/>
                <w:b/>
                <w:bCs/>
                <w:color w:val="103475"/>
                <w:sz w:val="18"/>
                <w:szCs w:val="18"/>
                <w:lang w:eastAsia="es-CO"/>
              </w:rPr>
              <w:t>Servicios conexos de construcción</w:t>
            </w:r>
          </w:p>
        </w:tc>
      </w:tr>
      <w:tr w:rsidR="00EF26F1" w:rsidRPr="0009028A" w14:paraId="48FE4D1B" w14:textId="77777777" w:rsidTr="00EF26F1">
        <w:trPr>
          <w:trHeight w:val="255"/>
        </w:trPr>
        <w:tc>
          <w:tcPr>
            <w:tcW w:w="4535" w:type="dxa"/>
            <w:tcBorders>
              <w:top w:val="nil"/>
              <w:left w:val="nil"/>
              <w:bottom w:val="nil"/>
              <w:right w:val="nil"/>
            </w:tcBorders>
            <w:shd w:val="clear" w:color="auto" w:fill="auto"/>
            <w:noWrap/>
            <w:vAlign w:val="center"/>
            <w:hideMark/>
          </w:tcPr>
          <w:p w14:paraId="41BE98D5" w14:textId="77777777" w:rsidR="00EF26F1" w:rsidRPr="0009028A" w:rsidRDefault="00EF26F1" w:rsidP="00EF26F1">
            <w:pPr>
              <w:spacing w:after="0" w:line="240" w:lineRule="auto"/>
              <w:jc w:val="center"/>
              <w:rPr>
                <w:rFonts w:ascii="Arial" w:eastAsia="Times New Roman" w:hAnsi="Arial" w:cs="Arial"/>
                <w:b/>
                <w:bCs/>
                <w:color w:val="000000"/>
                <w:sz w:val="18"/>
                <w:szCs w:val="18"/>
                <w:lang w:eastAsia="es-CO"/>
              </w:rPr>
            </w:pPr>
          </w:p>
        </w:tc>
        <w:tc>
          <w:tcPr>
            <w:tcW w:w="1417" w:type="dxa"/>
            <w:tcBorders>
              <w:top w:val="single" w:sz="4" w:space="0" w:color="auto"/>
              <w:left w:val="nil"/>
              <w:bottom w:val="single" w:sz="4" w:space="0" w:color="auto"/>
              <w:right w:val="nil"/>
            </w:tcBorders>
            <w:shd w:val="clear" w:color="auto" w:fill="auto"/>
            <w:noWrap/>
            <w:vAlign w:val="center"/>
            <w:hideMark/>
          </w:tcPr>
          <w:p w14:paraId="47FA08E8" w14:textId="77777777" w:rsidR="00EF26F1" w:rsidRPr="0009028A" w:rsidRDefault="00EF26F1" w:rsidP="00EF26F1">
            <w:pPr>
              <w:spacing w:after="0" w:line="240" w:lineRule="auto"/>
              <w:jc w:val="center"/>
              <w:rPr>
                <w:rFonts w:ascii="Arial" w:eastAsia="Times New Roman" w:hAnsi="Arial" w:cs="Arial"/>
                <w:b/>
                <w:bCs/>
                <w:color w:val="000000"/>
                <w:sz w:val="18"/>
                <w:szCs w:val="18"/>
                <w:lang w:eastAsia="es-CO"/>
              </w:rPr>
            </w:pPr>
            <w:r w:rsidRPr="0009028A">
              <w:rPr>
                <w:rFonts w:ascii="Arial" w:eastAsia="Times New Roman" w:hAnsi="Arial" w:cs="Arial"/>
                <w:b/>
                <w:bCs/>
                <w:color w:val="000000"/>
                <w:sz w:val="18"/>
                <w:szCs w:val="18"/>
                <w:lang w:eastAsia="es-CO"/>
              </w:rPr>
              <w:t>Marzo 2019</w:t>
            </w:r>
          </w:p>
        </w:tc>
        <w:tc>
          <w:tcPr>
            <w:tcW w:w="1417" w:type="dxa"/>
            <w:tcBorders>
              <w:top w:val="single" w:sz="4" w:space="0" w:color="auto"/>
              <w:left w:val="nil"/>
              <w:bottom w:val="single" w:sz="4" w:space="0" w:color="auto"/>
              <w:right w:val="nil"/>
            </w:tcBorders>
            <w:vAlign w:val="center"/>
          </w:tcPr>
          <w:p w14:paraId="7D15588B" w14:textId="094D47DF" w:rsidR="00EF26F1" w:rsidRPr="0009028A" w:rsidRDefault="00EF26F1" w:rsidP="00EF26F1">
            <w:pPr>
              <w:spacing w:after="0" w:line="240" w:lineRule="auto"/>
              <w:jc w:val="center"/>
              <w:rPr>
                <w:rFonts w:ascii="Arial" w:eastAsia="Times New Roman" w:hAnsi="Arial" w:cs="Arial"/>
                <w:b/>
                <w:bCs/>
                <w:color w:val="000000"/>
                <w:sz w:val="18"/>
                <w:szCs w:val="18"/>
                <w:lang w:eastAsia="es-CO"/>
              </w:rPr>
            </w:pPr>
            <w:r w:rsidRPr="0009028A">
              <w:rPr>
                <w:rFonts w:ascii="Arial" w:eastAsia="Times New Roman" w:hAnsi="Arial" w:cs="Arial"/>
                <w:b/>
                <w:bCs/>
                <w:color w:val="000000"/>
                <w:sz w:val="18"/>
                <w:szCs w:val="18"/>
                <w:lang w:eastAsia="es-CO"/>
              </w:rPr>
              <w:t>Marzo 2018</w:t>
            </w:r>
          </w:p>
        </w:tc>
      </w:tr>
      <w:tr w:rsidR="00EF26F1" w:rsidRPr="0009028A" w14:paraId="1B6266FF" w14:textId="77777777" w:rsidTr="00EF26F1">
        <w:trPr>
          <w:trHeight w:val="255"/>
        </w:trPr>
        <w:tc>
          <w:tcPr>
            <w:tcW w:w="4535" w:type="dxa"/>
            <w:tcBorders>
              <w:top w:val="nil"/>
              <w:left w:val="nil"/>
              <w:bottom w:val="nil"/>
              <w:right w:val="nil"/>
            </w:tcBorders>
            <w:shd w:val="clear" w:color="auto" w:fill="auto"/>
            <w:noWrap/>
            <w:vAlign w:val="bottom"/>
          </w:tcPr>
          <w:p w14:paraId="5EE0D32F" w14:textId="77777777" w:rsidR="00EF26F1" w:rsidRPr="0009028A" w:rsidRDefault="00EF26F1" w:rsidP="00EF26F1">
            <w:pPr>
              <w:spacing w:after="0" w:line="240" w:lineRule="auto"/>
              <w:rPr>
                <w:rFonts w:ascii="Arial" w:eastAsia="Times New Roman" w:hAnsi="Arial" w:cs="Arial"/>
                <w:b/>
                <w:bCs/>
                <w:color w:val="000000"/>
                <w:sz w:val="18"/>
                <w:szCs w:val="18"/>
                <w:lang w:eastAsia="es-CO"/>
              </w:rPr>
            </w:pPr>
            <w:r w:rsidRPr="0009028A">
              <w:rPr>
                <w:rFonts w:ascii="Arial" w:eastAsia="Times New Roman" w:hAnsi="Arial" w:cs="Arial"/>
                <w:b/>
                <w:bCs/>
                <w:color w:val="000000"/>
                <w:sz w:val="18"/>
                <w:szCs w:val="18"/>
                <w:lang w:eastAsia="es-CO"/>
              </w:rPr>
              <w:t>Región geográfica</w:t>
            </w:r>
          </w:p>
        </w:tc>
        <w:tc>
          <w:tcPr>
            <w:tcW w:w="1417" w:type="dxa"/>
            <w:tcBorders>
              <w:top w:val="single" w:sz="4" w:space="0" w:color="auto"/>
              <w:left w:val="nil"/>
              <w:right w:val="nil"/>
            </w:tcBorders>
            <w:shd w:val="clear" w:color="auto" w:fill="auto"/>
            <w:noWrap/>
            <w:vAlign w:val="center"/>
          </w:tcPr>
          <w:p w14:paraId="72128BC3" w14:textId="77777777" w:rsidR="00EF26F1" w:rsidRPr="0009028A" w:rsidRDefault="00EF26F1" w:rsidP="00EF26F1">
            <w:pPr>
              <w:spacing w:after="0" w:line="240" w:lineRule="auto"/>
              <w:jc w:val="center"/>
              <w:rPr>
                <w:rFonts w:ascii="Arial" w:eastAsia="Times New Roman" w:hAnsi="Arial" w:cs="Arial"/>
                <w:b/>
                <w:bCs/>
                <w:color w:val="000000"/>
                <w:sz w:val="18"/>
                <w:szCs w:val="18"/>
                <w:lang w:eastAsia="es-CO"/>
              </w:rPr>
            </w:pPr>
          </w:p>
        </w:tc>
        <w:tc>
          <w:tcPr>
            <w:tcW w:w="1417" w:type="dxa"/>
            <w:tcBorders>
              <w:top w:val="single" w:sz="4" w:space="0" w:color="auto"/>
              <w:left w:val="nil"/>
              <w:right w:val="nil"/>
            </w:tcBorders>
            <w:vAlign w:val="center"/>
          </w:tcPr>
          <w:p w14:paraId="19AF9748" w14:textId="77777777" w:rsidR="00EF26F1" w:rsidRPr="0009028A" w:rsidRDefault="00EF26F1" w:rsidP="00EF26F1">
            <w:pPr>
              <w:spacing w:after="0" w:line="240" w:lineRule="auto"/>
              <w:jc w:val="center"/>
              <w:rPr>
                <w:rFonts w:ascii="Arial" w:eastAsia="Times New Roman" w:hAnsi="Arial" w:cs="Arial"/>
                <w:b/>
                <w:bCs/>
                <w:color w:val="000000"/>
                <w:sz w:val="18"/>
                <w:szCs w:val="18"/>
                <w:lang w:eastAsia="es-CO"/>
              </w:rPr>
            </w:pPr>
          </w:p>
        </w:tc>
      </w:tr>
      <w:tr w:rsidR="00EF26F1" w:rsidRPr="0009028A" w14:paraId="5891721B" w14:textId="77777777" w:rsidTr="00EF26F1">
        <w:trPr>
          <w:trHeight w:val="255"/>
        </w:trPr>
        <w:tc>
          <w:tcPr>
            <w:tcW w:w="4535" w:type="dxa"/>
            <w:tcBorders>
              <w:top w:val="nil"/>
              <w:left w:val="nil"/>
              <w:bottom w:val="nil"/>
              <w:right w:val="nil"/>
            </w:tcBorders>
            <w:shd w:val="clear" w:color="auto" w:fill="auto"/>
            <w:noWrap/>
            <w:vAlign w:val="bottom"/>
            <w:hideMark/>
          </w:tcPr>
          <w:p w14:paraId="2915FCFC" w14:textId="77777777" w:rsidR="00EF26F1" w:rsidRPr="0009028A" w:rsidRDefault="00EF26F1" w:rsidP="00EF26F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Colombia</w:t>
            </w:r>
          </w:p>
        </w:tc>
        <w:tc>
          <w:tcPr>
            <w:tcW w:w="1417" w:type="dxa"/>
            <w:tcBorders>
              <w:left w:val="nil"/>
              <w:bottom w:val="single" w:sz="4" w:space="0" w:color="auto"/>
              <w:right w:val="nil"/>
            </w:tcBorders>
            <w:shd w:val="clear" w:color="auto" w:fill="auto"/>
            <w:noWrap/>
            <w:vAlign w:val="center"/>
            <w:hideMark/>
          </w:tcPr>
          <w:p w14:paraId="4B9719CD" w14:textId="77777777" w:rsidR="00EF26F1" w:rsidRPr="0009028A" w:rsidRDefault="00EF26F1" w:rsidP="00EF26F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472.098</w:t>
            </w:r>
          </w:p>
        </w:tc>
        <w:tc>
          <w:tcPr>
            <w:tcW w:w="1417" w:type="dxa"/>
            <w:tcBorders>
              <w:left w:val="nil"/>
              <w:bottom w:val="single" w:sz="4" w:space="0" w:color="auto"/>
              <w:right w:val="nil"/>
            </w:tcBorders>
            <w:vAlign w:val="center"/>
          </w:tcPr>
          <w:p w14:paraId="64C7F9B4" w14:textId="74CAEFEE" w:rsidR="00EF26F1" w:rsidRPr="0009028A" w:rsidRDefault="00EF26F1" w:rsidP="00EF26F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148.960</w:t>
            </w:r>
          </w:p>
        </w:tc>
      </w:tr>
      <w:tr w:rsidR="00EF26F1" w:rsidRPr="0009028A" w14:paraId="07634BA7" w14:textId="77777777" w:rsidTr="00EF26F1">
        <w:trPr>
          <w:trHeight w:val="255"/>
        </w:trPr>
        <w:tc>
          <w:tcPr>
            <w:tcW w:w="4535" w:type="dxa"/>
            <w:tcBorders>
              <w:top w:val="nil"/>
              <w:left w:val="nil"/>
              <w:bottom w:val="nil"/>
              <w:right w:val="nil"/>
            </w:tcBorders>
            <w:shd w:val="clear" w:color="auto" w:fill="auto"/>
            <w:noWrap/>
            <w:vAlign w:val="bottom"/>
            <w:hideMark/>
          </w:tcPr>
          <w:p w14:paraId="5ED359C3" w14:textId="77777777" w:rsidR="00EF26F1" w:rsidRPr="0009028A" w:rsidRDefault="00EF26F1" w:rsidP="00EF26F1">
            <w:pPr>
              <w:spacing w:after="0" w:line="240" w:lineRule="auto"/>
              <w:jc w:val="right"/>
              <w:rPr>
                <w:rFonts w:ascii="Arial" w:eastAsia="Times New Roman" w:hAnsi="Arial" w:cs="Arial"/>
                <w:color w:val="000000"/>
                <w:sz w:val="18"/>
                <w:szCs w:val="18"/>
                <w:lang w:eastAsia="es-CO"/>
              </w:rPr>
            </w:pPr>
          </w:p>
        </w:tc>
        <w:tc>
          <w:tcPr>
            <w:tcW w:w="1417" w:type="dxa"/>
            <w:tcBorders>
              <w:top w:val="single" w:sz="4" w:space="0" w:color="auto"/>
              <w:left w:val="nil"/>
              <w:bottom w:val="nil"/>
              <w:right w:val="nil"/>
            </w:tcBorders>
            <w:shd w:val="clear" w:color="auto" w:fill="auto"/>
            <w:noWrap/>
            <w:vAlign w:val="center"/>
            <w:hideMark/>
          </w:tcPr>
          <w:p w14:paraId="6D277384" w14:textId="77777777" w:rsidR="00EF26F1" w:rsidRPr="0009028A" w:rsidRDefault="00EF26F1" w:rsidP="00EF26F1">
            <w:pPr>
              <w:spacing w:after="0" w:line="240" w:lineRule="auto"/>
              <w:jc w:val="right"/>
              <w:rPr>
                <w:rFonts w:ascii="Arial" w:eastAsia="Times New Roman" w:hAnsi="Arial" w:cs="Arial"/>
                <w:sz w:val="20"/>
                <w:szCs w:val="20"/>
                <w:lang w:eastAsia="es-CO"/>
              </w:rPr>
            </w:pPr>
          </w:p>
        </w:tc>
        <w:tc>
          <w:tcPr>
            <w:tcW w:w="1417" w:type="dxa"/>
            <w:tcBorders>
              <w:top w:val="single" w:sz="4" w:space="0" w:color="auto"/>
              <w:left w:val="nil"/>
              <w:bottom w:val="nil"/>
              <w:right w:val="nil"/>
            </w:tcBorders>
            <w:vAlign w:val="center"/>
          </w:tcPr>
          <w:p w14:paraId="704056C0" w14:textId="77777777" w:rsidR="00EF26F1" w:rsidRPr="0009028A" w:rsidRDefault="00EF26F1" w:rsidP="00EF26F1">
            <w:pPr>
              <w:spacing w:after="0" w:line="240" w:lineRule="auto"/>
              <w:jc w:val="right"/>
              <w:rPr>
                <w:rFonts w:ascii="Arial" w:eastAsia="Times New Roman" w:hAnsi="Arial" w:cs="Arial"/>
                <w:sz w:val="20"/>
                <w:szCs w:val="20"/>
                <w:lang w:eastAsia="es-CO"/>
              </w:rPr>
            </w:pPr>
          </w:p>
        </w:tc>
      </w:tr>
      <w:tr w:rsidR="00EF26F1" w:rsidRPr="0009028A" w14:paraId="41FA13CB" w14:textId="77777777" w:rsidTr="00EF26F1">
        <w:trPr>
          <w:trHeight w:val="255"/>
        </w:trPr>
        <w:tc>
          <w:tcPr>
            <w:tcW w:w="4535" w:type="dxa"/>
            <w:tcBorders>
              <w:top w:val="nil"/>
              <w:left w:val="nil"/>
              <w:bottom w:val="nil"/>
              <w:right w:val="nil"/>
            </w:tcBorders>
            <w:shd w:val="clear" w:color="auto" w:fill="auto"/>
            <w:noWrap/>
            <w:vAlign w:val="bottom"/>
            <w:hideMark/>
          </w:tcPr>
          <w:p w14:paraId="0759FD91" w14:textId="77777777" w:rsidR="00EF26F1" w:rsidRPr="0009028A" w:rsidRDefault="00EF26F1" w:rsidP="00EF26F1">
            <w:pPr>
              <w:spacing w:after="0" w:line="240" w:lineRule="auto"/>
              <w:rPr>
                <w:rFonts w:ascii="Arial" w:eastAsia="Times New Roman" w:hAnsi="Arial" w:cs="Arial"/>
                <w:b/>
                <w:bCs/>
                <w:color w:val="000000"/>
                <w:sz w:val="18"/>
                <w:szCs w:val="18"/>
                <w:lang w:eastAsia="es-CO"/>
              </w:rPr>
            </w:pPr>
            <w:r w:rsidRPr="0009028A">
              <w:rPr>
                <w:rFonts w:ascii="Arial" w:eastAsia="Times New Roman" w:hAnsi="Arial" w:cs="Arial"/>
                <w:b/>
                <w:bCs/>
                <w:color w:val="000000"/>
                <w:sz w:val="18"/>
                <w:szCs w:val="18"/>
                <w:lang w:eastAsia="es-CO"/>
              </w:rPr>
              <w:t>Tipo de cliente</w:t>
            </w:r>
          </w:p>
        </w:tc>
        <w:tc>
          <w:tcPr>
            <w:tcW w:w="1417" w:type="dxa"/>
            <w:tcBorders>
              <w:top w:val="nil"/>
              <w:left w:val="nil"/>
              <w:right w:val="nil"/>
            </w:tcBorders>
            <w:shd w:val="clear" w:color="auto" w:fill="auto"/>
            <w:noWrap/>
            <w:vAlign w:val="center"/>
            <w:hideMark/>
          </w:tcPr>
          <w:p w14:paraId="22616A7C" w14:textId="77777777" w:rsidR="00EF26F1" w:rsidRPr="0009028A" w:rsidRDefault="00EF26F1" w:rsidP="00EF26F1">
            <w:pPr>
              <w:spacing w:after="0" w:line="240" w:lineRule="auto"/>
              <w:jc w:val="right"/>
              <w:rPr>
                <w:rFonts w:ascii="Arial" w:eastAsia="Times New Roman" w:hAnsi="Arial" w:cs="Arial"/>
                <w:b/>
                <w:bCs/>
                <w:color w:val="000000"/>
                <w:sz w:val="18"/>
                <w:szCs w:val="18"/>
                <w:lang w:eastAsia="es-CO"/>
              </w:rPr>
            </w:pPr>
          </w:p>
        </w:tc>
        <w:tc>
          <w:tcPr>
            <w:tcW w:w="1417" w:type="dxa"/>
            <w:tcBorders>
              <w:top w:val="nil"/>
              <w:left w:val="nil"/>
              <w:right w:val="nil"/>
            </w:tcBorders>
            <w:vAlign w:val="center"/>
          </w:tcPr>
          <w:p w14:paraId="78C2D7A1" w14:textId="77777777" w:rsidR="00EF26F1" w:rsidRPr="0009028A" w:rsidRDefault="00EF26F1" w:rsidP="00EF26F1">
            <w:pPr>
              <w:spacing w:after="0" w:line="240" w:lineRule="auto"/>
              <w:jc w:val="right"/>
              <w:rPr>
                <w:rFonts w:ascii="Arial" w:eastAsia="Times New Roman" w:hAnsi="Arial" w:cs="Arial"/>
                <w:sz w:val="20"/>
                <w:szCs w:val="20"/>
                <w:lang w:eastAsia="es-CO"/>
              </w:rPr>
            </w:pPr>
          </w:p>
        </w:tc>
      </w:tr>
      <w:tr w:rsidR="00EF26F1" w:rsidRPr="0009028A" w14:paraId="75FB85B7" w14:textId="77777777" w:rsidTr="00EF26F1">
        <w:trPr>
          <w:trHeight w:val="255"/>
        </w:trPr>
        <w:tc>
          <w:tcPr>
            <w:tcW w:w="4535" w:type="dxa"/>
            <w:tcBorders>
              <w:top w:val="nil"/>
              <w:left w:val="nil"/>
              <w:bottom w:val="nil"/>
              <w:right w:val="nil"/>
            </w:tcBorders>
            <w:shd w:val="clear" w:color="auto" w:fill="auto"/>
            <w:noWrap/>
            <w:vAlign w:val="bottom"/>
            <w:hideMark/>
          </w:tcPr>
          <w:p w14:paraId="31D61D60" w14:textId="77777777" w:rsidR="00EF26F1" w:rsidRPr="0009028A" w:rsidRDefault="00EF26F1" w:rsidP="00EF26F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Privado</w:t>
            </w:r>
          </w:p>
        </w:tc>
        <w:tc>
          <w:tcPr>
            <w:tcW w:w="1417" w:type="dxa"/>
            <w:tcBorders>
              <w:top w:val="nil"/>
              <w:left w:val="nil"/>
              <w:bottom w:val="single" w:sz="4" w:space="0" w:color="auto"/>
              <w:right w:val="nil"/>
            </w:tcBorders>
            <w:shd w:val="clear" w:color="auto" w:fill="auto"/>
            <w:noWrap/>
            <w:vAlign w:val="center"/>
            <w:hideMark/>
          </w:tcPr>
          <w:p w14:paraId="7E31C26A" w14:textId="77777777" w:rsidR="00EF26F1" w:rsidRPr="0009028A" w:rsidRDefault="00EF26F1" w:rsidP="00EF26F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472.098</w:t>
            </w:r>
          </w:p>
        </w:tc>
        <w:tc>
          <w:tcPr>
            <w:tcW w:w="1417" w:type="dxa"/>
            <w:tcBorders>
              <w:top w:val="nil"/>
              <w:left w:val="nil"/>
              <w:bottom w:val="single" w:sz="4" w:space="0" w:color="auto"/>
              <w:right w:val="nil"/>
            </w:tcBorders>
            <w:vAlign w:val="center"/>
          </w:tcPr>
          <w:p w14:paraId="0AC3E1F3" w14:textId="286366F6" w:rsidR="00EF26F1" w:rsidRPr="0009028A" w:rsidRDefault="00EF26F1" w:rsidP="00EF26F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148.960</w:t>
            </w:r>
          </w:p>
        </w:tc>
      </w:tr>
      <w:tr w:rsidR="00EF26F1" w:rsidRPr="0009028A" w14:paraId="565E4FF9" w14:textId="77777777" w:rsidTr="00EF26F1">
        <w:trPr>
          <w:trHeight w:val="255"/>
        </w:trPr>
        <w:tc>
          <w:tcPr>
            <w:tcW w:w="4535" w:type="dxa"/>
            <w:tcBorders>
              <w:top w:val="nil"/>
              <w:left w:val="nil"/>
              <w:bottom w:val="nil"/>
              <w:right w:val="nil"/>
            </w:tcBorders>
            <w:shd w:val="clear" w:color="auto" w:fill="auto"/>
            <w:noWrap/>
            <w:vAlign w:val="bottom"/>
            <w:hideMark/>
          </w:tcPr>
          <w:p w14:paraId="4D45BBF5" w14:textId="77777777" w:rsidR="00EF26F1" w:rsidRPr="0009028A" w:rsidRDefault="00EF26F1" w:rsidP="00EF26F1">
            <w:pPr>
              <w:spacing w:after="0" w:line="240" w:lineRule="auto"/>
              <w:jc w:val="right"/>
              <w:rPr>
                <w:rFonts w:ascii="Arial" w:eastAsia="Times New Roman" w:hAnsi="Arial" w:cs="Arial"/>
                <w:color w:val="000000"/>
                <w:sz w:val="18"/>
                <w:szCs w:val="18"/>
                <w:lang w:eastAsia="es-CO"/>
              </w:rPr>
            </w:pPr>
          </w:p>
        </w:tc>
        <w:tc>
          <w:tcPr>
            <w:tcW w:w="1417" w:type="dxa"/>
            <w:tcBorders>
              <w:top w:val="single" w:sz="4" w:space="0" w:color="auto"/>
              <w:left w:val="nil"/>
              <w:bottom w:val="nil"/>
              <w:right w:val="nil"/>
            </w:tcBorders>
            <w:shd w:val="clear" w:color="auto" w:fill="auto"/>
            <w:noWrap/>
            <w:vAlign w:val="center"/>
            <w:hideMark/>
          </w:tcPr>
          <w:p w14:paraId="07489739" w14:textId="77777777" w:rsidR="00EF26F1" w:rsidRPr="0009028A" w:rsidRDefault="00EF26F1" w:rsidP="00EF26F1">
            <w:pPr>
              <w:spacing w:after="0" w:line="240" w:lineRule="auto"/>
              <w:jc w:val="right"/>
              <w:rPr>
                <w:rFonts w:ascii="Arial" w:eastAsia="Times New Roman" w:hAnsi="Arial" w:cs="Arial"/>
                <w:sz w:val="20"/>
                <w:szCs w:val="20"/>
                <w:lang w:eastAsia="es-CO"/>
              </w:rPr>
            </w:pPr>
          </w:p>
        </w:tc>
        <w:tc>
          <w:tcPr>
            <w:tcW w:w="1417" w:type="dxa"/>
            <w:tcBorders>
              <w:top w:val="single" w:sz="4" w:space="0" w:color="auto"/>
              <w:left w:val="nil"/>
              <w:bottom w:val="nil"/>
              <w:right w:val="nil"/>
            </w:tcBorders>
            <w:vAlign w:val="center"/>
          </w:tcPr>
          <w:p w14:paraId="392BEDC6" w14:textId="77777777" w:rsidR="00EF26F1" w:rsidRPr="0009028A" w:rsidRDefault="00EF26F1" w:rsidP="00EF26F1">
            <w:pPr>
              <w:spacing w:after="0" w:line="240" w:lineRule="auto"/>
              <w:jc w:val="right"/>
              <w:rPr>
                <w:rFonts w:ascii="Arial" w:eastAsia="Times New Roman" w:hAnsi="Arial" w:cs="Arial"/>
                <w:sz w:val="20"/>
                <w:szCs w:val="20"/>
                <w:lang w:eastAsia="es-CO"/>
              </w:rPr>
            </w:pPr>
          </w:p>
        </w:tc>
      </w:tr>
      <w:tr w:rsidR="00EF26F1" w:rsidRPr="0009028A" w14:paraId="7BB91CB7" w14:textId="77777777" w:rsidTr="00EF26F1">
        <w:trPr>
          <w:trHeight w:val="255"/>
        </w:trPr>
        <w:tc>
          <w:tcPr>
            <w:tcW w:w="4535" w:type="dxa"/>
            <w:tcBorders>
              <w:top w:val="nil"/>
              <w:left w:val="nil"/>
              <w:bottom w:val="nil"/>
              <w:right w:val="nil"/>
            </w:tcBorders>
            <w:shd w:val="clear" w:color="auto" w:fill="auto"/>
            <w:noWrap/>
            <w:vAlign w:val="bottom"/>
            <w:hideMark/>
          </w:tcPr>
          <w:p w14:paraId="7B2ED5E0" w14:textId="77777777" w:rsidR="00EF26F1" w:rsidRPr="0009028A" w:rsidRDefault="00EF26F1" w:rsidP="00EF26F1">
            <w:pPr>
              <w:spacing w:after="0" w:line="240" w:lineRule="auto"/>
              <w:rPr>
                <w:rFonts w:ascii="Arial" w:eastAsia="Times New Roman" w:hAnsi="Arial" w:cs="Arial"/>
                <w:b/>
                <w:bCs/>
                <w:color w:val="000000"/>
                <w:sz w:val="18"/>
                <w:szCs w:val="18"/>
                <w:lang w:eastAsia="es-CO"/>
              </w:rPr>
            </w:pPr>
            <w:r w:rsidRPr="0009028A">
              <w:rPr>
                <w:rFonts w:ascii="Arial" w:eastAsia="Times New Roman" w:hAnsi="Arial" w:cs="Arial"/>
                <w:b/>
                <w:bCs/>
                <w:color w:val="000000"/>
                <w:sz w:val="18"/>
                <w:szCs w:val="18"/>
                <w:lang w:eastAsia="es-CO"/>
              </w:rPr>
              <w:t>Tipo de contrato</w:t>
            </w:r>
          </w:p>
        </w:tc>
        <w:tc>
          <w:tcPr>
            <w:tcW w:w="1417" w:type="dxa"/>
            <w:tcBorders>
              <w:top w:val="nil"/>
              <w:left w:val="nil"/>
              <w:right w:val="nil"/>
            </w:tcBorders>
            <w:shd w:val="clear" w:color="auto" w:fill="auto"/>
            <w:noWrap/>
            <w:vAlign w:val="center"/>
            <w:hideMark/>
          </w:tcPr>
          <w:p w14:paraId="4ECFEB15" w14:textId="77777777" w:rsidR="00EF26F1" w:rsidRPr="0009028A" w:rsidRDefault="00EF26F1" w:rsidP="00EF26F1">
            <w:pPr>
              <w:spacing w:after="0" w:line="240" w:lineRule="auto"/>
              <w:jc w:val="right"/>
              <w:rPr>
                <w:rFonts w:ascii="Arial" w:eastAsia="Times New Roman" w:hAnsi="Arial" w:cs="Arial"/>
                <w:b/>
                <w:bCs/>
                <w:color w:val="000000"/>
                <w:sz w:val="18"/>
                <w:szCs w:val="18"/>
                <w:lang w:eastAsia="es-CO"/>
              </w:rPr>
            </w:pPr>
          </w:p>
        </w:tc>
        <w:tc>
          <w:tcPr>
            <w:tcW w:w="1417" w:type="dxa"/>
            <w:tcBorders>
              <w:top w:val="nil"/>
              <w:left w:val="nil"/>
              <w:right w:val="nil"/>
            </w:tcBorders>
            <w:vAlign w:val="center"/>
          </w:tcPr>
          <w:p w14:paraId="6C4CAEB2" w14:textId="77777777" w:rsidR="00EF26F1" w:rsidRPr="0009028A" w:rsidRDefault="00EF26F1" w:rsidP="00EF26F1">
            <w:pPr>
              <w:spacing w:after="0" w:line="240" w:lineRule="auto"/>
              <w:jc w:val="right"/>
              <w:rPr>
                <w:rFonts w:ascii="Arial" w:eastAsia="Times New Roman" w:hAnsi="Arial" w:cs="Arial"/>
                <w:sz w:val="20"/>
                <w:szCs w:val="20"/>
                <w:lang w:eastAsia="es-CO"/>
              </w:rPr>
            </w:pPr>
          </w:p>
        </w:tc>
      </w:tr>
      <w:tr w:rsidR="00EF26F1" w:rsidRPr="0009028A" w14:paraId="7593FC6F" w14:textId="77777777" w:rsidTr="00EF26F1">
        <w:trPr>
          <w:trHeight w:val="255"/>
        </w:trPr>
        <w:tc>
          <w:tcPr>
            <w:tcW w:w="4535" w:type="dxa"/>
            <w:tcBorders>
              <w:top w:val="nil"/>
              <w:left w:val="nil"/>
              <w:bottom w:val="nil"/>
              <w:right w:val="nil"/>
            </w:tcBorders>
            <w:shd w:val="clear" w:color="auto" w:fill="auto"/>
            <w:noWrap/>
            <w:vAlign w:val="bottom"/>
            <w:hideMark/>
          </w:tcPr>
          <w:p w14:paraId="078F8D13" w14:textId="77777777" w:rsidR="00EF26F1" w:rsidRPr="0009028A" w:rsidRDefault="00EF26F1" w:rsidP="00EF26F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Precio fijo</w:t>
            </w:r>
          </w:p>
        </w:tc>
        <w:tc>
          <w:tcPr>
            <w:tcW w:w="1417" w:type="dxa"/>
            <w:tcBorders>
              <w:top w:val="nil"/>
              <w:left w:val="nil"/>
              <w:bottom w:val="single" w:sz="4" w:space="0" w:color="auto"/>
              <w:right w:val="nil"/>
            </w:tcBorders>
            <w:shd w:val="clear" w:color="auto" w:fill="auto"/>
            <w:noWrap/>
            <w:vAlign w:val="center"/>
            <w:hideMark/>
          </w:tcPr>
          <w:p w14:paraId="2923B74B" w14:textId="77777777" w:rsidR="00EF26F1" w:rsidRPr="0009028A" w:rsidRDefault="00EF26F1" w:rsidP="00EF26F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472.098</w:t>
            </w:r>
          </w:p>
        </w:tc>
        <w:tc>
          <w:tcPr>
            <w:tcW w:w="1417" w:type="dxa"/>
            <w:tcBorders>
              <w:top w:val="nil"/>
              <w:left w:val="nil"/>
              <w:bottom w:val="single" w:sz="4" w:space="0" w:color="auto"/>
              <w:right w:val="nil"/>
            </w:tcBorders>
            <w:vAlign w:val="center"/>
          </w:tcPr>
          <w:p w14:paraId="4FDBF239" w14:textId="0871BB9E" w:rsidR="00EF26F1" w:rsidRPr="0009028A" w:rsidRDefault="00EF26F1" w:rsidP="00EF26F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148.960</w:t>
            </w:r>
          </w:p>
        </w:tc>
      </w:tr>
      <w:tr w:rsidR="00EF26F1" w:rsidRPr="0009028A" w14:paraId="35C2F528" w14:textId="77777777" w:rsidTr="00EF26F1">
        <w:trPr>
          <w:trHeight w:val="255"/>
        </w:trPr>
        <w:tc>
          <w:tcPr>
            <w:tcW w:w="4535" w:type="dxa"/>
            <w:tcBorders>
              <w:top w:val="nil"/>
              <w:left w:val="nil"/>
              <w:bottom w:val="nil"/>
              <w:right w:val="nil"/>
            </w:tcBorders>
            <w:shd w:val="clear" w:color="auto" w:fill="auto"/>
            <w:noWrap/>
            <w:vAlign w:val="bottom"/>
            <w:hideMark/>
          </w:tcPr>
          <w:p w14:paraId="494823A9" w14:textId="77777777" w:rsidR="00EF26F1" w:rsidRPr="0009028A" w:rsidRDefault="00EF26F1" w:rsidP="00EF26F1">
            <w:pPr>
              <w:spacing w:after="0" w:line="240" w:lineRule="auto"/>
              <w:jc w:val="right"/>
              <w:rPr>
                <w:rFonts w:ascii="Arial" w:eastAsia="Times New Roman" w:hAnsi="Arial" w:cs="Arial"/>
                <w:color w:val="000000"/>
                <w:sz w:val="18"/>
                <w:szCs w:val="18"/>
                <w:lang w:eastAsia="es-CO"/>
              </w:rPr>
            </w:pPr>
          </w:p>
        </w:tc>
        <w:tc>
          <w:tcPr>
            <w:tcW w:w="1417" w:type="dxa"/>
            <w:tcBorders>
              <w:top w:val="single" w:sz="4" w:space="0" w:color="auto"/>
              <w:left w:val="nil"/>
              <w:bottom w:val="nil"/>
              <w:right w:val="nil"/>
            </w:tcBorders>
            <w:shd w:val="clear" w:color="auto" w:fill="auto"/>
            <w:noWrap/>
            <w:vAlign w:val="center"/>
            <w:hideMark/>
          </w:tcPr>
          <w:p w14:paraId="6F8CF59D" w14:textId="77777777" w:rsidR="00EF26F1" w:rsidRPr="0009028A" w:rsidRDefault="00EF26F1" w:rsidP="00EF26F1">
            <w:pPr>
              <w:spacing w:after="0" w:line="240" w:lineRule="auto"/>
              <w:jc w:val="right"/>
              <w:rPr>
                <w:rFonts w:ascii="Arial" w:eastAsia="Times New Roman" w:hAnsi="Arial" w:cs="Arial"/>
                <w:sz w:val="20"/>
                <w:szCs w:val="20"/>
                <w:lang w:eastAsia="es-CO"/>
              </w:rPr>
            </w:pPr>
          </w:p>
        </w:tc>
        <w:tc>
          <w:tcPr>
            <w:tcW w:w="1417" w:type="dxa"/>
            <w:tcBorders>
              <w:top w:val="single" w:sz="4" w:space="0" w:color="auto"/>
              <w:left w:val="nil"/>
              <w:bottom w:val="nil"/>
              <w:right w:val="nil"/>
            </w:tcBorders>
            <w:vAlign w:val="center"/>
          </w:tcPr>
          <w:p w14:paraId="445628CC" w14:textId="77777777" w:rsidR="00EF26F1" w:rsidRPr="0009028A" w:rsidRDefault="00EF26F1" w:rsidP="00EF26F1">
            <w:pPr>
              <w:spacing w:after="0" w:line="240" w:lineRule="auto"/>
              <w:jc w:val="right"/>
              <w:rPr>
                <w:rFonts w:ascii="Arial" w:eastAsia="Times New Roman" w:hAnsi="Arial" w:cs="Arial"/>
                <w:sz w:val="20"/>
                <w:szCs w:val="20"/>
                <w:lang w:eastAsia="es-CO"/>
              </w:rPr>
            </w:pPr>
          </w:p>
        </w:tc>
      </w:tr>
      <w:tr w:rsidR="00EF26F1" w:rsidRPr="0009028A" w14:paraId="4B9296A3" w14:textId="77777777" w:rsidTr="00EF26F1">
        <w:trPr>
          <w:trHeight w:val="255"/>
        </w:trPr>
        <w:tc>
          <w:tcPr>
            <w:tcW w:w="4535" w:type="dxa"/>
            <w:tcBorders>
              <w:top w:val="nil"/>
              <w:left w:val="nil"/>
              <w:bottom w:val="nil"/>
              <w:right w:val="nil"/>
            </w:tcBorders>
            <w:shd w:val="clear" w:color="auto" w:fill="auto"/>
            <w:noWrap/>
            <w:vAlign w:val="bottom"/>
            <w:hideMark/>
          </w:tcPr>
          <w:p w14:paraId="1343C6DE" w14:textId="77777777" w:rsidR="00EF26F1" w:rsidRPr="0009028A" w:rsidRDefault="00EF26F1" w:rsidP="00EF26F1">
            <w:pPr>
              <w:spacing w:after="0" w:line="240" w:lineRule="auto"/>
              <w:rPr>
                <w:rFonts w:ascii="Arial" w:eastAsia="Times New Roman" w:hAnsi="Arial" w:cs="Arial"/>
                <w:b/>
                <w:bCs/>
                <w:color w:val="000000"/>
                <w:sz w:val="18"/>
                <w:szCs w:val="18"/>
                <w:lang w:eastAsia="es-CO"/>
              </w:rPr>
            </w:pPr>
            <w:r w:rsidRPr="0009028A">
              <w:rPr>
                <w:rFonts w:ascii="Arial" w:eastAsia="Times New Roman" w:hAnsi="Arial" w:cs="Arial"/>
                <w:b/>
                <w:bCs/>
                <w:color w:val="000000"/>
                <w:sz w:val="18"/>
                <w:szCs w:val="18"/>
                <w:lang w:eastAsia="es-CO"/>
              </w:rPr>
              <w:t>Duración del contrato</w:t>
            </w:r>
          </w:p>
        </w:tc>
        <w:tc>
          <w:tcPr>
            <w:tcW w:w="1417" w:type="dxa"/>
            <w:tcBorders>
              <w:top w:val="nil"/>
              <w:left w:val="nil"/>
              <w:right w:val="nil"/>
            </w:tcBorders>
            <w:shd w:val="clear" w:color="auto" w:fill="auto"/>
            <w:noWrap/>
            <w:vAlign w:val="center"/>
            <w:hideMark/>
          </w:tcPr>
          <w:p w14:paraId="2A30E321" w14:textId="77777777" w:rsidR="00EF26F1" w:rsidRPr="0009028A" w:rsidRDefault="00EF26F1" w:rsidP="00EF26F1">
            <w:pPr>
              <w:spacing w:after="0" w:line="240" w:lineRule="auto"/>
              <w:jc w:val="right"/>
              <w:rPr>
                <w:rFonts w:ascii="Arial" w:eastAsia="Times New Roman" w:hAnsi="Arial" w:cs="Arial"/>
                <w:b/>
                <w:bCs/>
                <w:color w:val="000000"/>
                <w:sz w:val="18"/>
                <w:szCs w:val="18"/>
                <w:lang w:eastAsia="es-CO"/>
              </w:rPr>
            </w:pPr>
          </w:p>
        </w:tc>
        <w:tc>
          <w:tcPr>
            <w:tcW w:w="1417" w:type="dxa"/>
            <w:tcBorders>
              <w:top w:val="nil"/>
              <w:left w:val="nil"/>
              <w:right w:val="nil"/>
            </w:tcBorders>
            <w:vAlign w:val="center"/>
          </w:tcPr>
          <w:p w14:paraId="04CA7CB0" w14:textId="77777777" w:rsidR="00EF26F1" w:rsidRPr="0009028A" w:rsidRDefault="00EF26F1" w:rsidP="00EF26F1">
            <w:pPr>
              <w:spacing w:after="0" w:line="240" w:lineRule="auto"/>
              <w:jc w:val="right"/>
              <w:rPr>
                <w:rFonts w:ascii="Arial" w:eastAsia="Times New Roman" w:hAnsi="Arial" w:cs="Arial"/>
                <w:sz w:val="20"/>
                <w:szCs w:val="20"/>
                <w:lang w:eastAsia="es-CO"/>
              </w:rPr>
            </w:pPr>
          </w:p>
        </w:tc>
      </w:tr>
      <w:tr w:rsidR="00EF26F1" w:rsidRPr="0009028A" w14:paraId="3A679ED0" w14:textId="77777777" w:rsidTr="00EF26F1">
        <w:trPr>
          <w:trHeight w:val="255"/>
        </w:trPr>
        <w:tc>
          <w:tcPr>
            <w:tcW w:w="4535" w:type="dxa"/>
            <w:tcBorders>
              <w:top w:val="nil"/>
              <w:left w:val="nil"/>
              <w:bottom w:val="nil"/>
              <w:right w:val="nil"/>
            </w:tcBorders>
            <w:shd w:val="clear" w:color="auto" w:fill="auto"/>
            <w:noWrap/>
            <w:vAlign w:val="bottom"/>
            <w:hideMark/>
          </w:tcPr>
          <w:p w14:paraId="51A9BF49" w14:textId="77777777" w:rsidR="00EF26F1" w:rsidRPr="0009028A" w:rsidRDefault="00EF26F1" w:rsidP="00EF26F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Largo plazo</w:t>
            </w:r>
          </w:p>
        </w:tc>
        <w:tc>
          <w:tcPr>
            <w:tcW w:w="1417" w:type="dxa"/>
            <w:tcBorders>
              <w:top w:val="nil"/>
              <w:left w:val="nil"/>
              <w:bottom w:val="single" w:sz="4" w:space="0" w:color="auto"/>
              <w:right w:val="nil"/>
            </w:tcBorders>
            <w:shd w:val="clear" w:color="auto" w:fill="auto"/>
            <w:noWrap/>
            <w:vAlign w:val="center"/>
            <w:hideMark/>
          </w:tcPr>
          <w:p w14:paraId="781C25B6" w14:textId="77777777" w:rsidR="00EF26F1" w:rsidRPr="0009028A" w:rsidRDefault="00EF26F1" w:rsidP="00EF26F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472.098</w:t>
            </w:r>
          </w:p>
        </w:tc>
        <w:tc>
          <w:tcPr>
            <w:tcW w:w="1417" w:type="dxa"/>
            <w:tcBorders>
              <w:top w:val="nil"/>
              <w:left w:val="nil"/>
              <w:bottom w:val="single" w:sz="4" w:space="0" w:color="auto"/>
              <w:right w:val="nil"/>
            </w:tcBorders>
            <w:vAlign w:val="center"/>
          </w:tcPr>
          <w:p w14:paraId="0BC17F00" w14:textId="0E37647C" w:rsidR="00EF26F1" w:rsidRPr="0009028A" w:rsidRDefault="00EF26F1" w:rsidP="00EF26F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148.960</w:t>
            </w:r>
          </w:p>
        </w:tc>
      </w:tr>
      <w:tr w:rsidR="00EF26F1" w:rsidRPr="0009028A" w14:paraId="52C07FED" w14:textId="77777777" w:rsidTr="00EF26F1">
        <w:trPr>
          <w:trHeight w:val="255"/>
        </w:trPr>
        <w:tc>
          <w:tcPr>
            <w:tcW w:w="4535" w:type="dxa"/>
            <w:tcBorders>
              <w:top w:val="nil"/>
              <w:left w:val="nil"/>
              <w:bottom w:val="nil"/>
              <w:right w:val="nil"/>
            </w:tcBorders>
            <w:shd w:val="clear" w:color="auto" w:fill="auto"/>
            <w:noWrap/>
            <w:vAlign w:val="bottom"/>
            <w:hideMark/>
          </w:tcPr>
          <w:p w14:paraId="34446269" w14:textId="77777777" w:rsidR="00EF26F1" w:rsidRPr="0009028A" w:rsidRDefault="00EF26F1" w:rsidP="00EF26F1">
            <w:pPr>
              <w:spacing w:after="0" w:line="240" w:lineRule="auto"/>
              <w:jc w:val="right"/>
              <w:rPr>
                <w:rFonts w:ascii="Arial" w:eastAsia="Times New Roman" w:hAnsi="Arial" w:cs="Arial"/>
                <w:color w:val="000000"/>
                <w:sz w:val="18"/>
                <w:szCs w:val="18"/>
                <w:lang w:eastAsia="es-CO"/>
              </w:rPr>
            </w:pPr>
          </w:p>
        </w:tc>
        <w:tc>
          <w:tcPr>
            <w:tcW w:w="1417" w:type="dxa"/>
            <w:tcBorders>
              <w:top w:val="single" w:sz="4" w:space="0" w:color="auto"/>
              <w:left w:val="nil"/>
              <w:bottom w:val="nil"/>
              <w:right w:val="nil"/>
            </w:tcBorders>
            <w:shd w:val="clear" w:color="auto" w:fill="auto"/>
            <w:noWrap/>
            <w:vAlign w:val="center"/>
            <w:hideMark/>
          </w:tcPr>
          <w:p w14:paraId="3E802F9C" w14:textId="77777777" w:rsidR="00EF26F1" w:rsidRPr="0009028A" w:rsidRDefault="00EF26F1" w:rsidP="00EF26F1">
            <w:pPr>
              <w:spacing w:after="0" w:line="240" w:lineRule="auto"/>
              <w:jc w:val="right"/>
              <w:rPr>
                <w:rFonts w:ascii="Arial" w:eastAsia="Times New Roman" w:hAnsi="Arial" w:cs="Arial"/>
                <w:sz w:val="20"/>
                <w:szCs w:val="20"/>
                <w:lang w:eastAsia="es-CO"/>
              </w:rPr>
            </w:pPr>
          </w:p>
        </w:tc>
        <w:tc>
          <w:tcPr>
            <w:tcW w:w="1417" w:type="dxa"/>
            <w:tcBorders>
              <w:top w:val="single" w:sz="4" w:space="0" w:color="auto"/>
              <w:left w:val="nil"/>
              <w:bottom w:val="nil"/>
              <w:right w:val="nil"/>
            </w:tcBorders>
            <w:vAlign w:val="center"/>
          </w:tcPr>
          <w:p w14:paraId="276B3E97" w14:textId="77777777" w:rsidR="00EF26F1" w:rsidRPr="0009028A" w:rsidRDefault="00EF26F1" w:rsidP="00EF26F1">
            <w:pPr>
              <w:spacing w:after="0" w:line="240" w:lineRule="auto"/>
              <w:jc w:val="right"/>
              <w:rPr>
                <w:rFonts w:ascii="Arial" w:eastAsia="Times New Roman" w:hAnsi="Arial" w:cs="Arial"/>
                <w:sz w:val="20"/>
                <w:szCs w:val="20"/>
                <w:lang w:eastAsia="es-CO"/>
              </w:rPr>
            </w:pPr>
          </w:p>
        </w:tc>
      </w:tr>
      <w:tr w:rsidR="00EF26F1" w:rsidRPr="0009028A" w14:paraId="1A2CB892" w14:textId="77777777" w:rsidTr="00EF26F1">
        <w:trPr>
          <w:trHeight w:val="255"/>
        </w:trPr>
        <w:tc>
          <w:tcPr>
            <w:tcW w:w="4535" w:type="dxa"/>
            <w:tcBorders>
              <w:top w:val="nil"/>
              <w:left w:val="nil"/>
              <w:bottom w:val="nil"/>
              <w:right w:val="nil"/>
            </w:tcBorders>
            <w:shd w:val="clear" w:color="auto" w:fill="auto"/>
            <w:noWrap/>
            <w:vAlign w:val="bottom"/>
            <w:hideMark/>
          </w:tcPr>
          <w:p w14:paraId="3DF88B6D" w14:textId="77777777" w:rsidR="00EF26F1" w:rsidRPr="0009028A" w:rsidRDefault="00EF26F1" w:rsidP="00EF26F1">
            <w:pPr>
              <w:spacing w:after="0" w:line="240" w:lineRule="auto"/>
              <w:rPr>
                <w:rFonts w:ascii="Arial" w:eastAsia="Times New Roman" w:hAnsi="Arial" w:cs="Arial"/>
                <w:b/>
                <w:bCs/>
                <w:color w:val="000000"/>
                <w:sz w:val="18"/>
                <w:szCs w:val="18"/>
                <w:lang w:eastAsia="es-CO"/>
              </w:rPr>
            </w:pPr>
            <w:r w:rsidRPr="0009028A">
              <w:rPr>
                <w:rFonts w:ascii="Arial" w:eastAsia="Times New Roman" w:hAnsi="Arial" w:cs="Arial"/>
                <w:b/>
                <w:bCs/>
                <w:color w:val="000000"/>
                <w:sz w:val="18"/>
                <w:szCs w:val="18"/>
                <w:lang w:eastAsia="es-CO"/>
              </w:rPr>
              <w:t>Satisfacción de obligaciones de desempeño</w:t>
            </w:r>
          </w:p>
        </w:tc>
        <w:tc>
          <w:tcPr>
            <w:tcW w:w="1417" w:type="dxa"/>
            <w:tcBorders>
              <w:top w:val="nil"/>
              <w:left w:val="nil"/>
              <w:right w:val="nil"/>
            </w:tcBorders>
            <w:shd w:val="clear" w:color="auto" w:fill="auto"/>
            <w:noWrap/>
            <w:vAlign w:val="center"/>
            <w:hideMark/>
          </w:tcPr>
          <w:p w14:paraId="0309B6C2" w14:textId="77777777" w:rsidR="00EF26F1" w:rsidRPr="0009028A" w:rsidRDefault="00EF26F1" w:rsidP="00EF26F1">
            <w:pPr>
              <w:spacing w:after="0" w:line="240" w:lineRule="auto"/>
              <w:jc w:val="right"/>
              <w:rPr>
                <w:rFonts w:ascii="Arial" w:eastAsia="Times New Roman" w:hAnsi="Arial" w:cs="Arial"/>
                <w:b/>
                <w:bCs/>
                <w:color w:val="000000"/>
                <w:sz w:val="18"/>
                <w:szCs w:val="18"/>
                <w:lang w:eastAsia="es-CO"/>
              </w:rPr>
            </w:pPr>
          </w:p>
        </w:tc>
        <w:tc>
          <w:tcPr>
            <w:tcW w:w="1417" w:type="dxa"/>
            <w:tcBorders>
              <w:top w:val="nil"/>
              <w:left w:val="nil"/>
              <w:right w:val="nil"/>
            </w:tcBorders>
            <w:vAlign w:val="center"/>
          </w:tcPr>
          <w:p w14:paraId="1A0FC1A5" w14:textId="77777777" w:rsidR="00EF26F1" w:rsidRPr="0009028A" w:rsidRDefault="00EF26F1" w:rsidP="00EF26F1">
            <w:pPr>
              <w:spacing w:after="0" w:line="240" w:lineRule="auto"/>
              <w:jc w:val="right"/>
              <w:rPr>
                <w:rFonts w:ascii="Arial" w:eastAsia="Times New Roman" w:hAnsi="Arial" w:cs="Arial"/>
                <w:sz w:val="20"/>
                <w:szCs w:val="20"/>
                <w:lang w:eastAsia="es-CO"/>
              </w:rPr>
            </w:pPr>
          </w:p>
        </w:tc>
      </w:tr>
      <w:tr w:rsidR="00EF26F1" w:rsidRPr="0009028A" w14:paraId="34A8BE12" w14:textId="77777777" w:rsidTr="00EF26F1">
        <w:trPr>
          <w:trHeight w:val="255"/>
        </w:trPr>
        <w:tc>
          <w:tcPr>
            <w:tcW w:w="4535" w:type="dxa"/>
            <w:tcBorders>
              <w:top w:val="nil"/>
              <w:left w:val="nil"/>
              <w:bottom w:val="nil"/>
              <w:right w:val="nil"/>
            </w:tcBorders>
            <w:shd w:val="clear" w:color="auto" w:fill="auto"/>
            <w:noWrap/>
            <w:vAlign w:val="bottom"/>
            <w:hideMark/>
          </w:tcPr>
          <w:p w14:paraId="40B18371" w14:textId="77777777" w:rsidR="00EF26F1" w:rsidRPr="0009028A" w:rsidRDefault="00EF26F1" w:rsidP="00EF26F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En un punto del tiempo</w:t>
            </w:r>
          </w:p>
        </w:tc>
        <w:tc>
          <w:tcPr>
            <w:tcW w:w="1417" w:type="dxa"/>
            <w:tcBorders>
              <w:top w:val="nil"/>
              <w:left w:val="nil"/>
              <w:bottom w:val="single" w:sz="4" w:space="0" w:color="auto"/>
              <w:right w:val="nil"/>
            </w:tcBorders>
            <w:shd w:val="clear" w:color="auto" w:fill="auto"/>
            <w:noWrap/>
            <w:vAlign w:val="center"/>
            <w:hideMark/>
          </w:tcPr>
          <w:p w14:paraId="750C6E0C" w14:textId="77777777" w:rsidR="00EF26F1" w:rsidRPr="0009028A" w:rsidRDefault="00EF26F1" w:rsidP="00EF26F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472.098</w:t>
            </w:r>
          </w:p>
        </w:tc>
        <w:tc>
          <w:tcPr>
            <w:tcW w:w="1417" w:type="dxa"/>
            <w:tcBorders>
              <w:top w:val="nil"/>
              <w:left w:val="nil"/>
              <w:bottom w:val="single" w:sz="4" w:space="0" w:color="auto"/>
              <w:right w:val="nil"/>
            </w:tcBorders>
            <w:vAlign w:val="center"/>
          </w:tcPr>
          <w:p w14:paraId="1E8DC7B9" w14:textId="7E16927B" w:rsidR="00EF26F1" w:rsidRPr="0009028A" w:rsidRDefault="00EF26F1" w:rsidP="00EF26F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148.960</w:t>
            </w:r>
          </w:p>
        </w:tc>
      </w:tr>
      <w:tr w:rsidR="00EF26F1" w:rsidRPr="0009028A" w14:paraId="5EC11DFF" w14:textId="77777777" w:rsidTr="00EF26F1">
        <w:trPr>
          <w:trHeight w:val="255"/>
        </w:trPr>
        <w:tc>
          <w:tcPr>
            <w:tcW w:w="4535" w:type="dxa"/>
            <w:tcBorders>
              <w:top w:val="nil"/>
              <w:left w:val="nil"/>
              <w:bottom w:val="nil"/>
              <w:right w:val="nil"/>
            </w:tcBorders>
            <w:shd w:val="clear" w:color="auto" w:fill="auto"/>
            <w:noWrap/>
            <w:vAlign w:val="bottom"/>
            <w:hideMark/>
          </w:tcPr>
          <w:p w14:paraId="489098AC" w14:textId="77777777" w:rsidR="00EF26F1" w:rsidRPr="0009028A" w:rsidRDefault="00EF26F1" w:rsidP="00EF26F1">
            <w:pPr>
              <w:spacing w:after="0" w:line="240" w:lineRule="auto"/>
              <w:jc w:val="right"/>
              <w:rPr>
                <w:rFonts w:ascii="Arial" w:eastAsia="Times New Roman" w:hAnsi="Arial" w:cs="Arial"/>
                <w:color w:val="000000"/>
                <w:sz w:val="18"/>
                <w:szCs w:val="18"/>
                <w:lang w:eastAsia="es-CO"/>
              </w:rPr>
            </w:pPr>
          </w:p>
        </w:tc>
        <w:tc>
          <w:tcPr>
            <w:tcW w:w="1417" w:type="dxa"/>
            <w:tcBorders>
              <w:top w:val="single" w:sz="4" w:space="0" w:color="auto"/>
              <w:left w:val="nil"/>
              <w:bottom w:val="nil"/>
              <w:right w:val="nil"/>
            </w:tcBorders>
            <w:shd w:val="clear" w:color="auto" w:fill="auto"/>
            <w:noWrap/>
            <w:vAlign w:val="center"/>
            <w:hideMark/>
          </w:tcPr>
          <w:p w14:paraId="6E3DDA0B" w14:textId="77777777" w:rsidR="00EF26F1" w:rsidRPr="0009028A" w:rsidRDefault="00EF26F1" w:rsidP="00EF26F1">
            <w:pPr>
              <w:spacing w:after="0" w:line="240" w:lineRule="auto"/>
              <w:jc w:val="right"/>
              <w:rPr>
                <w:rFonts w:ascii="Arial" w:eastAsia="Times New Roman" w:hAnsi="Arial" w:cs="Arial"/>
                <w:sz w:val="20"/>
                <w:szCs w:val="20"/>
                <w:lang w:eastAsia="es-CO"/>
              </w:rPr>
            </w:pPr>
          </w:p>
        </w:tc>
        <w:tc>
          <w:tcPr>
            <w:tcW w:w="1417" w:type="dxa"/>
            <w:tcBorders>
              <w:top w:val="single" w:sz="4" w:space="0" w:color="auto"/>
              <w:left w:val="nil"/>
              <w:bottom w:val="nil"/>
              <w:right w:val="nil"/>
            </w:tcBorders>
            <w:vAlign w:val="center"/>
          </w:tcPr>
          <w:p w14:paraId="1F16F856" w14:textId="77777777" w:rsidR="00EF26F1" w:rsidRPr="0009028A" w:rsidRDefault="00EF26F1" w:rsidP="00EF26F1">
            <w:pPr>
              <w:spacing w:after="0" w:line="240" w:lineRule="auto"/>
              <w:jc w:val="right"/>
              <w:rPr>
                <w:rFonts w:ascii="Arial" w:eastAsia="Times New Roman" w:hAnsi="Arial" w:cs="Arial"/>
                <w:sz w:val="20"/>
                <w:szCs w:val="20"/>
                <w:lang w:eastAsia="es-CO"/>
              </w:rPr>
            </w:pPr>
          </w:p>
        </w:tc>
      </w:tr>
      <w:tr w:rsidR="00EF26F1" w:rsidRPr="0009028A" w14:paraId="063B46F7" w14:textId="77777777" w:rsidTr="00EF26F1">
        <w:trPr>
          <w:trHeight w:val="255"/>
        </w:trPr>
        <w:tc>
          <w:tcPr>
            <w:tcW w:w="4535" w:type="dxa"/>
            <w:tcBorders>
              <w:top w:val="nil"/>
              <w:left w:val="nil"/>
              <w:bottom w:val="nil"/>
              <w:right w:val="nil"/>
            </w:tcBorders>
            <w:shd w:val="clear" w:color="auto" w:fill="auto"/>
            <w:noWrap/>
            <w:vAlign w:val="bottom"/>
            <w:hideMark/>
          </w:tcPr>
          <w:p w14:paraId="31A8B2F4" w14:textId="77777777" w:rsidR="00EF26F1" w:rsidRPr="0009028A" w:rsidRDefault="00EF26F1" w:rsidP="00EF26F1">
            <w:pPr>
              <w:spacing w:after="0" w:line="240" w:lineRule="auto"/>
              <w:rPr>
                <w:rFonts w:ascii="Arial" w:eastAsia="Times New Roman" w:hAnsi="Arial" w:cs="Arial"/>
                <w:b/>
                <w:bCs/>
                <w:color w:val="000000"/>
                <w:sz w:val="18"/>
                <w:szCs w:val="18"/>
                <w:lang w:eastAsia="es-CO"/>
              </w:rPr>
            </w:pPr>
            <w:r w:rsidRPr="0009028A">
              <w:rPr>
                <w:rFonts w:ascii="Arial" w:eastAsia="Times New Roman" w:hAnsi="Arial" w:cs="Arial"/>
                <w:b/>
                <w:bCs/>
                <w:color w:val="000000"/>
                <w:sz w:val="18"/>
                <w:szCs w:val="18"/>
                <w:lang w:eastAsia="es-CO"/>
              </w:rPr>
              <w:t>Canales de ventas</w:t>
            </w:r>
          </w:p>
        </w:tc>
        <w:tc>
          <w:tcPr>
            <w:tcW w:w="1417" w:type="dxa"/>
            <w:tcBorders>
              <w:top w:val="nil"/>
              <w:left w:val="nil"/>
              <w:right w:val="nil"/>
            </w:tcBorders>
            <w:shd w:val="clear" w:color="auto" w:fill="auto"/>
            <w:noWrap/>
            <w:vAlign w:val="center"/>
            <w:hideMark/>
          </w:tcPr>
          <w:p w14:paraId="2FE60306" w14:textId="77777777" w:rsidR="00EF26F1" w:rsidRPr="0009028A" w:rsidRDefault="00EF26F1" w:rsidP="00EF26F1">
            <w:pPr>
              <w:spacing w:after="0" w:line="240" w:lineRule="auto"/>
              <w:jc w:val="right"/>
              <w:rPr>
                <w:rFonts w:ascii="Arial" w:eastAsia="Times New Roman" w:hAnsi="Arial" w:cs="Arial"/>
                <w:b/>
                <w:bCs/>
                <w:color w:val="000000"/>
                <w:sz w:val="18"/>
                <w:szCs w:val="18"/>
                <w:lang w:eastAsia="es-CO"/>
              </w:rPr>
            </w:pPr>
          </w:p>
        </w:tc>
        <w:tc>
          <w:tcPr>
            <w:tcW w:w="1417" w:type="dxa"/>
            <w:tcBorders>
              <w:top w:val="nil"/>
              <w:left w:val="nil"/>
              <w:right w:val="nil"/>
            </w:tcBorders>
            <w:vAlign w:val="center"/>
          </w:tcPr>
          <w:p w14:paraId="2AC0C200" w14:textId="77777777" w:rsidR="00EF26F1" w:rsidRPr="0009028A" w:rsidRDefault="00EF26F1" w:rsidP="00EF26F1">
            <w:pPr>
              <w:spacing w:after="0" w:line="240" w:lineRule="auto"/>
              <w:jc w:val="right"/>
              <w:rPr>
                <w:rFonts w:ascii="Arial" w:eastAsia="Times New Roman" w:hAnsi="Arial" w:cs="Arial"/>
                <w:sz w:val="20"/>
                <w:szCs w:val="20"/>
                <w:lang w:eastAsia="es-CO"/>
              </w:rPr>
            </w:pPr>
          </w:p>
        </w:tc>
      </w:tr>
      <w:tr w:rsidR="00EF26F1" w:rsidRPr="0009028A" w14:paraId="2252062A" w14:textId="77777777" w:rsidTr="00EF26F1">
        <w:trPr>
          <w:trHeight w:val="255"/>
        </w:trPr>
        <w:tc>
          <w:tcPr>
            <w:tcW w:w="4535" w:type="dxa"/>
            <w:tcBorders>
              <w:top w:val="nil"/>
              <w:left w:val="nil"/>
              <w:bottom w:val="nil"/>
              <w:right w:val="nil"/>
            </w:tcBorders>
            <w:shd w:val="clear" w:color="auto" w:fill="auto"/>
            <w:noWrap/>
            <w:vAlign w:val="bottom"/>
            <w:hideMark/>
          </w:tcPr>
          <w:p w14:paraId="2B1E21D6" w14:textId="77777777" w:rsidR="00EF26F1" w:rsidRPr="0009028A" w:rsidRDefault="00EF26F1" w:rsidP="00EF26F1">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Directamente a clientes</w:t>
            </w:r>
          </w:p>
        </w:tc>
        <w:tc>
          <w:tcPr>
            <w:tcW w:w="1417" w:type="dxa"/>
            <w:tcBorders>
              <w:top w:val="nil"/>
              <w:left w:val="nil"/>
              <w:bottom w:val="single" w:sz="4" w:space="0" w:color="auto"/>
              <w:right w:val="nil"/>
            </w:tcBorders>
            <w:shd w:val="clear" w:color="auto" w:fill="auto"/>
            <w:noWrap/>
            <w:vAlign w:val="center"/>
            <w:hideMark/>
          </w:tcPr>
          <w:p w14:paraId="3E04D9BF" w14:textId="77777777" w:rsidR="00EF26F1" w:rsidRPr="0009028A" w:rsidRDefault="00EF26F1" w:rsidP="00EF26F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472.098</w:t>
            </w:r>
          </w:p>
        </w:tc>
        <w:tc>
          <w:tcPr>
            <w:tcW w:w="1417" w:type="dxa"/>
            <w:tcBorders>
              <w:top w:val="nil"/>
              <w:left w:val="nil"/>
              <w:bottom w:val="single" w:sz="4" w:space="0" w:color="auto"/>
              <w:right w:val="nil"/>
            </w:tcBorders>
            <w:vAlign w:val="center"/>
          </w:tcPr>
          <w:p w14:paraId="75E24DCD" w14:textId="42FE63AE" w:rsidR="00EF26F1" w:rsidRPr="0009028A" w:rsidRDefault="00EF26F1" w:rsidP="00EF26F1">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148.960</w:t>
            </w:r>
          </w:p>
        </w:tc>
      </w:tr>
    </w:tbl>
    <w:p w14:paraId="548C9CA7" w14:textId="70B28D4F" w:rsidR="0009028A" w:rsidRDefault="0009028A" w:rsidP="008B5836">
      <w:pPr>
        <w:autoSpaceDE w:val="0"/>
        <w:autoSpaceDN w:val="0"/>
        <w:adjustRightInd w:val="0"/>
        <w:spacing w:after="0" w:line="240" w:lineRule="auto"/>
        <w:jc w:val="both"/>
        <w:rPr>
          <w:rFonts w:ascii="Arial" w:hAnsi="Arial" w:cs="Arial"/>
          <w:sz w:val="20"/>
          <w:szCs w:val="20"/>
          <w:highlight w:val="yellow"/>
        </w:rPr>
      </w:pPr>
    </w:p>
    <w:p w14:paraId="0CE408B6" w14:textId="77777777" w:rsidR="008B3749" w:rsidRPr="0009028A" w:rsidRDefault="008B3749" w:rsidP="008B5836">
      <w:pPr>
        <w:autoSpaceDE w:val="0"/>
        <w:autoSpaceDN w:val="0"/>
        <w:adjustRightInd w:val="0"/>
        <w:spacing w:after="0" w:line="240" w:lineRule="auto"/>
        <w:jc w:val="both"/>
        <w:rPr>
          <w:rFonts w:ascii="Arial" w:hAnsi="Arial" w:cs="Arial"/>
          <w:sz w:val="20"/>
          <w:szCs w:val="20"/>
          <w:highlight w:val="yellow"/>
        </w:rPr>
      </w:pPr>
    </w:p>
    <w:p w14:paraId="62451C13" w14:textId="3A30158C" w:rsidR="001974A3" w:rsidRPr="0009028A" w:rsidRDefault="001974A3" w:rsidP="00D100F1">
      <w:pPr>
        <w:pStyle w:val="Ttulo1"/>
      </w:pPr>
      <w:bookmarkStart w:id="331" w:name="_Toc506991952"/>
      <w:bookmarkStart w:id="332" w:name="_Toc8735118"/>
      <w:bookmarkStart w:id="333" w:name="_Hlk506979874"/>
      <w:bookmarkStart w:id="334" w:name="_Hlk499129171"/>
      <w:r w:rsidRPr="0009028A">
        <w:t xml:space="preserve">NOTA </w:t>
      </w:r>
      <w:r w:rsidR="00964E83">
        <w:t>20</w:t>
      </w:r>
      <w:r w:rsidRPr="0009028A">
        <w:t xml:space="preserve">: </w:t>
      </w:r>
      <w:r w:rsidR="005E5825" w:rsidRPr="0009028A">
        <w:t>Costo de actividades ordinarias</w:t>
      </w:r>
      <w:bookmarkEnd w:id="331"/>
      <w:bookmarkEnd w:id="332"/>
    </w:p>
    <w:bookmarkEnd w:id="333"/>
    <w:p w14:paraId="5668CE7F" w14:textId="77777777" w:rsidR="001974A3" w:rsidRPr="0009028A" w:rsidRDefault="009758C0" w:rsidP="00DB2B17">
      <w:pPr>
        <w:spacing w:after="0"/>
        <w:rPr>
          <w:rFonts w:ascii="Arial" w:hAnsi="Arial" w:cs="Arial"/>
          <w:sz w:val="20"/>
          <w:szCs w:val="20"/>
        </w:rPr>
      </w:pPr>
      <w:r w:rsidRPr="0009028A">
        <w:rPr>
          <w:rFonts w:ascii="Arial" w:hAnsi="Arial" w:cs="Arial"/>
          <w:sz w:val="20"/>
          <w:szCs w:val="20"/>
        </w:rPr>
        <w:t>El costo de ventas a 3</w:t>
      </w:r>
      <w:r w:rsidR="00F95903" w:rsidRPr="0009028A">
        <w:rPr>
          <w:rFonts w:ascii="Arial" w:hAnsi="Arial" w:cs="Arial"/>
          <w:sz w:val="20"/>
          <w:szCs w:val="20"/>
        </w:rPr>
        <w:t>1</w:t>
      </w:r>
      <w:r w:rsidR="001974A3" w:rsidRPr="0009028A">
        <w:rPr>
          <w:rFonts w:ascii="Arial" w:hAnsi="Arial" w:cs="Arial"/>
          <w:sz w:val="20"/>
          <w:szCs w:val="20"/>
        </w:rPr>
        <w:t xml:space="preserve"> de </w:t>
      </w:r>
      <w:r w:rsidR="00F95903" w:rsidRPr="0009028A">
        <w:rPr>
          <w:rFonts w:ascii="Arial" w:hAnsi="Arial" w:cs="Arial"/>
          <w:sz w:val="20"/>
          <w:szCs w:val="20"/>
        </w:rPr>
        <w:t>marzo</w:t>
      </w:r>
      <w:r w:rsidR="00BB591E" w:rsidRPr="0009028A">
        <w:rPr>
          <w:rFonts w:ascii="Arial" w:hAnsi="Arial" w:cs="Arial"/>
          <w:sz w:val="20"/>
          <w:szCs w:val="20"/>
        </w:rPr>
        <w:t xml:space="preserve"> </w:t>
      </w:r>
      <w:r w:rsidR="001974A3" w:rsidRPr="0009028A">
        <w:rPr>
          <w:rFonts w:ascii="Arial" w:hAnsi="Arial" w:cs="Arial"/>
          <w:sz w:val="20"/>
          <w:szCs w:val="20"/>
        </w:rPr>
        <w:t>comprende</w:t>
      </w:r>
      <w:r w:rsidR="00BB591E" w:rsidRPr="0009028A">
        <w:rPr>
          <w:rFonts w:ascii="Arial" w:hAnsi="Arial" w:cs="Arial"/>
          <w:sz w:val="20"/>
          <w:szCs w:val="20"/>
        </w:rPr>
        <w:t>:</w:t>
      </w:r>
    </w:p>
    <w:tbl>
      <w:tblPr>
        <w:tblW w:w="5000" w:type="pct"/>
        <w:jc w:val="center"/>
        <w:tblCellMar>
          <w:left w:w="70" w:type="dxa"/>
          <w:right w:w="70" w:type="dxa"/>
        </w:tblCellMar>
        <w:tblLook w:val="04A0" w:firstRow="1" w:lastRow="0" w:firstColumn="1" w:lastColumn="0" w:noHBand="0" w:noVBand="1"/>
      </w:tblPr>
      <w:tblGrid>
        <w:gridCol w:w="5298"/>
        <w:gridCol w:w="2498"/>
        <w:gridCol w:w="2125"/>
      </w:tblGrid>
      <w:tr w:rsidR="00F95903" w:rsidRPr="0009028A" w14:paraId="4308E717" w14:textId="77777777" w:rsidTr="00ED50FC">
        <w:trPr>
          <w:trHeight w:val="246"/>
          <w:jc w:val="center"/>
        </w:trPr>
        <w:tc>
          <w:tcPr>
            <w:tcW w:w="2670" w:type="pct"/>
            <w:shd w:val="clear" w:color="auto" w:fill="auto"/>
            <w:vAlign w:val="center"/>
          </w:tcPr>
          <w:p w14:paraId="0DC6BE33" w14:textId="77777777" w:rsidR="00F95903" w:rsidRPr="0009028A" w:rsidRDefault="00F95903" w:rsidP="00866451">
            <w:pPr>
              <w:spacing w:after="0" w:line="240" w:lineRule="auto"/>
              <w:rPr>
                <w:rFonts w:ascii="Arial" w:eastAsia="Times New Roman" w:hAnsi="Arial" w:cs="Arial"/>
                <w:color w:val="000000"/>
                <w:lang w:eastAsia="es-CO"/>
              </w:rPr>
            </w:pPr>
          </w:p>
        </w:tc>
        <w:tc>
          <w:tcPr>
            <w:tcW w:w="2330" w:type="pct"/>
            <w:gridSpan w:val="2"/>
            <w:shd w:val="clear" w:color="auto" w:fill="auto"/>
            <w:vAlign w:val="center"/>
          </w:tcPr>
          <w:p w14:paraId="1C7B58C3" w14:textId="77777777" w:rsidR="00F95903" w:rsidRPr="0009028A" w:rsidRDefault="00F95903" w:rsidP="00866451">
            <w:pPr>
              <w:spacing w:after="0" w:line="240" w:lineRule="auto"/>
              <w:jc w:val="center"/>
              <w:rPr>
                <w:rFonts w:ascii="Arial" w:eastAsia="Times New Roman" w:hAnsi="Arial" w:cs="Arial"/>
                <w:b/>
                <w:bCs/>
                <w:sz w:val="18"/>
                <w:szCs w:val="18"/>
                <w:lang w:eastAsia="es-CO"/>
              </w:rPr>
            </w:pPr>
          </w:p>
        </w:tc>
      </w:tr>
      <w:tr w:rsidR="00240AD3" w:rsidRPr="0009028A" w14:paraId="2E526C7B" w14:textId="77777777" w:rsidTr="00ED50FC">
        <w:trPr>
          <w:trHeight w:val="89"/>
          <w:jc w:val="center"/>
        </w:trPr>
        <w:tc>
          <w:tcPr>
            <w:tcW w:w="2670" w:type="pct"/>
            <w:shd w:val="clear" w:color="auto" w:fill="auto"/>
            <w:vAlign w:val="center"/>
            <w:hideMark/>
          </w:tcPr>
          <w:p w14:paraId="47962450" w14:textId="77777777" w:rsidR="00240AD3" w:rsidRPr="0009028A" w:rsidRDefault="00240AD3" w:rsidP="00240AD3">
            <w:pPr>
              <w:spacing w:after="0" w:line="240" w:lineRule="auto"/>
              <w:rPr>
                <w:rFonts w:ascii="Arial" w:eastAsia="Times New Roman" w:hAnsi="Arial" w:cs="Arial"/>
                <w:color w:val="000000"/>
                <w:lang w:eastAsia="es-CO"/>
              </w:rPr>
            </w:pPr>
            <w:r w:rsidRPr="0009028A">
              <w:rPr>
                <w:rFonts w:ascii="Arial" w:eastAsia="Times New Roman" w:hAnsi="Arial" w:cs="Arial"/>
                <w:color w:val="000000"/>
                <w:lang w:eastAsia="es-CO"/>
              </w:rPr>
              <w:t> </w:t>
            </w:r>
          </w:p>
        </w:tc>
        <w:tc>
          <w:tcPr>
            <w:tcW w:w="1259" w:type="pct"/>
            <w:shd w:val="clear" w:color="auto" w:fill="auto"/>
            <w:vAlign w:val="center"/>
            <w:hideMark/>
          </w:tcPr>
          <w:p w14:paraId="65FBEB6D" w14:textId="77777777" w:rsidR="00240AD3" w:rsidRPr="0009028A" w:rsidRDefault="00240AD3" w:rsidP="00240AD3">
            <w:pPr>
              <w:spacing w:after="0" w:line="240" w:lineRule="auto"/>
              <w:jc w:val="right"/>
              <w:rPr>
                <w:rFonts w:ascii="Arial" w:eastAsia="Times New Roman" w:hAnsi="Arial" w:cs="Arial"/>
                <w:b/>
                <w:bCs/>
                <w:sz w:val="18"/>
                <w:szCs w:val="18"/>
                <w:lang w:eastAsia="es-CO"/>
              </w:rPr>
            </w:pPr>
            <w:r w:rsidRPr="0009028A">
              <w:rPr>
                <w:rFonts w:ascii="Arial" w:eastAsia="Times New Roman" w:hAnsi="Arial" w:cs="Arial"/>
                <w:b/>
                <w:bCs/>
                <w:color w:val="103475"/>
                <w:sz w:val="18"/>
                <w:szCs w:val="18"/>
                <w:lang w:val="es-ES" w:eastAsia="es-ES"/>
              </w:rPr>
              <w:t>Marzo 2019</w:t>
            </w:r>
          </w:p>
        </w:tc>
        <w:tc>
          <w:tcPr>
            <w:tcW w:w="1071" w:type="pct"/>
            <w:shd w:val="clear" w:color="auto" w:fill="auto"/>
            <w:vAlign w:val="center"/>
          </w:tcPr>
          <w:p w14:paraId="0C8390B0" w14:textId="77777777" w:rsidR="00240AD3" w:rsidRPr="0009028A" w:rsidRDefault="00F01816" w:rsidP="00240AD3">
            <w:pPr>
              <w:spacing w:after="0" w:line="240" w:lineRule="auto"/>
              <w:jc w:val="right"/>
              <w:rPr>
                <w:rFonts w:ascii="Arial" w:eastAsia="Times New Roman" w:hAnsi="Arial" w:cs="Arial"/>
                <w:b/>
                <w:bCs/>
                <w:sz w:val="18"/>
                <w:szCs w:val="18"/>
                <w:lang w:eastAsia="es-CO"/>
              </w:rPr>
            </w:pPr>
            <w:r w:rsidRPr="0009028A">
              <w:rPr>
                <w:rFonts w:ascii="Arial" w:eastAsia="Times New Roman" w:hAnsi="Arial" w:cs="Arial"/>
                <w:b/>
                <w:bCs/>
                <w:color w:val="103475"/>
                <w:sz w:val="18"/>
                <w:szCs w:val="18"/>
                <w:lang w:val="es-ES" w:eastAsia="es-ES"/>
              </w:rPr>
              <w:t>Marzo</w:t>
            </w:r>
            <w:r w:rsidR="00240AD3" w:rsidRPr="0009028A">
              <w:rPr>
                <w:rFonts w:ascii="Arial" w:eastAsia="Times New Roman" w:hAnsi="Arial" w:cs="Arial"/>
                <w:b/>
                <w:bCs/>
                <w:color w:val="103475"/>
                <w:sz w:val="18"/>
                <w:szCs w:val="18"/>
                <w:lang w:val="es-ES" w:eastAsia="es-ES"/>
              </w:rPr>
              <w:t xml:space="preserve"> 2018</w:t>
            </w:r>
          </w:p>
        </w:tc>
      </w:tr>
      <w:tr w:rsidR="00F95903" w:rsidRPr="0009028A" w14:paraId="4BDCE9E3" w14:textId="77777777" w:rsidTr="00ED50FC">
        <w:trPr>
          <w:trHeight w:val="246"/>
          <w:jc w:val="center"/>
        </w:trPr>
        <w:tc>
          <w:tcPr>
            <w:tcW w:w="2670" w:type="pct"/>
            <w:shd w:val="clear" w:color="auto" w:fill="auto"/>
            <w:vAlign w:val="center"/>
          </w:tcPr>
          <w:p w14:paraId="2B187B88" w14:textId="77777777" w:rsidR="00F95903" w:rsidRPr="0009028A" w:rsidRDefault="00F95903" w:rsidP="007D58E3">
            <w:pPr>
              <w:spacing w:after="0" w:line="240" w:lineRule="auto"/>
              <w:rPr>
                <w:rFonts w:ascii="Arial" w:eastAsia="Times New Roman" w:hAnsi="Arial" w:cs="Arial"/>
                <w:color w:val="000000"/>
                <w:sz w:val="18"/>
                <w:szCs w:val="18"/>
                <w:lang w:val="es-ES" w:eastAsia="es-CO"/>
              </w:rPr>
            </w:pPr>
            <w:r w:rsidRPr="0009028A">
              <w:rPr>
                <w:rFonts w:ascii="Arial" w:eastAsia="Times New Roman" w:hAnsi="Arial" w:cs="Arial"/>
                <w:color w:val="000000"/>
                <w:sz w:val="18"/>
                <w:szCs w:val="18"/>
                <w:lang w:val="es-ES" w:eastAsia="es-CO"/>
              </w:rPr>
              <w:t>Costo del negocio inmobiliari</w:t>
            </w:r>
            <w:r w:rsidR="00E70377" w:rsidRPr="0009028A">
              <w:rPr>
                <w:rFonts w:ascii="Arial" w:eastAsia="Times New Roman" w:hAnsi="Arial" w:cs="Arial"/>
                <w:color w:val="000000"/>
                <w:sz w:val="18"/>
                <w:szCs w:val="18"/>
                <w:lang w:val="es-ES" w:eastAsia="es-CO"/>
              </w:rPr>
              <w:t>o</w:t>
            </w:r>
          </w:p>
        </w:tc>
        <w:tc>
          <w:tcPr>
            <w:tcW w:w="1259" w:type="pct"/>
            <w:shd w:val="clear" w:color="auto" w:fill="auto"/>
            <w:vAlign w:val="center"/>
          </w:tcPr>
          <w:p w14:paraId="6547E9DE" w14:textId="77777777" w:rsidR="00F95903" w:rsidRPr="00D33764" w:rsidRDefault="00240AD3" w:rsidP="007D58E3">
            <w:pPr>
              <w:spacing w:after="0" w:line="240" w:lineRule="auto"/>
              <w:jc w:val="right"/>
              <w:rPr>
                <w:rFonts w:ascii="Arial" w:hAnsi="Arial" w:cs="Arial"/>
                <w:sz w:val="18"/>
                <w:szCs w:val="18"/>
                <w:u w:val="single"/>
                <w:lang w:eastAsia="es-CO"/>
              </w:rPr>
            </w:pPr>
            <w:r w:rsidRPr="00D33764">
              <w:rPr>
                <w:rFonts w:ascii="Arial" w:hAnsi="Arial" w:cs="Arial"/>
                <w:sz w:val="18"/>
                <w:szCs w:val="18"/>
                <w:u w:val="single"/>
                <w:lang w:eastAsia="es-CO"/>
              </w:rPr>
              <w:t xml:space="preserve">$       </w:t>
            </w:r>
            <w:r w:rsidR="00A512E9" w:rsidRPr="00D33764">
              <w:rPr>
                <w:rFonts w:ascii="Arial" w:hAnsi="Arial" w:cs="Arial"/>
                <w:sz w:val="18"/>
                <w:szCs w:val="18"/>
                <w:u w:val="single"/>
                <w:lang w:eastAsia="es-CO"/>
              </w:rPr>
              <w:t>66.523</w:t>
            </w:r>
          </w:p>
        </w:tc>
        <w:tc>
          <w:tcPr>
            <w:tcW w:w="1071" w:type="pct"/>
            <w:shd w:val="clear" w:color="auto" w:fill="auto"/>
            <w:vAlign w:val="center"/>
          </w:tcPr>
          <w:p w14:paraId="12E3E535" w14:textId="77777777" w:rsidR="00F95903" w:rsidRPr="00D33764" w:rsidRDefault="00A512E9" w:rsidP="007D58E3">
            <w:pPr>
              <w:spacing w:after="0" w:line="240" w:lineRule="auto"/>
              <w:jc w:val="right"/>
              <w:rPr>
                <w:rFonts w:ascii="Arial" w:hAnsi="Arial" w:cs="Arial"/>
                <w:sz w:val="18"/>
                <w:szCs w:val="18"/>
                <w:u w:val="single"/>
                <w:lang w:eastAsia="es-CO"/>
              </w:rPr>
            </w:pPr>
            <w:r w:rsidRPr="00D33764">
              <w:rPr>
                <w:rFonts w:ascii="Arial" w:hAnsi="Arial" w:cs="Arial"/>
                <w:sz w:val="18"/>
                <w:szCs w:val="18"/>
                <w:u w:val="single"/>
                <w:lang w:eastAsia="es-CO"/>
              </w:rPr>
              <w:t>363.697</w:t>
            </w:r>
          </w:p>
        </w:tc>
      </w:tr>
      <w:tr w:rsidR="00F95903" w:rsidRPr="0009028A" w14:paraId="7D851770" w14:textId="77777777" w:rsidTr="00ED50FC">
        <w:trPr>
          <w:trHeight w:val="246"/>
          <w:jc w:val="center"/>
        </w:trPr>
        <w:tc>
          <w:tcPr>
            <w:tcW w:w="2670" w:type="pct"/>
            <w:shd w:val="clear" w:color="auto" w:fill="auto"/>
            <w:vAlign w:val="center"/>
            <w:hideMark/>
          </w:tcPr>
          <w:p w14:paraId="750575D0" w14:textId="77777777" w:rsidR="00F95903" w:rsidRPr="0009028A" w:rsidRDefault="00F95903" w:rsidP="007D58E3">
            <w:pPr>
              <w:spacing w:after="0" w:line="240" w:lineRule="auto"/>
              <w:rPr>
                <w:rFonts w:ascii="Arial" w:eastAsia="Times New Roman" w:hAnsi="Arial" w:cs="Arial"/>
                <w:b/>
                <w:bCs/>
                <w:color w:val="000000"/>
                <w:sz w:val="18"/>
                <w:szCs w:val="18"/>
                <w:lang w:eastAsia="es-CO"/>
              </w:rPr>
            </w:pPr>
            <w:r w:rsidRPr="0009028A">
              <w:rPr>
                <w:rFonts w:ascii="Arial" w:eastAsia="Times New Roman" w:hAnsi="Arial" w:cs="Arial"/>
                <w:b/>
                <w:bCs/>
                <w:color w:val="103475"/>
                <w:sz w:val="18"/>
                <w:szCs w:val="18"/>
                <w:lang w:val="es-ES" w:eastAsia="es-CO"/>
              </w:rPr>
              <w:t>Total costo de actividades ordinarias</w:t>
            </w:r>
          </w:p>
        </w:tc>
        <w:tc>
          <w:tcPr>
            <w:tcW w:w="1259" w:type="pct"/>
            <w:shd w:val="clear" w:color="auto" w:fill="auto"/>
            <w:vAlign w:val="center"/>
            <w:hideMark/>
          </w:tcPr>
          <w:p w14:paraId="6D85B049" w14:textId="77777777" w:rsidR="00F95903" w:rsidRPr="0009028A" w:rsidRDefault="00240AD3" w:rsidP="007D58E3">
            <w:pPr>
              <w:spacing w:after="0" w:line="240" w:lineRule="auto"/>
              <w:jc w:val="right"/>
              <w:rPr>
                <w:rFonts w:ascii="Arial" w:hAnsi="Arial" w:cs="Arial"/>
                <w:b/>
                <w:bCs/>
                <w:color w:val="103475"/>
                <w:sz w:val="18"/>
                <w:szCs w:val="18"/>
                <w:u w:val="double"/>
              </w:rPr>
            </w:pPr>
            <w:r w:rsidRPr="0009028A">
              <w:rPr>
                <w:rFonts w:ascii="Arial" w:hAnsi="Arial" w:cs="Arial"/>
                <w:b/>
                <w:bCs/>
                <w:color w:val="103475"/>
                <w:sz w:val="18"/>
                <w:szCs w:val="18"/>
              </w:rPr>
              <w:t>$</w:t>
            </w:r>
            <w:r w:rsidRPr="0009028A">
              <w:rPr>
                <w:rFonts w:ascii="Arial" w:hAnsi="Arial" w:cs="Arial"/>
                <w:b/>
                <w:bCs/>
                <w:color w:val="103475"/>
                <w:sz w:val="18"/>
                <w:szCs w:val="18"/>
                <w:u w:val="double"/>
              </w:rPr>
              <w:t xml:space="preserve">       </w:t>
            </w:r>
            <w:r w:rsidR="00A512E9" w:rsidRPr="0009028A">
              <w:rPr>
                <w:rFonts w:ascii="Arial" w:hAnsi="Arial" w:cs="Arial"/>
                <w:b/>
                <w:bCs/>
                <w:color w:val="103475"/>
                <w:sz w:val="18"/>
                <w:szCs w:val="18"/>
                <w:u w:val="double"/>
              </w:rPr>
              <w:t>66.523</w:t>
            </w:r>
            <w:r w:rsidR="00F95903" w:rsidRPr="0009028A">
              <w:rPr>
                <w:rFonts w:ascii="Arial" w:hAnsi="Arial" w:cs="Arial"/>
                <w:b/>
                <w:bCs/>
                <w:color w:val="103475"/>
                <w:sz w:val="18"/>
                <w:szCs w:val="18"/>
                <w:u w:val="double"/>
              </w:rPr>
              <w:t xml:space="preserve"> </w:t>
            </w:r>
          </w:p>
        </w:tc>
        <w:tc>
          <w:tcPr>
            <w:tcW w:w="1071" w:type="pct"/>
            <w:shd w:val="clear" w:color="auto" w:fill="auto"/>
            <w:vAlign w:val="center"/>
          </w:tcPr>
          <w:p w14:paraId="3CC8C6F2" w14:textId="77777777" w:rsidR="00F95903" w:rsidRPr="0009028A" w:rsidRDefault="00240AD3" w:rsidP="007D58E3">
            <w:pPr>
              <w:spacing w:after="0" w:line="240" w:lineRule="auto"/>
              <w:jc w:val="right"/>
              <w:rPr>
                <w:rFonts w:ascii="Arial" w:hAnsi="Arial" w:cs="Arial"/>
                <w:b/>
                <w:bCs/>
                <w:color w:val="103475"/>
                <w:sz w:val="18"/>
                <w:szCs w:val="18"/>
                <w:u w:val="double"/>
              </w:rPr>
            </w:pPr>
            <w:r w:rsidRPr="0009028A">
              <w:rPr>
                <w:rFonts w:ascii="Arial" w:hAnsi="Arial" w:cs="Arial"/>
                <w:b/>
                <w:bCs/>
                <w:color w:val="103475"/>
                <w:sz w:val="18"/>
                <w:szCs w:val="18"/>
                <w:u w:val="double"/>
              </w:rPr>
              <w:t xml:space="preserve">      </w:t>
            </w:r>
            <w:r w:rsidR="00F95903" w:rsidRPr="0009028A">
              <w:rPr>
                <w:rFonts w:ascii="Arial" w:hAnsi="Arial" w:cs="Arial"/>
                <w:b/>
                <w:bCs/>
                <w:color w:val="103475"/>
                <w:sz w:val="18"/>
                <w:szCs w:val="18"/>
                <w:u w:val="double"/>
              </w:rPr>
              <w:t>3</w:t>
            </w:r>
            <w:r w:rsidR="00A512E9" w:rsidRPr="0009028A">
              <w:rPr>
                <w:rFonts w:ascii="Arial" w:hAnsi="Arial" w:cs="Arial"/>
                <w:b/>
                <w:bCs/>
                <w:color w:val="103475"/>
                <w:sz w:val="18"/>
                <w:szCs w:val="18"/>
                <w:u w:val="double"/>
              </w:rPr>
              <w:t>63.697</w:t>
            </w:r>
            <w:r w:rsidR="00F95903" w:rsidRPr="0009028A">
              <w:rPr>
                <w:rFonts w:ascii="Arial" w:hAnsi="Arial" w:cs="Arial"/>
                <w:b/>
                <w:bCs/>
                <w:color w:val="103475"/>
                <w:sz w:val="18"/>
                <w:szCs w:val="18"/>
                <w:u w:val="double"/>
              </w:rPr>
              <w:t xml:space="preserve"> </w:t>
            </w:r>
          </w:p>
        </w:tc>
      </w:tr>
    </w:tbl>
    <w:p w14:paraId="6DF139A0" w14:textId="54A1B092" w:rsidR="00D33764" w:rsidRDefault="00D33764" w:rsidP="008B3749">
      <w:pPr>
        <w:pStyle w:val="Sinespaciado"/>
      </w:pPr>
      <w:bookmarkStart w:id="335" w:name="_Toc506991953"/>
      <w:bookmarkStart w:id="336" w:name="_Hlk506979959"/>
      <w:bookmarkStart w:id="337" w:name="_Hlk499125496"/>
      <w:bookmarkEnd w:id="334"/>
    </w:p>
    <w:p w14:paraId="10B7605E" w14:textId="77777777" w:rsidR="0088627B" w:rsidRDefault="0088627B" w:rsidP="00D100F1">
      <w:pPr>
        <w:pStyle w:val="Ttulo1"/>
      </w:pPr>
    </w:p>
    <w:p w14:paraId="389DD4A7" w14:textId="77777777" w:rsidR="0088627B" w:rsidRDefault="0088627B" w:rsidP="00D100F1">
      <w:pPr>
        <w:pStyle w:val="Ttulo1"/>
      </w:pPr>
    </w:p>
    <w:p w14:paraId="59DFCB80" w14:textId="12464379" w:rsidR="008B5836" w:rsidRPr="0009028A" w:rsidRDefault="00F91521" w:rsidP="00D100F1">
      <w:pPr>
        <w:pStyle w:val="Ttulo1"/>
      </w:pPr>
      <w:bookmarkStart w:id="338" w:name="_Toc8735119"/>
      <w:r w:rsidRPr="0009028A">
        <w:t xml:space="preserve">Nota </w:t>
      </w:r>
      <w:r w:rsidR="00964E83">
        <w:t>21</w:t>
      </w:r>
      <w:r w:rsidR="008B5836" w:rsidRPr="0009028A">
        <w:t xml:space="preserve">: </w:t>
      </w:r>
      <w:r w:rsidRPr="0009028A">
        <w:t>Gastos de administración</w:t>
      </w:r>
      <w:bookmarkEnd w:id="335"/>
      <w:bookmarkEnd w:id="338"/>
    </w:p>
    <w:bookmarkEnd w:id="336"/>
    <w:p w14:paraId="78E07F7A" w14:textId="77777777" w:rsidR="008B5836" w:rsidRPr="0009028A" w:rsidRDefault="008B5836" w:rsidP="008B5836">
      <w:pPr>
        <w:spacing w:after="0"/>
        <w:rPr>
          <w:rFonts w:ascii="Arial" w:hAnsi="Arial" w:cs="Arial"/>
          <w:sz w:val="20"/>
          <w:szCs w:val="20"/>
        </w:rPr>
      </w:pPr>
      <w:r w:rsidRPr="0009028A">
        <w:rPr>
          <w:rFonts w:ascii="Arial" w:hAnsi="Arial" w:cs="Arial"/>
          <w:sz w:val="20"/>
          <w:szCs w:val="20"/>
        </w:rPr>
        <w:t>Los g</w:t>
      </w:r>
      <w:r w:rsidR="009758C0" w:rsidRPr="0009028A">
        <w:rPr>
          <w:rFonts w:ascii="Arial" w:hAnsi="Arial" w:cs="Arial"/>
          <w:sz w:val="20"/>
          <w:szCs w:val="20"/>
        </w:rPr>
        <w:t>astos de administración a 3</w:t>
      </w:r>
      <w:r w:rsidR="00F95903" w:rsidRPr="0009028A">
        <w:rPr>
          <w:rFonts w:ascii="Arial" w:hAnsi="Arial" w:cs="Arial"/>
          <w:sz w:val="20"/>
          <w:szCs w:val="20"/>
        </w:rPr>
        <w:t>1</w:t>
      </w:r>
      <w:r w:rsidR="009758C0" w:rsidRPr="0009028A">
        <w:rPr>
          <w:rFonts w:ascii="Arial" w:hAnsi="Arial" w:cs="Arial"/>
          <w:sz w:val="20"/>
          <w:szCs w:val="20"/>
        </w:rPr>
        <w:t xml:space="preserve"> de </w:t>
      </w:r>
      <w:r w:rsidR="00F95903" w:rsidRPr="0009028A">
        <w:rPr>
          <w:rFonts w:ascii="Arial" w:hAnsi="Arial" w:cs="Arial"/>
          <w:sz w:val="20"/>
          <w:szCs w:val="20"/>
        </w:rPr>
        <w:t>marzo</w:t>
      </w:r>
      <w:r w:rsidRPr="0009028A">
        <w:rPr>
          <w:rFonts w:ascii="Arial" w:hAnsi="Arial" w:cs="Arial"/>
          <w:sz w:val="20"/>
          <w:szCs w:val="20"/>
        </w:rPr>
        <w:t xml:space="preserve"> comprenden:</w:t>
      </w:r>
    </w:p>
    <w:tbl>
      <w:tblPr>
        <w:tblW w:w="5000" w:type="pct"/>
        <w:jc w:val="center"/>
        <w:tblCellMar>
          <w:left w:w="70" w:type="dxa"/>
          <w:right w:w="70" w:type="dxa"/>
        </w:tblCellMar>
        <w:tblLook w:val="04A0" w:firstRow="1" w:lastRow="0" w:firstColumn="1" w:lastColumn="0" w:noHBand="0" w:noVBand="1"/>
      </w:tblPr>
      <w:tblGrid>
        <w:gridCol w:w="5298"/>
        <w:gridCol w:w="2498"/>
        <w:gridCol w:w="2125"/>
      </w:tblGrid>
      <w:tr w:rsidR="00F95903" w:rsidRPr="0009028A" w14:paraId="2F852414" w14:textId="77777777" w:rsidTr="002F7552">
        <w:trPr>
          <w:trHeight w:val="20"/>
          <w:jc w:val="center"/>
        </w:trPr>
        <w:tc>
          <w:tcPr>
            <w:tcW w:w="2670" w:type="pct"/>
            <w:shd w:val="clear" w:color="auto" w:fill="auto"/>
            <w:vAlign w:val="center"/>
          </w:tcPr>
          <w:p w14:paraId="57876288" w14:textId="77777777" w:rsidR="00F95903" w:rsidRPr="0009028A" w:rsidRDefault="00F95903" w:rsidP="00AE7B82">
            <w:pPr>
              <w:spacing w:after="0" w:line="240" w:lineRule="auto"/>
              <w:rPr>
                <w:rFonts w:ascii="Arial" w:eastAsia="Times New Roman" w:hAnsi="Arial" w:cs="Arial"/>
                <w:color w:val="000000"/>
                <w:lang w:eastAsia="es-CO"/>
              </w:rPr>
            </w:pPr>
          </w:p>
        </w:tc>
        <w:tc>
          <w:tcPr>
            <w:tcW w:w="2330" w:type="pct"/>
            <w:gridSpan w:val="2"/>
            <w:shd w:val="clear" w:color="auto" w:fill="auto"/>
            <w:vAlign w:val="center"/>
          </w:tcPr>
          <w:p w14:paraId="7FDBD4F1" w14:textId="77777777" w:rsidR="00F95903" w:rsidRPr="0009028A" w:rsidRDefault="00F95903" w:rsidP="00AE7B82">
            <w:pPr>
              <w:spacing w:after="0" w:line="240" w:lineRule="auto"/>
              <w:jc w:val="center"/>
              <w:rPr>
                <w:rFonts w:ascii="Arial" w:eastAsia="Times New Roman" w:hAnsi="Arial" w:cs="Arial"/>
                <w:b/>
                <w:bCs/>
                <w:sz w:val="18"/>
                <w:szCs w:val="18"/>
                <w:lang w:eastAsia="es-CO"/>
              </w:rPr>
            </w:pPr>
          </w:p>
        </w:tc>
      </w:tr>
      <w:tr w:rsidR="00240AD3" w:rsidRPr="0009028A" w14:paraId="014C391D" w14:textId="77777777" w:rsidTr="002F7552">
        <w:trPr>
          <w:trHeight w:val="20"/>
          <w:jc w:val="center"/>
        </w:trPr>
        <w:tc>
          <w:tcPr>
            <w:tcW w:w="2670" w:type="pct"/>
            <w:shd w:val="clear" w:color="auto" w:fill="auto"/>
            <w:vAlign w:val="center"/>
            <w:hideMark/>
          </w:tcPr>
          <w:p w14:paraId="21C5D6EE" w14:textId="77777777" w:rsidR="00240AD3" w:rsidRPr="0009028A" w:rsidRDefault="00240AD3" w:rsidP="00240AD3">
            <w:pPr>
              <w:spacing w:after="0" w:line="240" w:lineRule="auto"/>
              <w:rPr>
                <w:rFonts w:ascii="Arial" w:eastAsia="Times New Roman" w:hAnsi="Arial" w:cs="Arial"/>
                <w:color w:val="000000"/>
                <w:lang w:eastAsia="es-CO"/>
              </w:rPr>
            </w:pPr>
            <w:r w:rsidRPr="0009028A">
              <w:rPr>
                <w:rFonts w:ascii="Arial" w:eastAsia="Times New Roman" w:hAnsi="Arial" w:cs="Arial"/>
                <w:color w:val="000000"/>
                <w:lang w:eastAsia="es-CO"/>
              </w:rPr>
              <w:t> </w:t>
            </w:r>
          </w:p>
        </w:tc>
        <w:tc>
          <w:tcPr>
            <w:tcW w:w="1259" w:type="pct"/>
            <w:shd w:val="clear" w:color="auto" w:fill="auto"/>
            <w:vAlign w:val="center"/>
            <w:hideMark/>
          </w:tcPr>
          <w:p w14:paraId="3DD31CC3" w14:textId="77777777" w:rsidR="00240AD3" w:rsidRPr="0009028A" w:rsidRDefault="00240AD3" w:rsidP="00240AD3">
            <w:pPr>
              <w:spacing w:after="0" w:line="240" w:lineRule="auto"/>
              <w:jc w:val="right"/>
              <w:rPr>
                <w:rFonts w:ascii="Arial" w:eastAsia="Times New Roman" w:hAnsi="Arial" w:cs="Arial"/>
                <w:b/>
                <w:bCs/>
                <w:sz w:val="18"/>
                <w:szCs w:val="18"/>
                <w:lang w:eastAsia="es-CO"/>
              </w:rPr>
            </w:pPr>
            <w:r w:rsidRPr="0009028A">
              <w:rPr>
                <w:rFonts w:ascii="Arial" w:eastAsia="Times New Roman" w:hAnsi="Arial" w:cs="Arial"/>
                <w:b/>
                <w:bCs/>
                <w:color w:val="103475"/>
                <w:sz w:val="18"/>
                <w:szCs w:val="18"/>
                <w:lang w:val="es-ES" w:eastAsia="es-ES"/>
              </w:rPr>
              <w:t>Marzo 2019</w:t>
            </w:r>
          </w:p>
        </w:tc>
        <w:tc>
          <w:tcPr>
            <w:tcW w:w="1071" w:type="pct"/>
            <w:shd w:val="clear" w:color="auto" w:fill="auto"/>
            <w:vAlign w:val="center"/>
          </w:tcPr>
          <w:p w14:paraId="6703366F" w14:textId="77777777" w:rsidR="00240AD3" w:rsidRPr="0009028A" w:rsidRDefault="00F01816" w:rsidP="00240AD3">
            <w:pPr>
              <w:spacing w:after="0" w:line="240" w:lineRule="auto"/>
              <w:jc w:val="right"/>
              <w:rPr>
                <w:rFonts w:ascii="Arial" w:eastAsia="Times New Roman" w:hAnsi="Arial" w:cs="Arial"/>
                <w:b/>
                <w:bCs/>
                <w:sz w:val="18"/>
                <w:szCs w:val="18"/>
                <w:lang w:eastAsia="es-CO"/>
              </w:rPr>
            </w:pPr>
            <w:r w:rsidRPr="0009028A">
              <w:rPr>
                <w:rFonts w:ascii="Arial" w:eastAsia="Times New Roman" w:hAnsi="Arial" w:cs="Arial"/>
                <w:b/>
                <w:bCs/>
                <w:color w:val="103475"/>
                <w:sz w:val="18"/>
                <w:szCs w:val="18"/>
                <w:lang w:val="es-ES" w:eastAsia="es-ES"/>
              </w:rPr>
              <w:t>Marzo</w:t>
            </w:r>
            <w:r w:rsidR="00240AD3" w:rsidRPr="0009028A">
              <w:rPr>
                <w:rFonts w:ascii="Arial" w:eastAsia="Times New Roman" w:hAnsi="Arial" w:cs="Arial"/>
                <w:b/>
                <w:bCs/>
                <w:color w:val="103475"/>
                <w:sz w:val="18"/>
                <w:szCs w:val="18"/>
                <w:lang w:val="es-ES" w:eastAsia="es-ES"/>
              </w:rPr>
              <w:t xml:space="preserve"> 2018</w:t>
            </w:r>
          </w:p>
        </w:tc>
      </w:tr>
      <w:tr w:rsidR="00F95903" w:rsidRPr="0009028A" w14:paraId="4B6FD098" w14:textId="77777777" w:rsidTr="002F7552">
        <w:trPr>
          <w:trHeight w:val="20"/>
          <w:jc w:val="center"/>
        </w:trPr>
        <w:tc>
          <w:tcPr>
            <w:tcW w:w="2670" w:type="pct"/>
            <w:shd w:val="clear" w:color="auto" w:fill="auto"/>
            <w:vAlign w:val="center"/>
          </w:tcPr>
          <w:p w14:paraId="6437B984" w14:textId="77777777" w:rsidR="00F95903" w:rsidRPr="0009028A" w:rsidRDefault="00F95903" w:rsidP="00B806B6">
            <w:pPr>
              <w:spacing w:after="0" w:line="240" w:lineRule="auto"/>
              <w:rPr>
                <w:rFonts w:ascii="Arial" w:eastAsia="Times New Roman" w:hAnsi="Arial" w:cs="Arial"/>
                <w:color w:val="000000"/>
                <w:sz w:val="18"/>
                <w:szCs w:val="18"/>
                <w:lang w:eastAsia="es-CO"/>
              </w:rPr>
            </w:pPr>
            <w:r w:rsidRPr="0009028A">
              <w:rPr>
                <w:rFonts w:ascii="Arial" w:hAnsi="Arial" w:cs="Arial"/>
                <w:color w:val="000000"/>
                <w:sz w:val="18"/>
                <w:szCs w:val="18"/>
              </w:rPr>
              <w:t>Gastos del personal</w:t>
            </w:r>
          </w:p>
        </w:tc>
        <w:tc>
          <w:tcPr>
            <w:tcW w:w="1259" w:type="pct"/>
            <w:shd w:val="clear" w:color="auto" w:fill="auto"/>
            <w:vAlign w:val="center"/>
          </w:tcPr>
          <w:p w14:paraId="48D4EEB2" w14:textId="77777777" w:rsidR="00F95903" w:rsidRPr="0009028A" w:rsidRDefault="00240AD3" w:rsidP="00B806B6">
            <w:pPr>
              <w:spacing w:after="0" w:line="240" w:lineRule="auto"/>
              <w:jc w:val="right"/>
              <w:rPr>
                <w:rFonts w:ascii="Arial" w:hAnsi="Arial" w:cs="Arial"/>
                <w:color w:val="000000"/>
                <w:sz w:val="18"/>
                <w:szCs w:val="18"/>
              </w:rPr>
            </w:pPr>
            <w:r w:rsidRPr="0009028A">
              <w:rPr>
                <w:rFonts w:ascii="Arial" w:hAnsi="Arial" w:cs="Arial"/>
                <w:color w:val="000000"/>
                <w:sz w:val="18"/>
                <w:szCs w:val="18"/>
              </w:rPr>
              <w:t xml:space="preserve">$     </w:t>
            </w:r>
            <w:r w:rsidR="00A114A2" w:rsidRPr="0009028A">
              <w:rPr>
                <w:rFonts w:ascii="Arial" w:hAnsi="Arial" w:cs="Arial"/>
                <w:color w:val="000000"/>
                <w:sz w:val="18"/>
                <w:szCs w:val="18"/>
              </w:rPr>
              <w:t>8.798.357</w:t>
            </w:r>
          </w:p>
        </w:tc>
        <w:tc>
          <w:tcPr>
            <w:tcW w:w="1071" w:type="pct"/>
            <w:shd w:val="clear" w:color="auto" w:fill="auto"/>
            <w:vAlign w:val="center"/>
          </w:tcPr>
          <w:p w14:paraId="2BD5FDA1" w14:textId="77777777" w:rsidR="00F95903" w:rsidRPr="0009028A" w:rsidRDefault="00A114A2" w:rsidP="00B806B6">
            <w:pPr>
              <w:spacing w:after="0" w:line="240" w:lineRule="auto"/>
              <w:jc w:val="right"/>
              <w:rPr>
                <w:rFonts w:ascii="Arial" w:hAnsi="Arial" w:cs="Arial"/>
                <w:color w:val="000000"/>
                <w:sz w:val="18"/>
                <w:szCs w:val="18"/>
              </w:rPr>
            </w:pPr>
            <w:r w:rsidRPr="0009028A">
              <w:rPr>
                <w:rFonts w:ascii="Arial" w:hAnsi="Arial" w:cs="Arial"/>
                <w:color w:val="000000"/>
                <w:sz w:val="18"/>
                <w:szCs w:val="18"/>
              </w:rPr>
              <w:t>8.091.525</w:t>
            </w:r>
          </w:p>
        </w:tc>
      </w:tr>
      <w:tr w:rsidR="00F95903" w:rsidRPr="0009028A" w14:paraId="36916007" w14:textId="77777777" w:rsidTr="002F7552">
        <w:trPr>
          <w:trHeight w:val="20"/>
          <w:jc w:val="center"/>
        </w:trPr>
        <w:tc>
          <w:tcPr>
            <w:tcW w:w="2670" w:type="pct"/>
            <w:shd w:val="clear" w:color="auto" w:fill="auto"/>
            <w:vAlign w:val="center"/>
          </w:tcPr>
          <w:p w14:paraId="1BA23F85" w14:textId="77777777" w:rsidR="00F95903" w:rsidRPr="0009028A" w:rsidRDefault="00A512E9" w:rsidP="00B806B6">
            <w:pPr>
              <w:spacing w:after="0" w:line="240" w:lineRule="auto"/>
              <w:rPr>
                <w:rFonts w:ascii="Arial" w:eastAsia="Times New Roman" w:hAnsi="Arial" w:cs="Arial"/>
                <w:color w:val="000000"/>
                <w:sz w:val="18"/>
                <w:szCs w:val="18"/>
                <w:lang w:eastAsia="es-CO"/>
              </w:rPr>
            </w:pPr>
            <w:r w:rsidRPr="0009028A">
              <w:rPr>
                <w:rFonts w:ascii="Arial" w:hAnsi="Arial" w:cs="Arial"/>
                <w:color w:val="000000"/>
                <w:sz w:val="18"/>
                <w:szCs w:val="18"/>
              </w:rPr>
              <w:t>Honorarios (</w:t>
            </w:r>
            <w:r w:rsidR="00E315BA" w:rsidRPr="0009028A">
              <w:rPr>
                <w:rFonts w:ascii="Arial" w:hAnsi="Arial" w:cs="Arial"/>
                <w:color w:val="000000"/>
                <w:sz w:val="18"/>
                <w:szCs w:val="18"/>
              </w:rPr>
              <w:t>1</w:t>
            </w:r>
            <w:r w:rsidRPr="0009028A">
              <w:rPr>
                <w:rFonts w:ascii="Arial" w:hAnsi="Arial" w:cs="Arial"/>
                <w:color w:val="000000"/>
                <w:sz w:val="18"/>
                <w:szCs w:val="18"/>
              </w:rPr>
              <w:t>)</w:t>
            </w:r>
          </w:p>
        </w:tc>
        <w:tc>
          <w:tcPr>
            <w:tcW w:w="1259" w:type="pct"/>
            <w:shd w:val="clear" w:color="auto" w:fill="auto"/>
            <w:vAlign w:val="center"/>
          </w:tcPr>
          <w:p w14:paraId="3A6BA529" w14:textId="77777777" w:rsidR="00F95903" w:rsidRPr="0009028A" w:rsidRDefault="00A114A2" w:rsidP="00B806B6">
            <w:pPr>
              <w:spacing w:after="0" w:line="240" w:lineRule="auto"/>
              <w:jc w:val="right"/>
              <w:rPr>
                <w:rFonts w:ascii="Arial" w:hAnsi="Arial" w:cs="Arial"/>
                <w:color w:val="000000"/>
                <w:sz w:val="18"/>
                <w:szCs w:val="18"/>
              </w:rPr>
            </w:pPr>
            <w:r w:rsidRPr="0009028A">
              <w:rPr>
                <w:rFonts w:ascii="Arial" w:hAnsi="Arial" w:cs="Arial"/>
                <w:color w:val="000000"/>
                <w:sz w:val="18"/>
                <w:szCs w:val="18"/>
              </w:rPr>
              <w:t>2.034.194</w:t>
            </w:r>
          </w:p>
        </w:tc>
        <w:tc>
          <w:tcPr>
            <w:tcW w:w="1071" w:type="pct"/>
            <w:shd w:val="clear" w:color="auto" w:fill="auto"/>
            <w:vAlign w:val="center"/>
          </w:tcPr>
          <w:p w14:paraId="4EABF98C" w14:textId="77777777" w:rsidR="00F95903" w:rsidRPr="0009028A" w:rsidRDefault="00A114A2" w:rsidP="00B806B6">
            <w:pPr>
              <w:spacing w:after="0" w:line="240" w:lineRule="auto"/>
              <w:jc w:val="right"/>
              <w:rPr>
                <w:rFonts w:ascii="Arial" w:hAnsi="Arial" w:cs="Arial"/>
                <w:color w:val="000000"/>
                <w:sz w:val="18"/>
                <w:szCs w:val="18"/>
              </w:rPr>
            </w:pPr>
            <w:r w:rsidRPr="0009028A">
              <w:rPr>
                <w:rFonts w:ascii="Arial" w:hAnsi="Arial" w:cs="Arial"/>
                <w:color w:val="000000"/>
                <w:sz w:val="18"/>
                <w:szCs w:val="18"/>
              </w:rPr>
              <w:t>3.260.706</w:t>
            </w:r>
          </w:p>
        </w:tc>
      </w:tr>
      <w:tr w:rsidR="00A512E9" w:rsidRPr="0009028A" w14:paraId="30B349CD" w14:textId="77777777" w:rsidTr="002F7552">
        <w:trPr>
          <w:trHeight w:val="20"/>
          <w:jc w:val="center"/>
        </w:trPr>
        <w:tc>
          <w:tcPr>
            <w:tcW w:w="2670" w:type="pct"/>
            <w:shd w:val="clear" w:color="auto" w:fill="auto"/>
            <w:vAlign w:val="center"/>
          </w:tcPr>
          <w:p w14:paraId="021DC32A" w14:textId="77777777" w:rsidR="00A512E9" w:rsidRPr="0009028A" w:rsidRDefault="00A512E9" w:rsidP="00A512E9">
            <w:pPr>
              <w:spacing w:after="0" w:line="240" w:lineRule="auto"/>
              <w:rPr>
                <w:rFonts w:ascii="Arial" w:eastAsia="Times New Roman" w:hAnsi="Arial" w:cs="Arial"/>
                <w:color w:val="000000"/>
                <w:sz w:val="18"/>
                <w:szCs w:val="18"/>
                <w:lang w:eastAsia="es-CO"/>
              </w:rPr>
            </w:pPr>
            <w:r w:rsidRPr="0009028A">
              <w:rPr>
                <w:rFonts w:ascii="Arial" w:hAnsi="Arial" w:cs="Arial"/>
                <w:color w:val="000000"/>
                <w:sz w:val="18"/>
                <w:szCs w:val="18"/>
              </w:rPr>
              <w:t>Servicios</w:t>
            </w:r>
          </w:p>
        </w:tc>
        <w:tc>
          <w:tcPr>
            <w:tcW w:w="1259" w:type="pct"/>
            <w:shd w:val="clear" w:color="auto" w:fill="auto"/>
            <w:vAlign w:val="center"/>
          </w:tcPr>
          <w:p w14:paraId="4AD4D4D6" w14:textId="77777777" w:rsidR="00A512E9" w:rsidRPr="0009028A" w:rsidRDefault="00A114A2" w:rsidP="00A512E9">
            <w:pPr>
              <w:spacing w:after="0" w:line="240" w:lineRule="auto"/>
              <w:jc w:val="right"/>
              <w:rPr>
                <w:rFonts w:ascii="Arial" w:hAnsi="Arial" w:cs="Arial"/>
                <w:color w:val="000000"/>
                <w:sz w:val="18"/>
                <w:szCs w:val="18"/>
              </w:rPr>
            </w:pPr>
            <w:r w:rsidRPr="0009028A">
              <w:rPr>
                <w:rFonts w:ascii="Arial" w:hAnsi="Arial" w:cs="Arial"/>
                <w:color w:val="000000"/>
                <w:sz w:val="18"/>
                <w:szCs w:val="18"/>
              </w:rPr>
              <w:t>1.285.715</w:t>
            </w:r>
          </w:p>
        </w:tc>
        <w:tc>
          <w:tcPr>
            <w:tcW w:w="1071" w:type="pct"/>
            <w:shd w:val="clear" w:color="auto" w:fill="auto"/>
            <w:vAlign w:val="center"/>
          </w:tcPr>
          <w:p w14:paraId="61F5E085" w14:textId="77777777" w:rsidR="00A512E9" w:rsidRPr="0009028A" w:rsidRDefault="00A114A2" w:rsidP="00A512E9">
            <w:pPr>
              <w:spacing w:after="0" w:line="240" w:lineRule="auto"/>
              <w:jc w:val="right"/>
              <w:rPr>
                <w:rFonts w:ascii="Arial" w:hAnsi="Arial" w:cs="Arial"/>
                <w:color w:val="000000"/>
                <w:sz w:val="18"/>
                <w:szCs w:val="18"/>
              </w:rPr>
            </w:pPr>
            <w:r w:rsidRPr="0009028A">
              <w:rPr>
                <w:rFonts w:ascii="Arial" w:hAnsi="Arial" w:cs="Arial"/>
                <w:color w:val="000000"/>
                <w:sz w:val="18"/>
                <w:szCs w:val="18"/>
              </w:rPr>
              <w:t>1.441.041</w:t>
            </w:r>
          </w:p>
        </w:tc>
      </w:tr>
      <w:tr w:rsidR="00A512E9" w:rsidRPr="0009028A" w14:paraId="70D9EC1B" w14:textId="77777777" w:rsidTr="002F7552">
        <w:trPr>
          <w:trHeight w:val="20"/>
          <w:jc w:val="center"/>
        </w:trPr>
        <w:tc>
          <w:tcPr>
            <w:tcW w:w="2670" w:type="pct"/>
            <w:shd w:val="clear" w:color="auto" w:fill="auto"/>
            <w:vAlign w:val="center"/>
          </w:tcPr>
          <w:p w14:paraId="6922FE22" w14:textId="77777777" w:rsidR="00A512E9" w:rsidRPr="0009028A" w:rsidRDefault="00A512E9" w:rsidP="00A512E9">
            <w:pPr>
              <w:spacing w:after="0" w:line="240" w:lineRule="auto"/>
              <w:rPr>
                <w:rFonts w:ascii="Arial" w:eastAsia="Times New Roman" w:hAnsi="Arial" w:cs="Arial"/>
                <w:color w:val="000000"/>
                <w:sz w:val="18"/>
                <w:szCs w:val="18"/>
                <w:lang w:eastAsia="es-CO"/>
              </w:rPr>
            </w:pPr>
            <w:r w:rsidRPr="0009028A">
              <w:rPr>
                <w:rFonts w:ascii="Arial" w:hAnsi="Arial" w:cs="Arial"/>
                <w:color w:val="000000"/>
                <w:sz w:val="18"/>
                <w:szCs w:val="18"/>
              </w:rPr>
              <w:t>Arrendamientos</w:t>
            </w:r>
          </w:p>
        </w:tc>
        <w:tc>
          <w:tcPr>
            <w:tcW w:w="1259" w:type="pct"/>
            <w:shd w:val="clear" w:color="auto" w:fill="auto"/>
            <w:vAlign w:val="center"/>
          </w:tcPr>
          <w:p w14:paraId="7E7C552F" w14:textId="77777777" w:rsidR="00A512E9" w:rsidRPr="0009028A" w:rsidRDefault="00A114A2" w:rsidP="00A512E9">
            <w:pPr>
              <w:spacing w:after="0" w:line="240" w:lineRule="auto"/>
              <w:jc w:val="right"/>
              <w:rPr>
                <w:rFonts w:ascii="Arial" w:hAnsi="Arial" w:cs="Arial"/>
                <w:color w:val="000000"/>
                <w:sz w:val="18"/>
                <w:szCs w:val="18"/>
              </w:rPr>
            </w:pPr>
            <w:r w:rsidRPr="0009028A">
              <w:rPr>
                <w:rFonts w:ascii="Arial" w:hAnsi="Arial" w:cs="Arial"/>
                <w:color w:val="000000"/>
                <w:sz w:val="18"/>
                <w:szCs w:val="18"/>
              </w:rPr>
              <w:t>1.089.373</w:t>
            </w:r>
          </w:p>
        </w:tc>
        <w:tc>
          <w:tcPr>
            <w:tcW w:w="1071" w:type="pct"/>
            <w:shd w:val="clear" w:color="auto" w:fill="auto"/>
            <w:vAlign w:val="center"/>
          </w:tcPr>
          <w:p w14:paraId="02DCEF6D" w14:textId="77777777" w:rsidR="00A512E9" w:rsidRPr="0009028A" w:rsidRDefault="00A114A2" w:rsidP="00A512E9">
            <w:pPr>
              <w:spacing w:after="0" w:line="240" w:lineRule="auto"/>
              <w:jc w:val="right"/>
              <w:rPr>
                <w:rFonts w:ascii="Arial" w:hAnsi="Arial" w:cs="Arial"/>
                <w:sz w:val="18"/>
                <w:szCs w:val="18"/>
              </w:rPr>
            </w:pPr>
            <w:r w:rsidRPr="0009028A">
              <w:rPr>
                <w:rFonts w:ascii="Arial" w:hAnsi="Arial" w:cs="Arial"/>
                <w:sz w:val="18"/>
                <w:szCs w:val="18"/>
              </w:rPr>
              <w:t>786.615</w:t>
            </w:r>
          </w:p>
        </w:tc>
      </w:tr>
      <w:tr w:rsidR="00A512E9" w:rsidRPr="0009028A" w14:paraId="74CAEE5E" w14:textId="77777777" w:rsidTr="002F7552">
        <w:trPr>
          <w:trHeight w:val="20"/>
          <w:jc w:val="center"/>
        </w:trPr>
        <w:tc>
          <w:tcPr>
            <w:tcW w:w="2670" w:type="pct"/>
            <w:shd w:val="clear" w:color="auto" w:fill="auto"/>
            <w:vAlign w:val="center"/>
          </w:tcPr>
          <w:p w14:paraId="7343BAE6" w14:textId="77777777" w:rsidR="00A512E9" w:rsidRPr="0009028A" w:rsidRDefault="00A512E9" w:rsidP="00A512E9">
            <w:pPr>
              <w:spacing w:after="0" w:line="240" w:lineRule="auto"/>
              <w:rPr>
                <w:rFonts w:ascii="Arial" w:hAnsi="Arial" w:cs="Arial"/>
                <w:color w:val="000000"/>
                <w:sz w:val="18"/>
                <w:szCs w:val="18"/>
              </w:rPr>
            </w:pPr>
            <w:r w:rsidRPr="0009028A">
              <w:rPr>
                <w:rFonts w:ascii="Arial" w:hAnsi="Arial" w:cs="Arial"/>
                <w:color w:val="000000"/>
                <w:sz w:val="18"/>
                <w:szCs w:val="18"/>
              </w:rPr>
              <w:t>Gastos de viaje</w:t>
            </w:r>
          </w:p>
        </w:tc>
        <w:tc>
          <w:tcPr>
            <w:tcW w:w="1259" w:type="pct"/>
            <w:shd w:val="clear" w:color="auto" w:fill="auto"/>
            <w:vAlign w:val="center"/>
          </w:tcPr>
          <w:p w14:paraId="0865FA7A" w14:textId="77777777" w:rsidR="00A512E9" w:rsidRPr="0009028A" w:rsidRDefault="00A114A2" w:rsidP="00A512E9">
            <w:pPr>
              <w:spacing w:after="0" w:line="240" w:lineRule="auto"/>
              <w:jc w:val="right"/>
              <w:rPr>
                <w:rFonts w:ascii="Arial" w:hAnsi="Arial" w:cs="Arial"/>
                <w:color w:val="000000"/>
                <w:sz w:val="18"/>
                <w:szCs w:val="18"/>
              </w:rPr>
            </w:pPr>
            <w:r w:rsidRPr="0009028A">
              <w:rPr>
                <w:rFonts w:ascii="Arial" w:hAnsi="Arial" w:cs="Arial"/>
                <w:color w:val="000000"/>
                <w:sz w:val="18"/>
                <w:szCs w:val="18"/>
              </w:rPr>
              <w:t>1.020.942</w:t>
            </w:r>
          </w:p>
        </w:tc>
        <w:tc>
          <w:tcPr>
            <w:tcW w:w="1071" w:type="pct"/>
            <w:shd w:val="clear" w:color="auto" w:fill="auto"/>
            <w:vAlign w:val="center"/>
          </w:tcPr>
          <w:p w14:paraId="4B46C39B" w14:textId="77777777" w:rsidR="00A512E9" w:rsidRPr="0009028A" w:rsidRDefault="00A114A2" w:rsidP="00A512E9">
            <w:pPr>
              <w:spacing w:after="0" w:line="240" w:lineRule="auto"/>
              <w:jc w:val="right"/>
              <w:rPr>
                <w:rFonts w:ascii="Arial" w:hAnsi="Arial" w:cs="Arial"/>
                <w:sz w:val="18"/>
                <w:szCs w:val="18"/>
              </w:rPr>
            </w:pPr>
            <w:r w:rsidRPr="0009028A">
              <w:rPr>
                <w:rFonts w:ascii="Arial" w:hAnsi="Arial" w:cs="Arial"/>
                <w:sz w:val="18"/>
                <w:szCs w:val="18"/>
              </w:rPr>
              <w:t>1.558.922</w:t>
            </w:r>
          </w:p>
        </w:tc>
      </w:tr>
      <w:tr w:rsidR="00A512E9" w:rsidRPr="0009028A" w14:paraId="31A5297B" w14:textId="77777777" w:rsidTr="002F7552">
        <w:trPr>
          <w:trHeight w:val="20"/>
          <w:jc w:val="center"/>
        </w:trPr>
        <w:tc>
          <w:tcPr>
            <w:tcW w:w="2670" w:type="pct"/>
            <w:shd w:val="clear" w:color="auto" w:fill="auto"/>
            <w:vAlign w:val="center"/>
          </w:tcPr>
          <w:p w14:paraId="28277CEB" w14:textId="77777777" w:rsidR="00A512E9" w:rsidRPr="0009028A" w:rsidRDefault="00A114A2" w:rsidP="00A512E9">
            <w:pPr>
              <w:spacing w:after="0" w:line="240" w:lineRule="auto"/>
              <w:rPr>
                <w:rFonts w:ascii="Arial" w:hAnsi="Arial" w:cs="Arial"/>
                <w:color w:val="000000"/>
                <w:sz w:val="18"/>
                <w:szCs w:val="18"/>
              </w:rPr>
            </w:pPr>
            <w:r w:rsidRPr="0009028A">
              <w:rPr>
                <w:rFonts w:ascii="Arial" w:hAnsi="Arial" w:cs="Arial"/>
                <w:color w:val="000000"/>
                <w:sz w:val="18"/>
                <w:szCs w:val="18"/>
              </w:rPr>
              <w:t>Depreciación de propiedades, planta y equipo</w:t>
            </w:r>
            <w:r w:rsidR="00E315BA" w:rsidRPr="0009028A">
              <w:rPr>
                <w:rFonts w:ascii="Arial" w:hAnsi="Arial" w:cs="Arial"/>
                <w:color w:val="000000"/>
                <w:sz w:val="18"/>
                <w:szCs w:val="18"/>
              </w:rPr>
              <w:t xml:space="preserve"> (2)</w:t>
            </w:r>
          </w:p>
        </w:tc>
        <w:tc>
          <w:tcPr>
            <w:tcW w:w="1259" w:type="pct"/>
            <w:shd w:val="clear" w:color="auto" w:fill="auto"/>
            <w:vAlign w:val="center"/>
          </w:tcPr>
          <w:p w14:paraId="0DF00516" w14:textId="77777777" w:rsidR="00A512E9" w:rsidRPr="0009028A" w:rsidRDefault="00A114A2" w:rsidP="00A512E9">
            <w:pPr>
              <w:spacing w:after="0" w:line="240" w:lineRule="auto"/>
              <w:jc w:val="right"/>
              <w:rPr>
                <w:rFonts w:ascii="Arial" w:hAnsi="Arial" w:cs="Arial"/>
                <w:color w:val="000000"/>
                <w:sz w:val="18"/>
                <w:szCs w:val="18"/>
              </w:rPr>
            </w:pPr>
            <w:r w:rsidRPr="0009028A">
              <w:rPr>
                <w:rFonts w:ascii="Arial" w:hAnsi="Arial" w:cs="Arial"/>
                <w:color w:val="000000"/>
                <w:sz w:val="18"/>
                <w:szCs w:val="18"/>
              </w:rPr>
              <w:t>998.418</w:t>
            </w:r>
          </w:p>
        </w:tc>
        <w:tc>
          <w:tcPr>
            <w:tcW w:w="1071" w:type="pct"/>
            <w:shd w:val="clear" w:color="auto" w:fill="auto"/>
            <w:vAlign w:val="center"/>
          </w:tcPr>
          <w:p w14:paraId="4BFFDBEE" w14:textId="77777777" w:rsidR="00A512E9" w:rsidRPr="0009028A" w:rsidRDefault="00A114A2" w:rsidP="00A512E9">
            <w:pPr>
              <w:spacing w:after="0" w:line="240" w:lineRule="auto"/>
              <w:jc w:val="right"/>
              <w:rPr>
                <w:rFonts w:ascii="Arial" w:hAnsi="Arial" w:cs="Arial"/>
                <w:sz w:val="18"/>
                <w:szCs w:val="18"/>
              </w:rPr>
            </w:pPr>
            <w:r w:rsidRPr="0009028A">
              <w:rPr>
                <w:rFonts w:ascii="Arial" w:hAnsi="Arial" w:cs="Arial"/>
                <w:sz w:val="18"/>
                <w:szCs w:val="18"/>
              </w:rPr>
              <w:t>374.014</w:t>
            </w:r>
          </w:p>
        </w:tc>
      </w:tr>
      <w:tr w:rsidR="00A512E9" w:rsidRPr="0009028A" w14:paraId="04F610CA" w14:textId="77777777" w:rsidTr="002F7552">
        <w:trPr>
          <w:trHeight w:val="20"/>
          <w:jc w:val="center"/>
        </w:trPr>
        <w:tc>
          <w:tcPr>
            <w:tcW w:w="2670" w:type="pct"/>
            <w:shd w:val="clear" w:color="auto" w:fill="auto"/>
            <w:vAlign w:val="center"/>
          </w:tcPr>
          <w:p w14:paraId="28351C5E" w14:textId="77777777" w:rsidR="00A512E9" w:rsidRPr="0009028A" w:rsidRDefault="00A512E9" w:rsidP="00A512E9">
            <w:pPr>
              <w:spacing w:after="0" w:line="240" w:lineRule="auto"/>
              <w:rPr>
                <w:rFonts w:ascii="Arial" w:eastAsia="Times New Roman" w:hAnsi="Arial" w:cs="Arial"/>
                <w:color w:val="000000"/>
                <w:sz w:val="18"/>
                <w:szCs w:val="18"/>
                <w:lang w:eastAsia="es-CO"/>
              </w:rPr>
            </w:pPr>
            <w:r w:rsidRPr="0009028A">
              <w:rPr>
                <w:rFonts w:ascii="Arial" w:hAnsi="Arial" w:cs="Arial"/>
                <w:color w:val="000000"/>
                <w:sz w:val="18"/>
                <w:szCs w:val="18"/>
              </w:rPr>
              <w:t>Impuestos</w:t>
            </w:r>
          </w:p>
        </w:tc>
        <w:tc>
          <w:tcPr>
            <w:tcW w:w="1259" w:type="pct"/>
            <w:shd w:val="clear" w:color="auto" w:fill="auto"/>
            <w:vAlign w:val="center"/>
          </w:tcPr>
          <w:p w14:paraId="188DFCF8" w14:textId="77777777" w:rsidR="00A512E9" w:rsidRPr="0009028A" w:rsidRDefault="00A114A2" w:rsidP="00A512E9">
            <w:pPr>
              <w:spacing w:after="0" w:line="240" w:lineRule="auto"/>
              <w:jc w:val="right"/>
              <w:rPr>
                <w:rFonts w:ascii="Arial" w:hAnsi="Arial" w:cs="Arial"/>
                <w:color w:val="000000"/>
                <w:sz w:val="18"/>
                <w:szCs w:val="18"/>
              </w:rPr>
            </w:pPr>
            <w:r w:rsidRPr="0009028A">
              <w:rPr>
                <w:rFonts w:ascii="Arial" w:hAnsi="Arial" w:cs="Arial"/>
                <w:color w:val="000000"/>
                <w:sz w:val="18"/>
                <w:szCs w:val="18"/>
              </w:rPr>
              <w:t>408.664</w:t>
            </w:r>
          </w:p>
        </w:tc>
        <w:tc>
          <w:tcPr>
            <w:tcW w:w="1071" w:type="pct"/>
            <w:shd w:val="clear" w:color="auto" w:fill="auto"/>
            <w:vAlign w:val="center"/>
          </w:tcPr>
          <w:p w14:paraId="1A2E8020" w14:textId="77777777" w:rsidR="00A512E9" w:rsidRPr="0009028A" w:rsidRDefault="00A114A2" w:rsidP="00A512E9">
            <w:pPr>
              <w:spacing w:after="0" w:line="240" w:lineRule="auto"/>
              <w:jc w:val="right"/>
              <w:rPr>
                <w:rFonts w:ascii="Arial" w:hAnsi="Arial" w:cs="Arial"/>
                <w:color w:val="000000"/>
                <w:sz w:val="18"/>
                <w:szCs w:val="18"/>
              </w:rPr>
            </w:pPr>
            <w:r w:rsidRPr="0009028A">
              <w:rPr>
                <w:rFonts w:ascii="Arial" w:hAnsi="Arial" w:cs="Arial"/>
                <w:color w:val="000000"/>
                <w:sz w:val="18"/>
                <w:szCs w:val="18"/>
              </w:rPr>
              <w:t>288.908</w:t>
            </w:r>
          </w:p>
        </w:tc>
      </w:tr>
      <w:tr w:rsidR="00A512E9" w:rsidRPr="0009028A" w14:paraId="235673E1" w14:textId="77777777" w:rsidTr="002F7552">
        <w:trPr>
          <w:trHeight w:val="20"/>
          <w:jc w:val="center"/>
        </w:trPr>
        <w:tc>
          <w:tcPr>
            <w:tcW w:w="2670" w:type="pct"/>
            <w:shd w:val="clear" w:color="auto" w:fill="auto"/>
            <w:vAlign w:val="center"/>
          </w:tcPr>
          <w:p w14:paraId="6EEEBB98" w14:textId="77777777" w:rsidR="00A512E9" w:rsidRPr="0009028A" w:rsidRDefault="00A114A2" w:rsidP="00A512E9">
            <w:pPr>
              <w:spacing w:after="0" w:line="240" w:lineRule="auto"/>
              <w:rPr>
                <w:rFonts w:ascii="Arial" w:eastAsia="Times New Roman" w:hAnsi="Arial" w:cs="Arial"/>
                <w:color w:val="000000"/>
                <w:sz w:val="18"/>
                <w:szCs w:val="18"/>
                <w:lang w:eastAsia="es-CO"/>
              </w:rPr>
            </w:pPr>
            <w:r w:rsidRPr="0009028A">
              <w:rPr>
                <w:rFonts w:ascii="Arial" w:hAnsi="Arial" w:cs="Arial"/>
                <w:color w:val="000000"/>
                <w:sz w:val="18"/>
                <w:szCs w:val="18"/>
              </w:rPr>
              <w:t>Mantenimiento y reparaciones</w:t>
            </w:r>
          </w:p>
        </w:tc>
        <w:tc>
          <w:tcPr>
            <w:tcW w:w="1259" w:type="pct"/>
            <w:shd w:val="clear" w:color="auto" w:fill="auto"/>
            <w:vAlign w:val="center"/>
          </w:tcPr>
          <w:p w14:paraId="579FA87C" w14:textId="77777777" w:rsidR="00A512E9" w:rsidRPr="0009028A" w:rsidRDefault="00A114A2" w:rsidP="00A512E9">
            <w:pPr>
              <w:spacing w:after="0" w:line="240" w:lineRule="auto"/>
              <w:jc w:val="right"/>
              <w:rPr>
                <w:rFonts w:ascii="Arial" w:hAnsi="Arial" w:cs="Arial"/>
                <w:color w:val="000000"/>
                <w:sz w:val="18"/>
                <w:szCs w:val="18"/>
              </w:rPr>
            </w:pPr>
            <w:r w:rsidRPr="0009028A">
              <w:rPr>
                <w:rFonts w:ascii="Arial" w:hAnsi="Arial" w:cs="Arial"/>
                <w:color w:val="000000"/>
                <w:sz w:val="18"/>
                <w:szCs w:val="18"/>
              </w:rPr>
              <w:t>339.187</w:t>
            </w:r>
          </w:p>
        </w:tc>
        <w:tc>
          <w:tcPr>
            <w:tcW w:w="1071" w:type="pct"/>
            <w:shd w:val="clear" w:color="auto" w:fill="auto"/>
            <w:vAlign w:val="center"/>
          </w:tcPr>
          <w:p w14:paraId="230F770A" w14:textId="77777777" w:rsidR="00A512E9" w:rsidRPr="0009028A" w:rsidRDefault="00A114A2" w:rsidP="00A512E9">
            <w:pPr>
              <w:spacing w:after="0" w:line="240" w:lineRule="auto"/>
              <w:jc w:val="right"/>
              <w:rPr>
                <w:rFonts w:ascii="Arial" w:hAnsi="Arial" w:cs="Arial"/>
                <w:color w:val="000000"/>
                <w:sz w:val="18"/>
                <w:szCs w:val="18"/>
              </w:rPr>
            </w:pPr>
            <w:r w:rsidRPr="0009028A">
              <w:rPr>
                <w:rFonts w:ascii="Arial" w:hAnsi="Arial" w:cs="Arial"/>
                <w:color w:val="000000"/>
                <w:sz w:val="18"/>
                <w:szCs w:val="18"/>
              </w:rPr>
              <w:t>142.411</w:t>
            </w:r>
          </w:p>
        </w:tc>
      </w:tr>
      <w:tr w:rsidR="00A512E9" w:rsidRPr="0009028A" w14:paraId="30123EF9" w14:textId="77777777" w:rsidTr="002F7552">
        <w:trPr>
          <w:trHeight w:val="20"/>
          <w:jc w:val="center"/>
        </w:trPr>
        <w:tc>
          <w:tcPr>
            <w:tcW w:w="2670" w:type="pct"/>
            <w:shd w:val="clear" w:color="auto" w:fill="auto"/>
            <w:vAlign w:val="center"/>
          </w:tcPr>
          <w:p w14:paraId="46A84FE3" w14:textId="77777777" w:rsidR="00A512E9" w:rsidRPr="0009028A" w:rsidRDefault="00A114A2" w:rsidP="00A512E9">
            <w:pPr>
              <w:spacing w:after="0" w:line="240" w:lineRule="auto"/>
              <w:rPr>
                <w:rFonts w:ascii="Arial" w:eastAsia="Times New Roman" w:hAnsi="Arial" w:cs="Arial"/>
                <w:sz w:val="18"/>
                <w:szCs w:val="18"/>
                <w:lang w:eastAsia="es-CO"/>
              </w:rPr>
            </w:pPr>
            <w:r w:rsidRPr="0009028A">
              <w:rPr>
                <w:rFonts w:ascii="Arial" w:hAnsi="Arial" w:cs="Arial"/>
                <w:color w:val="000000"/>
                <w:sz w:val="18"/>
                <w:szCs w:val="18"/>
              </w:rPr>
              <w:t>Diversos</w:t>
            </w:r>
            <w:r w:rsidR="00E70377" w:rsidRPr="0009028A">
              <w:rPr>
                <w:rFonts w:ascii="Arial" w:hAnsi="Arial" w:cs="Arial"/>
                <w:color w:val="000000"/>
                <w:sz w:val="18"/>
                <w:szCs w:val="18"/>
              </w:rPr>
              <w:t xml:space="preserve"> (3)</w:t>
            </w:r>
          </w:p>
        </w:tc>
        <w:tc>
          <w:tcPr>
            <w:tcW w:w="1259" w:type="pct"/>
            <w:shd w:val="clear" w:color="auto" w:fill="auto"/>
            <w:vAlign w:val="center"/>
          </w:tcPr>
          <w:p w14:paraId="420D8671" w14:textId="77777777" w:rsidR="00A512E9" w:rsidRPr="0009028A" w:rsidRDefault="00A114A2" w:rsidP="00A512E9">
            <w:pPr>
              <w:spacing w:after="0" w:line="240" w:lineRule="auto"/>
              <w:jc w:val="right"/>
              <w:rPr>
                <w:rFonts w:ascii="Arial" w:hAnsi="Arial" w:cs="Arial"/>
                <w:color w:val="000000"/>
                <w:sz w:val="18"/>
                <w:szCs w:val="18"/>
              </w:rPr>
            </w:pPr>
            <w:r w:rsidRPr="0009028A">
              <w:rPr>
                <w:rFonts w:ascii="Arial" w:hAnsi="Arial" w:cs="Arial"/>
                <w:color w:val="000000"/>
                <w:sz w:val="18"/>
                <w:szCs w:val="18"/>
              </w:rPr>
              <w:t>244.210</w:t>
            </w:r>
          </w:p>
        </w:tc>
        <w:tc>
          <w:tcPr>
            <w:tcW w:w="1071" w:type="pct"/>
            <w:shd w:val="clear" w:color="auto" w:fill="auto"/>
            <w:vAlign w:val="center"/>
          </w:tcPr>
          <w:p w14:paraId="1BEB61C3" w14:textId="77777777" w:rsidR="00A512E9" w:rsidRPr="0009028A" w:rsidRDefault="00A114A2" w:rsidP="00A512E9">
            <w:pPr>
              <w:spacing w:after="0" w:line="240" w:lineRule="auto"/>
              <w:jc w:val="right"/>
              <w:rPr>
                <w:rFonts w:ascii="Arial" w:hAnsi="Arial" w:cs="Arial"/>
                <w:color w:val="000000"/>
                <w:sz w:val="18"/>
                <w:szCs w:val="18"/>
              </w:rPr>
            </w:pPr>
            <w:r w:rsidRPr="0009028A">
              <w:rPr>
                <w:rFonts w:ascii="Arial" w:hAnsi="Arial" w:cs="Arial"/>
                <w:color w:val="000000"/>
                <w:sz w:val="18"/>
                <w:szCs w:val="18"/>
              </w:rPr>
              <w:t>1.654.128</w:t>
            </w:r>
          </w:p>
        </w:tc>
      </w:tr>
      <w:tr w:rsidR="00A512E9" w:rsidRPr="0009028A" w14:paraId="13FAC278" w14:textId="77777777" w:rsidTr="002F7552">
        <w:trPr>
          <w:trHeight w:val="20"/>
          <w:jc w:val="center"/>
        </w:trPr>
        <w:tc>
          <w:tcPr>
            <w:tcW w:w="2670" w:type="pct"/>
            <w:shd w:val="clear" w:color="auto" w:fill="auto"/>
            <w:vAlign w:val="center"/>
          </w:tcPr>
          <w:p w14:paraId="470694B9" w14:textId="77777777" w:rsidR="00A512E9" w:rsidRPr="0009028A" w:rsidRDefault="00A114A2" w:rsidP="00A512E9">
            <w:pPr>
              <w:spacing w:after="0" w:line="240" w:lineRule="auto"/>
              <w:rPr>
                <w:rFonts w:ascii="Arial" w:hAnsi="Arial" w:cs="Arial"/>
                <w:color w:val="000000"/>
                <w:sz w:val="18"/>
                <w:szCs w:val="18"/>
              </w:rPr>
            </w:pPr>
            <w:r w:rsidRPr="0009028A">
              <w:rPr>
                <w:rFonts w:ascii="Arial" w:hAnsi="Arial" w:cs="Arial"/>
                <w:color w:val="000000"/>
                <w:sz w:val="18"/>
                <w:szCs w:val="18"/>
              </w:rPr>
              <w:t>Contribuciones y afiliaciones</w:t>
            </w:r>
          </w:p>
        </w:tc>
        <w:tc>
          <w:tcPr>
            <w:tcW w:w="1259" w:type="pct"/>
            <w:shd w:val="clear" w:color="auto" w:fill="auto"/>
            <w:vAlign w:val="center"/>
          </w:tcPr>
          <w:p w14:paraId="628454DF" w14:textId="77777777" w:rsidR="00A512E9" w:rsidRPr="0009028A" w:rsidRDefault="00A114A2" w:rsidP="00A512E9">
            <w:pPr>
              <w:spacing w:after="0" w:line="240" w:lineRule="auto"/>
              <w:jc w:val="right"/>
              <w:rPr>
                <w:rFonts w:ascii="Arial" w:hAnsi="Arial" w:cs="Arial"/>
                <w:color w:val="000000"/>
                <w:sz w:val="18"/>
                <w:szCs w:val="18"/>
              </w:rPr>
            </w:pPr>
            <w:r w:rsidRPr="0009028A">
              <w:rPr>
                <w:rFonts w:ascii="Arial" w:hAnsi="Arial" w:cs="Arial"/>
                <w:color w:val="000000"/>
                <w:sz w:val="18"/>
                <w:szCs w:val="18"/>
              </w:rPr>
              <w:t>170.685</w:t>
            </w:r>
          </w:p>
        </w:tc>
        <w:tc>
          <w:tcPr>
            <w:tcW w:w="1071" w:type="pct"/>
            <w:shd w:val="clear" w:color="auto" w:fill="auto"/>
            <w:vAlign w:val="center"/>
          </w:tcPr>
          <w:p w14:paraId="09B8DCC9" w14:textId="77777777" w:rsidR="00A512E9" w:rsidRPr="0009028A" w:rsidRDefault="00A114A2" w:rsidP="00A512E9">
            <w:pPr>
              <w:spacing w:after="0" w:line="240" w:lineRule="auto"/>
              <w:jc w:val="right"/>
              <w:rPr>
                <w:rFonts w:ascii="Arial" w:hAnsi="Arial" w:cs="Arial"/>
                <w:color w:val="000000"/>
                <w:sz w:val="18"/>
                <w:szCs w:val="18"/>
              </w:rPr>
            </w:pPr>
            <w:r w:rsidRPr="0009028A">
              <w:rPr>
                <w:rFonts w:ascii="Arial" w:hAnsi="Arial" w:cs="Arial"/>
                <w:color w:val="000000"/>
                <w:sz w:val="18"/>
                <w:szCs w:val="18"/>
              </w:rPr>
              <w:t>140.420</w:t>
            </w:r>
          </w:p>
        </w:tc>
      </w:tr>
      <w:tr w:rsidR="00A114A2" w:rsidRPr="0009028A" w14:paraId="295B83F1" w14:textId="77777777" w:rsidTr="002F7552">
        <w:trPr>
          <w:trHeight w:val="20"/>
          <w:jc w:val="center"/>
        </w:trPr>
        <w:tc>
          <w:tcPr>
            <w:tcW w:w="2670" w:type="pct"/>
            <w:shd w:val="clear" w:color="auto" w:fill="auto"/>
            <w:vAlign w:val="center"/>
          </w:tcPr>
          <w:p w14:paraId="160338F5" w14:textId="77777777" w:rsidR="00A114A2" w:rsidRPr="0009028A" w:rsidRDefault="00A114A2" w:rsidP="00A512E9">
            <w:pPr>
              <w:spacing w:after="0" w:line="240" w:lineRule="auto"/>
              <w:rPr>
                <w:rFonts w:ascii="Arial" w:hAnsi="Arial" w:cs="Arial"/>
                <w:color w:val="000000"/>
                <w:sz w:val="18"/>
                <w:szCs w:val="18"/>
              </w:rPr>
            </w:pPr>
            <w:r w:rsidRPr="0009028A">
              <w:rPr>
                <w:rFonts w:ascii="Arial" w:hAnsi="Arial" w:cs="Arial"/>
                <w:color w:val="000000"/>
                <w:sz w:val="18"/>
                <w:szCs w:val="18"/>
              </w:rPr>
              <w:t>Deterioro (provisiones)</w:t>
            </w:r>
            <w:r w:rsidR="00E70377" w:rsidRPr="0009028A">
              <w:rPr>
                <w:rFonts w:ascii="Arial" w:hAnsi="Arial" w:cs="Arial"/>
                <w:color w:val="000000"/>
                <w:sz w:val="18"/>
                <w:szCs w:val="18"/>
              </w:rPr>
              <w:t xml:space="preserve"> (4)</w:t>
            </w:r>
          </w:p>
        </w:tc>
        <w:tc>
          <w:tcPr>
            <w:tcW w:w="1259" w:type="pct"/>
            <w:shd w:val="clear" w:color="auto" w:fill="auto"/>
            <w:vAlign w:val="center"/>
          </w:tcPr>
          <w:p w14:paraId="14ACCDCC" w14:textId="77777777" w:rsidR="00A114A2" w:rsidRPr="0009028A" w:rsidRDefault="00A114A2" w:rsidP="00A512E9">
            <w:pPr>
              <w:spacing w:after="0" w:line="240" w:lineRule="auto"/>
              <w:jc w:val="right"/>
              <w:rPr>
                <w:rFonts w:ascii="Arial" w:hAnsi="Arial" w:cs="Arial"/>
                <w:color w:val="000000"/>
                <w:sz w:val="18"/>
                <w:szCs w:val="18"/>
              </w:rPr>
            </w:pPr>
            <w:r w:rsidRPr="0009028A">
              <w:rPr>
                <w:rFonts w:ascii="Arial" w:hAnsi="Arial" w:cs="Arial"/>
                <w:color w:val="000000"/>
                <w:sz w:val="18"/>
                <w:szCs w:val="18"/>
              </w:rPr>
              <w:t>91.539</w:t>
            </w:r>
          </w:p>
        </w:tc>
        <w:tc>
          <w:tcPr>
            <w:tcW w:w="1071" w:type="pct"/>
            <w:shd w:val="clear" w:color="auto" w:fill="auto"/>
            <w:vAlign w:val="center"/>
          </w:tcPr>
          <w:p w14:paraId="445FC6D4" w14:textId="77777777" w:rsidR="00A114A2" w:rsidRPr="0009028A" w:rsidRDefault="00A114A2" w:rsidP="00A512E9">
            <w:pPr>
              <w:spacing w:after="0" w:line="240" w:lineRule="auto"/>
              <w:jc w:val="right"/>
              <w:rPr>
                <w:rFonts w:ascii="Arial" w:hAnsi="Arial" w:cs="Arial"/>
                <w:color w:val="000000"/>
                <w:sz w:val="18"/>
                <w:szCs w:val="18"/>
              </w:rPr>
            </w:pPr>
            <w:r w:rsidRPr="0009028A">
              <w:rPr>
                <w:rFonts w:ascii="Arial" w:hAnsi="Arial" w:cs="Arial"/>
                <w:color w:val="000000"/>
                <w:sz w:val="18"/>
                <w:szCs w:val="18"/>
              </w:rPr>
              <w:t>-</w:t>
            </w:r>
          </w:p>
        </w:tc>
      </w:tr>
      <w:tr w:rsidR="00A114A2" w:rsidRPr="0009028A" w14:paraId="35DA4D95" w14:textId="77777777" w:rsidTr="002F7552">
        <w:trPr>
          <w:trHeight w:val="20"/>
          <w:jc w:val="center"/>
        </w:trPr>
        <w:tc>
          <w:tcPr>
            <w:tcW w:w="2670" w:type="pct"/>
            <w:shd w:val="clear" w:color="auto" w:fill="auto"/>
            <w:vAlign w:val="center"/>
          </w:tcPr>
          <w:p w14:paraId="36E16E9F" w14:textId="77777777" w:rsidR="00A114A2" w:rsidRPr="0009028A" w:rsidRDefault="00A114A2" w:rsidP="00A512E9">
            <w:pPr>
              <w:spacing w:after="0" w:line="240" w:lineRule="auto"/>
              <w:rPr>
                <w:rFonts w:ascii="Arial" w:hAnsi="Arial" w:cs="Arial"/>
                <w:color w:val="000000"/>
                <w:sz w:val="18"/>
                <w:szCs w:val="18"/>
              </w:rPr>
            </w:pPr>
            <w:r w:rsidRPr="0009028A">
              <w:rPr>
                <w:rFonts w:ascii="Arial" w:hAnsi="Arial" w:cs="Arial"/>
                <w:color w:val="000000"/>
                <w:sz w:val="18"/>
                <w:szCs w:val="18"/>
              </w:rPr>
              <w:t>Seguros</w:t>
            </w:r>
          </w:p>
        </w:tc>
        <w:tc>
          <w:tcPr>
            <w:tcW w:w="1259" w:type="pct"/>
            <w:shd w:val="clear" w:color="auto" w:fill="auto"/>
            <w:vAlign w:val="center"/>
          </w:tcPr>
          <w:p w14:paraId="015D9AD7" w14:textId="77777777" w:rsidR="00A114A2" w:rsidRPr="0009028A" w:rsidRDefault="00A114A2" w:rsidP="00A512E9">
            <w:pPr>
              <w:spacing w:after="0" w:line="240" w:lineRule="auto"/>
              <w:jc w:val="right"/>
              <w:rPr>
                <w:rFonts w:ascii="Arial" w:hAnsi="Arial" w:cs="Arial"/>
                <w:color w:val="000000"/>
                <w:sz w:val="18"/>
                <w:szCs w:val="18"/>
              </w:rPr>
            </w:pPr>
            <w:r w:rsidRPr="0009028A">
              <w:rPr>
                <w:rFonts w:ascii="Arial" w:hAnsi="Arial" w:cs="Arial"/>
                <w:color w:val="000000"/>
                <w:sz w:val="18"/>
                <w:szCs w:val="18"/>
              </w:rPr>
              <w:t>46.634</w:t>
            </w:r>
          </w:p>
        </w:tc>
        <w:tc>
          <w:tcPr>
            <w:tcW w:w="1071" w:type="pct"/>
            <w:shd w:val="clear" w:color="auto" w:fill="auto"/>
            <w:vAlign w:val="center"/>
          </w:tcPr>
          <w:p w14:paraId="7F09CBBF" w14:textId="77777777" w:rsidR="00A114A2" w:rsidRPr="0009028A" w:rsidRDefault="00A114A2" w:rsidP="00A512E9">
            <w:pPr>
              <w:spacing w:after="0" w:line="240" w:lineRule="auto"/>
              <w:jc w:val="right"/>
              <w:rPr>
                <w:rFonts w:ascii="Arial" w:hAnsi="Arial" w:cs="Arial"/>
                <w:color w:val="000000"/>
                <w:sz w:val="18"/>
                <w:szCs w:val="18"/>
              </w:rPr>
            </w:pPr>
            <w:r w:rsidRPr="0009028A">
              <w:rPr>
                <w:rFonts w:ascii="Arial" w:hAnsi="Arial" w:cs="Arial"/>
                <w:color w:val="000000"/>
                <w:sz w:val="18"/>
                <w:szCs w:val="18"/>
              </w:rPr>
              <w:t>256.399</w:t>
            </w:r>
          </w:p>
        </w:tc>
      </w:tr>
      <w:tr w:rsidR="00A512E9" w:rsidRPr="0009028A" w14:paraId="55538F70" w14:textId="77777777" w:rsidTr="002F7552">
        <w:trPr>
          <w:trHeight w:val="20"/>
          <w:jc w:val="center"/>
        </w:trPr>
        <w:tc>
          <w:tcPr>
            <w:tcW w:w="2670" w:type="pct"/>
            <w:shd w:val="clear" w:color="auto" w:fill="auto"/>
            <w:vAlign w:val="center"/>
          </w:tcPr>
          <w:p w14:paraId="12DF216D" w14:textId="77777777" w:rsidR="00A512E9" w:rsidRPr="0009028A" w:rsidRDefault="00A512E9" w:rsidP="00A512E9">
            <w:pPr>
              <w:spacing w:after="0" w:line="240" w:lineRule="auto"/>
              <w:rPr>
                <w:rFonts w:ascii="Arial" w:eastAsia="Times New Roman" w:hAnsi="Arial" w:cs="Arial"/>
                <w:color w:val="000000"/>
                <w:sz w:val="18"/>
                <w:szCs w:val="18"/>
                <w:lang w:eastAsia="es-CO"/>
              </w:rPr>
            </w:pPr>
            <w:r w:rsidRPr="0009028A">
              <w:rPr>
                <w:rFonts w:ascii="Arial" w:hAnsi="Arial" w:cs="Arial"/>
                <w:color w:val="000000"/>
                <w:sz w:val="18"/>
                <w:szCs w:val="18"/>
              </w:rPr>
              <w:t>Amortización de activos intangibles</w:t>
            </w:r>
            <w:r w:rsidR="00E70377" w:rsidRPr="0009028A">
              <w:rPr>
                <w:rFonts w:ascii="Arial" w:hAnsi="Arial" w:cs="Arial"/>
                <w:color w:val="000000"/>
                <w:sz w:val="18"/>
                <w:szCs w:val="18"/>
              </w:rPr>
              <w:t xml:space="preserve"> (5)</w:t>
            </w:r>
          </w:p>
        </w:tc>
        <w:tc>
          <w:tcPr>
            <w:tcW w:w="1259" w:type="pct"/>
            <w:shd w:val="clear" w:color="auto" w:fill="auto"/>
            <w:vAlign w:val="center"/>
          </w:tcPr>
          <w:p w14:paraId="15121357" w14:textId="77777777" w:rsidR="00A512E9" w:rsidRPr="0009028A" w:rsidRDefault="00A114A2" w:rsidP="00A512E9">
            <w:pPr>
              <w:spacing w:after="0" w:line="240" w:lineRule="auto"/>
              <w:jc w:val="right"/>
              <w:rPr>
                <w:rFonts w:ascii="Arial" w:hAnsi="Arial" w:cs="Arial"/>
                <w:color w:val="000000"/>
                <w:sz w:val="18"/>
                <w:szCs w:val="18"/>
              </w:rPr>
            </w:pPr>
            <w:r w:rsidRPr="0009028A">
              <w:rPr>
                <w:rFonts w:ascii="Arial" w:hAnsi="Arial" w:cs="Arial"/>
                <w:color w:val="000000"/>
                <w:sz w:val="18"/>
                <w:szCs w:val="18"/>
              </w:rPr>
              <w:t>33.932</w:t>
            </w:r>
          </w:p>
        </w:tc>
        <w:tc>
          <w:tcPr>
            <w:tcW w:w="1071" w:type="pct"/>
            <w:shd w:val="clear" w:color="auto" w:fill="auto"/>
            <w:vAlign w:val="center"/>
          </w:tcPr>
          <w:p w14:paraId="717CA1AE" w14:textId="77777777" w:rsidR="00A114A2" w:rsidRPr="0009028A" w:rsidRDefault="00A114A2" w:rsidP="00A114A2">
            <w:pPr>
              <w:spacing w:after="0" w:line="240" w:lineRule="auto"/>
              <w:jc w:val="right"/>
              <w:rPr>
                <w:rFonts w:ascii="Arial" w:hAnsi="Arial" w:cs="Arial"/>
                <w:color w:val="000000"/>
                <w:sz w:val="18"/>
                <w:szCs w:val="18"/>
              </w:rPr>
            </w:pPr>
            <w:r w:rsidRPr="0009028A">
              <w:rPr>
                <w:rFonts w:ascii="Arial" w:hAnsi="Arial" w:cs="Arial"/>
                <w:color w:val="000000"/>
                <w:sz w:val="18"/>
                <w:szCs w:val="18"/>
              </w:rPr>
              <w:t>775.217</w:t>
            </w:r>
          </w:p>
        </w:tc>
      </w:tr>
      <w:tr w:rsidR="00A512E9" w:rsidRPr="0009028A" w14:paraId="4B55A2D9" w14:textId="77777777" w:rsidTr="002F7552">
        <w:trPr>
          <w:trHeight w:val="20"/>
          <w:jc w:val="center"/>
        </w:trPr>
        <w:tc>
          <w:tcPr>
            <w:tcW w:w="2670" w:type="pct"/>
            <w:shd w:val="clear" w:color="auto" w:fill="auto"/>
            <w:vAlign w:val="center"/>
          </w:tcPr>
          <w:p w14:paraId="01B2A604" w14:textId="77777777" w:rsidR="00A512E9" w:rsidRPr="0009028A" w:rsidRDefault="00A512E9" w:rsidP="00A512E9">
            <w:pPr>
              <w:spacing w:after="0" w:line="240" w:lineRule="auto"/>
              <w:rPr>
                <w:rFonts w:ascii="Arial" w:hAnsi="Arial" w:cs="Arial"/>
                <w:color w:val="000000"/>
                <w:sz w:val="18"/>
                <w:szCs w:val="18"/>
              </w:rPr>
            </w:pPr>
            <w:r w:rsidRPr="0009028A">
              <w:rPr>
                <w:rFonts w:ascii="Arial" w:hAnsi="Arial" w:cs="Arial"/>
                <w:color w:val="000000"/>
                <w:sz w:val="18"/>
                <w:szCs w:val="18"/>
              </w:rPr>
              <w:t xml:space="preserve">Adecuación e instalación </w:t>
            </w:r>
          </w:p>
        </w:tc>
        <w:tc>
          <w:tcPr>
            <w:tcW w:w="1259" w:type="pct"/>
            <w:shd w:val="clear" w:color="auto" w:fill="auto"/>
            <w:vAlign w:val="center"/>
          </w:tcPr>
          <w:p w14:paraId="3D979143" w14:textId="77777777" w:rsidR="00A512E9" w:rsidRPr="0009028A" w:rsidRDefault="00A114A2" w:rsidP="00A512E9">
            <w:pPr>
              <w:spacing w:after="0" w:line="240" w:lineRule="auto"/>
              <w:jc w:val="right"/>
              <w:rPr>
                <w:rFonts w:ascii="Arial" w:hAnsi="Arial" w:cs="Arial"/>
                <w:color w:val="000000"/>
                <w:sz w:val="18"/>
                <w:szCs w:val="18"/>
              </w:rPr>
            </w:pPr>
            <w:r w:rsidRPr="0009028A">
              <w:rPr>
                <w:rFonts w:ascii="Arial" w:hAnsi="Arial" w:cs="Arial"/>
                <w:color w:val="000000"/>
                <w:sz w:val="18"/>
                <w:szCs w:val="18"/>
              </w:rPr>
              <w:t>27.284</w:t>
            </w:r>
          </w:p>
        </w:tc>
        <w:tc>
          <w:tcPr>
            <w:tcW w:w="1071" w:type="pct"/>
            <w:shd w:val="clear" w:color="auto" w:fill="auto"/>
            <w:vAlign w:val="center"/>
          </w:tcPr>
          <w:p w14:paraId="7AAC9ED1" w14:textId="77777777" w:rsidR="00A512E9" w:rsidRPr="0009028A" w:rsidRDefault="00A114A2" w:rsidP="00A512E9">
            <w:pPr>
              <w:spacing w:after="0" w:line="240" w:lineRule="auto"/>
              <w:jc w:val="right"/>
              <w:rPr>
                <w:rFonts w:ascii="Arial" w:hAnsi="Arial" w:cs="Arial"/>
                <w:color w:val="000000"/>
                <w:sz w:val="18"/>
                <w:szCs w:val="18"/>
              </w:rPr>
            </w:pPr>
            <w:r w:rsidRPr="0009028A">
              <w:rPr>
                <w:rFonts w:ascii="Arial" w:hAnsi="Arial" w:cs="Arial"/>
                <w:color w:val="000000"/>
                <w:sz w:val="18"/>
                <w:szCs w:val="18"/>
              </w:rPr>
              <w:t>-</w:t>
            </w:r>
          </w:p>
        </w:tc>
      </w:tr>
      <w:tr w:rsidR="00A512E9" w:rsidRPr="0009028A" w14:paraId="73E24C1F" w14:textId="77777777" w:rsidTr="002F7552">
        <w:trPr>
          <w:trHeight w:val="20"/>
          <w:jc w:val="center"/>
        </w:trPr>
        <w:tc>
          <w:tcPr>
            <w:tcW w:w="2670" w:type="pct"/>
            <w:shd w:val="clear" w:color="auto" w:fill="auto"/>
            <w:vAlign w:val="center"/>
          </w:tcPr>
          <w:p w14:paraId="2F554077" w14:textId="77777777" w:rsidR="00A512E9" w:rsidRPr="0009028A" w:rsidRDefault="00A512E9" w:rsidP="00A512E9">
            <w:pPr>
              <w:spacing w:after="0" w:line="240" w:lineRule="auto"/>
              <w:rPr>
                <w:rFonts w:ascii="Arial" w:eastAsia="Times New Roman" w:hAnsi="Arial" w:cs="Arial"/>
                <w:color w:val="000000"/>
                <w:sz w:val="18"/>
                <w:szCs w:val="18"/>
                <w:lang w:eastAsia="es-CO"/>
              </w:rPr>
            </w:pPr>
            <w:r w:rsidRPr="0009028A">
              <w:rPr>
                <w:rFonts w:ascii="Arial" w:hAnsi="Arial" w:cs="Arial"/>
                <w:color w:val="000000"/>
                <w:sz w:val="18"/>
                <w:szCs w:val="18"/>
              </w:rPr>
              <w:t xml:space="preserve">Gastos legales </w:t>
            </w:r>
          </w:p>
        </w:tc>
        <w:tc>
          <w:tcPr>
            <w:tcW w:w="1259" w:type="pct"/>
            <w:shd w:val="clear" w:color="auto" w:fill="auto"/>
            <w:vAlign w:val="center"/>
          </w:tcPr>
          <w:p w14:paraId="7496E2B4" w14:textId="77777777" w:rsidR="00A512E9" w:rsidRPr="0009028A" w:rsidRDefault="00240AD3" w:rsidP="00A512E9">
            <w:pPr>
              <w:spacing w:after="0" w:line="240" w:lineRule="auto"/>
              <w:jc w:val="right"/>
              <w:rPr>
                <w:rFonts w:ascii="Arial" w:hAnsi="Arial" w:cs="Arial"/>
                <w:color w:val="000000"/>
                <w:sz w:val="18"/>
                <w:szCs w:val="18"/>
                <w:u w:val="single"/>
              </w:rPr>
            </w:pPr>
            <w:r w:rsidRPr="0009028A">
              <w:rPr>
                <w:rFonts w:ascii="Arial" w:hAnsi="Arial" w:cs="Arial"/>
                <w:color w:val="000000"/>
                <w:sz w:val="18"/>
                <w:szCs w:val="18"/>
                <w:u w:val="single"/>
              </w:rPr>
              <w:t xml:space="preserve">            </w:t>
            </w:r>
            <w:r w:rsidR="00A114A2" w:rsidRPr="0009028A">
              <w:rPr>
                <w:rFonts w:ascii="Arial" w:hAnsi="Arial" w:cs="Arial"/>
                <w:color w:val="000000"/>
                <w:sz w:val="18"/>
                <w:szCs w:val="18"/>
                <w:u w:val="single"/>
              </w:rPr>
              <w:t>4.117</w:t>
            </w:r>
          </w:p>
        </w:tc>
        <w:tc>
          <w:tcPr>
            <w:tcW w:w="1071" w:type="pct"/>
            <w:shd w:val="clear" w:color="auto" w:fill="auto"/>
            <w:vAlign w:val="center"/>
          </w:tcPr>
          <w:p w14:paraId="5B840C8C" w14:textId="77777777" w:rsidR="00A512E9" w:rsidRPr="0009028A" w:rsidRDefault="00240AD3" w:rsidP="00A512E9">
            <w:pPr>
              <w:spacing w:after="0" w:line="240" w:lineRule="auto"/>
              <w:jc w:val="right"/>
              <w:rPr>
                <w:rFonts w:ascii="Arial" w:hAnsi="Arial" w:cs="Arial"/>
                <w:color w:val="000000"/>
                <w:sz w:val="18"/>
                <w:szCs w:val="18"/>
                <w:u w:val="single"/>
              </w:rPr>
            </w:pPr>
            <w:r w:rsidRPr="0009028A">
              <w:rPr>
                <w:rFonts w:ascii="Arial" w:hAnsi="Arial" w:cs="Arial"/>
                <w:color w:val="000000"/>
                <w:sz w:val="18"/>
                <w:szCs w:val="18"/>
                <w:u w:val="single"/>
              </w:rPr>
              <w:t xml:space="preserve">          </w:t>
            </w:r>
            <w:r w:rsidR="00A114A2" w:rsidRPr="0009028A">
              <w:rPr>
                <w:rFonts w:ascii="Arial" w:hAnsi="Arial" w:cs="Arial"/>
                <w:color w:val="000000"/>
                <w:sz w:val="18"/>
                <w:szCs w:val="18"/>
                <w:u w:val="single"/>
              </w:rPr>
              <w:t>2.348</w:t>
            </w:r>
          </w:p>
        </w:tc>
      </w:tr>
      <w:tr w:rsidR="00A512E9" w:rsidRPr="0009028A" w14:paraId="6F69FEE2" w14:textId="77777777" w:rsidTr="002F7552">
        <w:trPr>
          <w:trHeight w:val="20"/>
          <w:jc w:val="center"/>
        </w:trPr>
        <w:tc>
          <w:tcPr>
            <w:tcW w:w="2670" w:type="pct"/>
            <w:shd w:val="clear" w:color="auto" w:fill="auto"/>
            <w:vAlign w:val="center"/>
            <w:hideMark/>
          </w:tcPr>
          <w:p w14:paraId="4B8F255E" w14:textId="77777777" w:rsidR="00A512E9" w:rsidRPr="0009028A" w:rsidRDefault="00A512E9" w:rsidP="00A512E9">
            <w:pPr>
              <w:spacing w:after="0" w:line="240" w:lineRule="auto"/>
              <w:rPr>
                <w:rFonts w:ascii="Arial" w:eastAsia="Times New Roman" w:hAnsi="Arial" w:cs="Arial"/>
                <w:b/>
                <w:bCs/>
                <w:color w:val="103475"/>
                <w:sz w:val="20"/>
                <w:szCs w:val="20"/>
                <w:lang w:eastAsia="es-CO"/>
              </w:rPr>
            </w:pPr>
            <w:r w:rsidRPr="0009028A">
              <w:rPr>
                <w:rFonts w:ascii="Arial" w:hAnsi="Arial" w:cs="Arial"/>
                <w:b/>
                <w:bCs/>
                <w:color w:val="103475"/>
                <w:sz w:val="20"/>
                <w:szCs w:val="20"/>
              </w:rPr>
              <w:t>Total gastos de administración</w:t>
            </w:r>
          </w:p>
        </w:tc>
        <w:tc>
          <w:tcPr>
            <w:tcW w:w="1259" w:type="pct"/>
            <w:shd w:val="clear" w:color="auto" w:fill="auto"/>
            <w:vAlign w:val="center"/>
            <w:hideMark/>
          </w:tcPr>
          <w:p w14:paraId="4D995466" w14:textId="77777777" w:rsidR="00A512E9" w:rsidRPr="0009028A" w:rsidRDefault="00240AD3" w:rsidP="00A512E9">
            <w:pPr>
              <w:spacing w:after="0" w:line="240" w:lineRule="auto"/>
              <w:jc w:val="right"/>
              <w:rPr>
                <w:rFonts w:ascii="Arial" w:eastAsia="Times New Roman" w:hAnsi="Arial" w:cs="Arial"/>
                <w:b/>
                <w:color w:val="103475"/>
                <w:sz w:val="18"/>
                <w:szCs w:val="18"/>
                <w:u w:val="double"/>
                <w:lang w:eastAsia="es-CO"/>
              </w:rPr>
            </w:pPr>
            <w:r w:rsidRPr="0009028A">
              <w:rPr>
                <w:rFonts w:ascii="Arial" w:eastAsia="Times New Roman" w:hAnsi="Arial" w:cs="Arial"/>
                <w:b/>
                <w:color w:val="103475"/>
                <w:sz w:val="18"/>
                <w:szCs w:val="18"/>
                <w:lang w:eastAsia="es-CO"/>
              </w:rPr>
              <w:t xml:space="preserve">$ </w:t>
            </w:r>
            <w:r w:rsidRPr="0009028A">
              <w:rPr>
                <w:rFonts w:ascii="Arial" w:eastAsia="Times New Roman" w:hAnsi="Arial" w:cs="Arial"/>
                <w:b/>
                <w:color w:val="103475"/>
                <w:sz w:val="18"/>
                <w:szCs w:val="18"/>
                <w:u w:val="double"/>
                <w:lang w:eastAsia="es-CO"/>
              </w:rPr>
              <w:t xml:space="preserve">   </w:t>
            </w:r>
            <w:r w:rsidR="00A114A2" w:rsidRPr="0009028A">
              <w:rPr>
                <w:rFonts w:ascii="Arial" w:eastAsia="Times New Roman" w:hAnsi="Arial" w:cs="Arial"/>
                <w:b/>
                <w:color w:val="103475"/>
                <w:sz w:val="18"/>
                <w:szCs w:val="18"/>
                <w:u w:val="double"/>
                <w:lang w:eastAsia="es-CO"/>
              </w:rPr>
              <w:t>16.593.251</w:t>
            </w:r>
          </w:p>
        </w:tc>
        <w:tc>
          <w:tcPr>
            <w:tcW w:w="1071" w:type="pct"/>
            <w:shd w:val="clear" w:color="auto" w:fill="auto"/>
            <w:vAlign w:val="center"/>
          </w:tcPr>
          <w:p w14:paraId="0E47B150" w14:textId="77777777" w:rsidR="00A512E9" w:rsidRPr="0009028A" w:rsidRDefault="00A512E9" w:rsidP="00A512E9">
            <w:pPr>
              <w:spacing w:after="0" w:line="240" w:lineRule="auto"/>
              <w:jc w:val="right"/>
              <w:rPr>
                <w:rFonts w:ascii="Arial" w:hAnsi="Arial" w:cs="Arial"/>
                <w:color w:val="000000"/>
                <w:sz w:val="18"/>
                <w:szCs w:val="18"/>
                <w:u w:val="double"/>
              </w:rPr>
            </w:pPr>
            <w:r w:rsidRPr="0009028A">
              <w:rPr>
                <w:rFonts w:ascii="Arial" w:eastAsia="Times New Roman" w:hAnsi="Arial" w:cs="Arial"/>
                <w:b/>
                <w:color w:val="103475"/>
                <w:sz w:val="18"/>
                <w:szCs w:val="18"/>
                <w:u w:val="double"/>
                <w:lang w:eastAsia="es-CO"/>
              </w:rPr>
              <w:t>1</w:t>
            </w:r>
            <w:r w:rsidR="00A114A2" w:rsidRPr="0009028A">
              <w:rPr>
                <w:rFonts w:ascii="Arial" w:eastAsia="Times New Roman" w:hAnsi="Arial" w:cs="Arial"/>
                <w:b/>
                <w:color w:val="103475"/>
                <w:sz w:val="18"/>
                <w:szCs w:val="18"/>
                <w:u w:val="double"/>
                <w:lang w:eastAsia="es-CO"/>
              </w:rPr>
              <w:t>8.772.654</w:t>
            </w:r>
          </w:p>
        </w:tc>
      </w:tr>
    </w:tbl>
    <w:p w14:paraId="5064267A" w14:textId="77777777" w:rsidR="008B5836" w:rsidRPr="0009028A" w:rsidRDefault="008B5836" w:rsidP="008B5836">
      <w:pPr>
        <w:spacing w:after="0"/>
        <w:rPr>
          <w:rFonts w:ascii="Arial" w:hAnsi="Arial" w:cs="Arial"/>
          <w:b/>
          <w:sz w:val="20"/>
          <w:szCs w:val="20"/>
        </w:rPr>
      </w:pPr>
    </w:p>
    <w:p w14:paraId="2D24F242" w14:textId="77777777" w:rsidR="00A114A2" w:rsidRPr="0009028A" w:rsidRDefault="00E70377" w:rsidP="009F2FBB">
      <w:pPr>
        <w:spacing w:after="0" w:line="256" w:lineRule="auto"/>
        <w:jc w:val="both"/>
        <w:rPr>
          <w:rFonts w:ascii="Arial" w:eastAsia="Times New Roman" w:hAnsi="Arial" w:cs="Arial"/>
          <w:color w:val="000000"/>
          <w:sz w:val="20"/>
          <w:szCs w:val="20"/>
          <w:lang w:eastAsia="es-CO"/>
        </w:rPr>
      </w:pPr>
      <w:r w:rsidRPr="0009028A">
        <w:rPr>
          <w:rFonts w:ascii="Arial" w:eastAsia="Times New Roman" w:hAnsi="Arial" w:cs="Arial"/>
          <w:color w:val="000000"/>
          <w:sz w:val="20"/>
          <w:szCs w:val="20"/>
          <w:lang w:eastAsia="es-CO"/>
        </w:rPr>
        <w:t xml:space="preserve">(1) </w:t>
      </w:r>
      <w:r w:rsidR="00A62C74" w:rsidRPr="0009028A">
        <w:rPr>
          <w:rFonts w:ascii="Arial" w:eastAsia="Times New Roman" w:hAnsi="Arial" w:cs="Arial"/>
          <w:color w:val="000000"/>
          <w:sz w:val="20"/>
          <w:szCs w:val="20"/>
          <w:lang w:eastAsia="es-CO"/>
        </w:rPr>
        <w:t xml:space="preserve">La disminución </w:t>
      </w:r>
      <w:r w:rsidR="003A1F03" w:rsidRPr="0009028A">
        <w:rPr>
          <w:rFonts w:ascii="Arial" w:eastAsia="Times New Roman" w:hAnsi="Arial" w:cs="Arial"/>
          <w:color w:val="000000"/>
          <w:sz w:val="20"/>
          <w:szCs w:val="20"/>
          <w:lang w:eastAsia="es-CO"/>
        </w:rPr>
        <w:t>durante el primer trimestre de</w:t>
      </w:r>
      <w:r w:rsidR="00A62C74" w:rsidRPr="0009028A">
        <w:rPr>
          <w:rFonts w:ascii="Arial" w:eastAsia="Times New Roman" w:hAnsi="Arial" w:cs="Arial"/>
          <w:color w:val="000000"/>
          <w:sz w:val="20"/>
          <w:szCs w:val="20"/>
          <w:lang w:eastAsia="es-CO"/>
        </w:rPr>
        <w:t xml:space="preserve"> 2019 </w:t>
      </w:r>
      <w:r w:rsidR="003343E8" w:rsidRPr="0009028A">
        <w:rPr>
          <w:rFonts w:ascii="Arial" w:eastAsia="Times New Roman" w:hAnsi="Arial" w:cs="Arial"/>
          <w:color w:val="000000"/>
          <w:sz w:val="20"/>
          <w:szCs w:val="20"/>
          <w:lang w:eastAsia="es-CO"/>
        </w:rPr>
        <w:t xml:space="preserve">obedece a </w:t>
      </w:r>
      <w:r w:rsidR="003A1F03" w:rsidRPr="0009028A">
        <w:rPr>
          <w:rFonts w:ascii="Arial" w:eastAsia="Times New Roman" w:hAnsi="Arial" w:cs="Arial"/>
          <w:color w:val="000000"/>
          <w:sz w:val="20"/>
          <w:szCs w:val="20"/>
          <w:lang w:eastAsia="es-CO"/>
        </w:rPr>
        <w:t xml:space="preserve">menores valores incurridos por este concepto, según fases de factibilidad de los proyectos. </w:t>
      </w:r>
    </w:p>
    <w:p w14:paraId="7D6EA2F1" w14:textId="77777777" w:rsidR="00E70377" w:rsidRPr="0009028A" w:rsidRDefault="00E70377" w:rsidP="009F2FBB">
      <w:pPr>
        <w:spacing w:after="0" w:line="256" w:lineRule="auto"/>
        <w:jc w:val="both"/>
        <w:rPr>
          <w:rFonts w:ascii="Arial" w:eastAsia="Times New Roman" w:hAnsi="Arial" w:cs="Arial"/>
          <w:color w:val="000000"/>
          <w:sz w:val="20"/>
          <w:szCs w:val="20"/>
          <w:lang w:eastAsia="es-CO"/>
        </w:rPr>
      </w:pPr>
    </w:p>
    <w:p w14:paraId="186DF702" w14:textId="77777777" w:rsidR="00E70377" w:rsidRPr="0009028A" w:rsidRDefault="00E70377" w:rsidP="009F2FBB">
      <w:pPr>
        <w:spacing w:after="0" w:line="256" w:lineRule="auto"/>
        <w:jc w:val="both"/>
        <w:rPr>
          <w:rFonts w:ascii="Arial" w:eastAsia="Times New Roman" w:hAnsi="Arial" w:cs="Arial"/>
          <w:color w:val="000000"/>
          <w:sz w:val="20"/>
          <w:szCs w:val="20"/>
          <w:lang w:eastAsia="es-CO"/>
        </w:rPr>
      </w:pPr>
      <w:r w:rsidRPr="0009028A">
        <w:rPr>
          <w:rFonts w:ascii="Arial" w:eastAsia="Times New Roman" w:hAnsi="Arial" w:cs="Arial"/>
          <w:color w:val="000000"/>
          <w:sz w:val="20"/>
          <w:szCs w:val="20"/>
          <w:lang w:eastAsia="es-CO"/>
        </w:rPr>
        <w:t>(2)</w:t>
      </w:r>
      <w:r w:rsidR="000E16E7" w:rsidRPr="0009028A">
        <w:rPr>
          <w:rFonts w:ascii="Arial" w:eastAsia="Times New Roman" w:hAnsi="Arial" w:cs="Arial"/>
          <w:color w:val="000000"/>
          <w:sz w:val="20"/>
          <w:szCs w:val="20"/>
          <w:lang w:eastAsia="es-CO"/>
        </w:rPr>
        <w:t xml:space="preserve"> La variación corresponde principalmente por la implementación de la NIIF 16, dado que fueron reconocidos </w:t>
      </w:r>
      <w:r w:rsidR="00A62C74" w:rsidRPr="0009028A">
        <w:rPr>
          <w:rFonts w:ascii="Arial" w:eastAsia="Times New Roman" w:hAnsi="Arial" w:cs="Arial"/>
          <w:color w:val="000000"/>
          <w:sz w:val="20"/>
          <w:szCs w:val="20"/>
          <w:lang w:eastAsia="es-CO"/>
        </w:rPr>
        <w:t>activos por derecho de uso</w:t>
      </w:r>
      <w:r w:rsidR="003A1F03" w:rsidRPr="0009028A">
        <w:rPr>
          <w:rFonts w:ascii="Arial" w:eastAsia="Times New Roman" w:hAnsi="Arial" w:cs="Arial"/>
          <w:color w:val="000000"/>
          <w:sz w:val="20"/>
          <w:szCs w:val="20"/>
          <w:lang w:eastAsia="es-CO"/>
        </w:rPr>
        <w:t xml:space="preserve"> </w:t>
      </w:r>
      <w:r w:rsidR="00A62C74" w:rsidRPr="0009028A">
        <w:rPr>
          <w:rFonts w:ascii="Arial" w:eastAsia="Times New Roman" w:hAnsi="Arial" w:cs="Arial"/>
          <w:color w:val="000000"/>
          <w:sz w:val="20"/>
          <w:szCs w:val="20"/>
          <w:lang w:eastAsia="es-CO"/>
        </w:rPr>
        <w:t>de construcciones y edificaciones, flota y equipo de transporte y</w:t>
      </w:r>
      <w:r w:rsidR="003A1F03" w:rsidRPr="0009028A">
        <w:rPr>
          <w:rFonts w:ascii="Arial" w:eastAsia="Times New Roman" w:hAnsi="Arial" w:cs="Arial"/>
          <w:color w:val="000000"/>
          <w:sz w:val="20"/>
          <w:szCs w:val="20"/>
          <w:lang w:eastAsia="es-CO"/>
        </w:rPr>
        <w:t xml:space="preserve"> mejoras en propiedades ajenas por $8.505.590.</w:t>
      </w:r>
    </w:p>
    <w:p w14:paraId="4DA9BA27" w14:textId="77777777" w:rsidR="00E70377" w:rsidRPr="0009028A" w:rsidRDefault="00E70377" w:rsidP="009F2FBB">
      <w:pPr>
        <w:spacing w:after="0" w:line="256" w:lineRule="auto"/>
        <w:jc w:val="both"/>
        <w:rPr>
          <w:rFonts w:ascii="Arial" w:eastAsia="Times New Roman" w:hAnsi="Arial" w:cs="Arial"/>
          <w:color w:val="000000"/>
          <w:sz w:val="20"/>
          <w:szCs w:val="20"/>
          <w:lang w:eastAsia="es-CO"/>
        </w:rPr>
      </w:pPr>
      <w:r w:rsidRPr="0009028A">
        <w:rPr>
          <w:rFonts w:ascii="Arial" w:eastAsia="Times New Roman" w:hAnsi="Arial" w:cs="Arial"/>
          <w:color w:val="000000"/>
          <w:sz w:val="20"/>
          <w:szCs w:val="20"/>
          <w:lang w:eastAsia="es-CO"/>
        </w:rPr>
        <w:t>(3)</w:t>
      </w:r>
      <w:r w:rsidR="00F46163" w:rsidRPr="0009028A">
        <w:rPr>
          <w:rFonts w:ascii="Arial" w:eastAsia="Times New Roman" w:hAnsi="Arial" w:cs="Arial"/>
          <w:color w:val="000000"/>
          <w:sz w:val="20"/>
          <w:szCs w:val="20"/>
          <w:lang w:eastAsia="es-CO"/>
        </w:rPr>
        <w:t xml:space="preserve"> La disminución corresponde principalmente a comisiones pagadas a los proveedores en el año 2018 por el Proy</w:t>
      </w:r>
      <w:r w:rsidR="003A1F03" w:rsidRPr="0009028A">
        <w:rPr>
          <w:rFonts w:ascii="Arial" w:eastAsia="Times New Roman" w:hAnsi="Arial" w:cs="Arial"/>
          <w:color w:val="000000"/>
          <w:sz w:val="20"/>
          <w:szCs w:val="20"/>
          <w:lang w:eastAsia="es-CO"/>
        </w:rPr>
        <w:t>ecto Pací</w:t>
      </w:r>
      <w:r w:rsidR="00E11A54" w:rsidRPr="0009028A">
        <w:rPr>
          <w:rFonts w:ascii="Arial" w:eastAsia="Times New Roman" w:hAnsi="Arial" w:cs="Arial"/>
          <w:color w:val="000000"/>
          <w:sz w:val="20"/>
          <w:szCs w:val="20"/>
          <w:lang w:eastAsia="es-CO"/>
        </w:rPr>
        <w:t>fico II por $1.100.668 los cuales en el 2019 se presenta</w:t>
      </w:r>
      <w:r w:rsidR="003A1F03" w:rsidRPr="0009028A">
        <w:rPr>
          <w:rFonts w:ascii="Arial" w:eastAsia="Times New Roman" w:hAnsi="Arial" w:cs="Arial"/>
          <w:color w:val="000000"/>
          <w:sz w:val="20"/>
          <w:szCs w:val="20"/>
          <w:lang w:eastAsia="es-CO"/>
        </w:rPr>
        <w:t>n</w:t>
      </w:r>
      <w:r w:rsidR="00E11A54" w:rsidRPr="0009028A">
        <w:rPr>
          <w:rFonts w:ascii="Arial" w:eastAsia="Times New Roman" w:hAnsi="Arial" w:cs="Arial"/>
          <w:color w:val="000000"/>
          <w:sz w:val="20"/>
          <w:szCs w:val="20"/>
          <w:lang w:eastAsia="es-CO"/>
        </w:rPr>
        <w:t xml:space="preserve"> en gastos financieros. </w:t>
      </w:r>
    </w:p>
    <w:p w14:paraId="03574D61" w14:textId="77777777" w:rsidR="00E70377" w:rsidRPr="0009028A" w:rsidRDefault="00E70377" w:rsidP="009F2FBB">
      <w:pPr>
        <w:spacing w:after="0" w:line="256" w:lineRule="auto"/>
        <w:jc w:val="both"/>
        <w:rPr>
          <w:rFonts w:ascii="Arial" w:eastAsia="Times New Roman" w:hAnsi="Arial" w:cs="Arial"/>
          <w:color w:val="000000"/>
          <w:sz w:val="20"/>
          <w:szCs w:val="20"/>
          <w:lang w:eastAsia="es-CO"/>
        </w:rPr>
      </w:pPr>
    </w:p>
    <w:p w14:paraId="4740223C" w14:textId="77777777" w:rsidR="00E70377" w:rsidRPr="0009028A" w:rsidRDefault="00E70377" w:rsidP="009F2FBB">
      <w:pPr>
        <w:spacing w:after="0" w:line="256" w:lineRule="auto"/>
        <w:jc w:val="both"/>
        <w:rPr>
          <w:rFonts w:ascii="Arial" w:eastAsia="Times New Roman" w:hAnsi="Arial" w:cs="Arial"/>
          <w:color w:val="000000"/>
          <w:sz w:val="20"/>
          <w:szCs w:val="20"/>
          <w:lang w:eastAsia="es-CO"/>
        </w:rPr>
      </w:pPr>
      <w:r w:rsidRPr="0009028A">
        <w:rPr>
          <w:rFonts w:ascii="Arial" w:eastAsia="Times New Roman" w:hAnsi="Arial" w:cs="Arial"/>
          <w:color w:val="000000"/>
          <w:sz w:val="20"/>
          <w:szCs w:val="20"/>
          <w:lang w:eastAsia="es-CO"/>
        </w:rPr>
        <w:t>(4)</w:t>
      </w:r>
      <w:r w:rsidR="00A62C74" w:rsidRPr="0009028A">
        <w:rPr>
          <w:rFonts w:ascii="Arial" w:eastAsia="Times New Roman" w:hAnsi="Arial" w:cs="Arial"/>
          <w:color w:val="000000"/>
          <w:sz w:val="20"/>
          <w:szCs w:val="20"/>
          <w:lang w:eastAsia="es-CO"/>
        </w:rPr>
        <w:t xml:space="preserve"> Para el primer trimestre de 2019, se reconoció deterioro de deudores con la concesión La Pintada S.A.S. por un valor de $91.539 (2018 $0). </w:t>
      </w:r>
    </w:p>
    <w:p w14:paraId="026E20C8" w14:textId="77777777" w:rsidR="00E70377" w:rsidRPr="0009028A" w:rsidRDefault="00E70377" w:rsidP="009F2FBB">
      <w:pPr>
        <w:spacing w:after="0" w:line="256" w:lineRule="auto"/>
        <w:jc w:val="both"/>
        <w:rPr>
          <w:rFonts w:ascii="Arial" w:eastAsia="Times New Roman" w:hAnsi="Arial" w:cs="Arial"/>
          <w:color w:val="000000"/>
          <w:sz w:val="20"/>
          <w:szCs w:val="20"/>
          <w:lang w:eastAsia="es-CO"/>
        </w:rPr>
      </w:pPr>
    </w:p>
    <w:p w14:paraId="55EC48FC" w14:textId="77777777" w:rsidR="00E70377" w:rsidRPr="0009028A" w:rsidRDefault="00E70377" w:rsidP="009F2FBB">
      <w:pPr>
        <w:spacing w:after="0" w:line="256" w:lineRule="auto"/>
        <w:jc w:val="both"/>
        <w:rPr>
          <w:rFonts w:ascii="Arial" w:eastAsia="Times New Roman" w:hAnsi="Arial" w:cs="Arial"/>
          <w:color w:val="000000"/>
          <w:sz w:val="20"/>
          <w:szCs w:val="20"/>
          <w:lang w:eastAsia="es-CO"/>
        </w:rPr>
      </w:pPr>
      <w:r w:rsidRPr="0009028A">
        <w:rPr>
          <w:rFonts w:ascii="Arial" w:eastAsia="Times New Roman" w:hAnsi="Arial" w:cs="Arial"/>
          <w:color w:val="000000"/>
          <w:sz w:val="20"/>
          <w:szCs w:val="20"/>
          <w:lang w:eastAsia="es-CO"/>
        </w:rPr>
        <w:t>(5)</w:t>
      </w:r>
      <w:r w:rsidR="00F60CAA" w:rsidRPr="0009028A">
        <w:rPr>
          <w:rFonts w:ascii="Arial" w:eastAsia="Times New Roman" w:hAnsi="Arial" w:cs="Arial"/>
          <w:color w:val="000000"/>
          <w:sz w:val="20"/>
          <w:szCs w:val="20"/>
          <w:lang w:eastAsia="es-CO"/>
        </w:rPr>
        <w:t xml:space="preserve"> En el primer trimestre de 2018 se amortizó totalmente el proyecto campo de vuelo por valor de $617.042. </w:t>
      </w:r>
    </w:p>
    <w:p w14:paraId="78BBAE07" w14:textId="4AA30D45" w:rsidR="00A01FEB" w:rsidRDefault="00A01FEB" w:rsidP="009F2FBB">
      <w:pPr>
        <w:spacing w:after="0" w:line="256" w:lineRule="auto"/>
        <w:jc w:val="both"/>
        <w:rPr>
          <w:rFonts w:ascii="Arial" w:eastAsia="Times New Roman" w:hAnsi="Arial" w:cs="Arial"/>
          <w:color w:val="000000"/>
          <w:sz w:val="20"/>
          <w:szCs w:val="20"/>
          <w:lang w:eastAsia="es-CO"/>
        </w:rPr>
      </w:pPr>
    </w:p>
    <w:p w14:paraId="2062252B" w14:textId="129B8356" w:rsidR="008B5836" w:rsidRPr="0009028A" w:rsidRDefault="00F91521" w:rsidP="00D100F1">
      <w:pPr>
        <w:pStyle w:val="Ttulo1"/>
      </w:pPr>
      <w:bookmarkStart w:id="339" w:name="_Toc506991956"/>
      <w:bookmarkStart w:id="340" w:name="_Toc8735120"/>
      <w:bookmarkStart w:id="341" w:name="_Hlk506980925"/>
      <w:bookmarkStart w:id="342" w:name="_Hlk499131988"/>
      <w:bookmarkEnd w:id="337"/>
      <w:r w:rsidRPr="0009028A">
        <w:t xml:space="preserve">Nota </w:t>
      </w:r>
      <w:r w:rsidR="00964E83">
        <w:t>22</w:t>
      </w:r>
      <w:r w:rsidRPr="0009028A">
        <w:t xml:space="preserve">: </w:t>
      </w:r>
      <w:r w:rsidR="00623ED5" w:rsidRPr="0009028A">
        <w:t>O</w:t>
      </w:r>
      <w:r w:rsidRPr="0009028A">
        <w:t>tros ingresos (</w:t>
      </w:r>
      <w:r w:rsidR="002457E6" w:rsidRPr="0009028A">
        <w:t>egresos</w:t>
      </w:r>
      <w:r w:rsidRPr="0009028A">
        <w:t>), neto</w:t>
      </w:r>
      <w:bookmarkEnd w:id="339"/>
      <w:bookmarkEnd w:id="340"/>
    </w:p>
    <w:bookmarkEnd w:id="341"/>
    <w:p w14:paraId="462DCB64" w14:textId="77777777" w:rsidR="008B5836" w:rsidRPr="0009028A" w:rsidRDefault="002B4F3C" w:rsidP="00B5647F">
      <w:pPr>
        <w:spacing w:after="0" w:line="276" w:lineRule="auto"/>
        <w:jc w:val="both"/>
        <w:rPr>
          <w:rFonts w:ascii="Arial" w:eastAsia="Arial" w:hAnsi="Arial" w:cs="Arial"/>
          <w:spacing w:val="1"/>
          <w:sz w:val="20"/>
          <w:szCs w:val="20"/>
        </w:rPr>
      </w:pPr>
      <w:r w:rsidRPr="0009028A">
        <w:rPr>
          <w:rFonts w:ascii="Arial" w:eastAsia="Arial" w:hAnsi="Arial" w:cs="Arial"/>
          <w:spacing w:val="1"/>
          <w:sz w:val="20"/>
          <w:szCs w:val="20"/>
        </w:rPr>
        <w:t>Los otros ingresos (</w:t>
      </w:r>
      <w:r w:rsidR="00784D1C" w:rsidRPr="0009028A">
        <w:rPr>
          <w:rFonts w:ascii="Arial" w:eastAsia="Arial" w:hAnsi="Arial" w:cs="Arial"/>
          <w:spacing w:val="1"/>
          <w:sz w:val="20"/>
          <w:szCs w:val="20"/>
        </w:rPr>
        <w:t>egresos</w:t>
      </w:r>
      <w:r w:rsidR="005A2180" w:rsidRPr="0009028A">
        <w:rPr>
          <w:rFonts w:ascii="Arial" w:eastAsia="Arial" w:hAnsi="Arial" w:cs="Arial"/>
          <w:spacing w:val="1"/>
          <w:sz w:val="20"/>
          <w:szCs w:val="20"/>
        </w:rPr>
        <w:t>) a 3</w:t>
      </w:r>
      <w:r w:rsidR="00DB328C" w:rsidRPr="0009028A">
        <w:rPr>
          <w:rFonts w:ascii="Arial" w:eastAsia="Arial" w:hAnsi="Arial" w:cs="Arial"/>
          <w:spacing w:val="1"/>
          <w:sz w:val="20"/>
          <w:szCs w:val="20"/>
        </w:rPr>
        <w:t>1</w:t>
      </w:r>
      <w:r w:rsidR="008B5836" w:rsidRPr="0009028A">
        <w:rPr>
          <w:rFonts w:ascii="Arial" w:eastAsia="Arial" w:hAnsi="Arial" w:cs="Arial"/>
          <w:spacing w:val="1"/>
          <w:sz w:val="20"/>
          <w:szCs w:val="20"/>
        </w:rPr>
        <w:t xml:space="preserve"> de </w:t>
      </w:r>
      <w:r w:rsidR="00DB328C" w:rsidRPr="0009028A">
        <w:rPr>
          <w:rFonts w:ascii="Arial" w:eastAsia="Arial" w:hAnsi="Arial" w:cs="Arial"/>
          <w:spacing w:val="1"/>
          <w:sz w:val="20"/>
          <w:szCs w:val="20"/>
        </w:rPr>
        <w:t>marzo</w:t>
      </w:r>
      <w:r w:rsidR="008B5836" w:rsidRPr="0009028A">
        <w:rPr>
          <w:rFonts w:ascii="Arial" w:eastAsia="Arial" w:hAnsi="Arial" w:cs="Arial"/>
          <w:spacing w:val="1"/>
          <w:sz w:val="20"/>
          <w:szCs w:val="20"/>
        </w:rPr>
        <w:t xml:space="preserve"> comprenden:</w:t>
      </w:r>
    </w:p>
    <w:tbl>
      <w:tblPr>
        <w:tblW w:w="5000" w:type="pct"/>
        <w:jc w:val="center"/>
        <w:tblCellMar>
          <w:left w:w="70" w:type="dxa"/>
          <w:right w:w="70" w:type="dxa"/>
        </w:tblCellMar>
        <w:tblLook w:val="04A0" w:firstRow="1" w:lastRow="0" w:firstColumn="1" w:lastColumn="0" w:noHBand="0" w:noVBand="1"/>
      </w:tblPr>
      <w:tblGrid>
        <w:gridCol w:w="5298"/>
        <w:gridCol w:w="2498"/>
        <w:gridCol w:w="2125"/>
      </w:tblGrid>
      <w:tr w:rsidR="00DB328C" w:rsidRPr="0009028A" w14:paraId="56E0C7B3" w14:textId="77777777" w:rsidTr="006B497F">
        <w:trPr>
          <w:trHeight w:val="246"/>
          <w:jc w:val="center"/>
        </w:trPr>
        <w:tc>
          <w:tcPr>
            <w:tcW w:w="2670" w:type="pct"/>
            <w:shd w:val="clear" w:color="auto" w:fill="auto"/>
            <w:vAlign w:val="center"/>
          </w:tcPr>
          <w:p w14:paraId="65E09CA8" w14:textId="77777777" w:rsidR="00DB328C" w:rsidRPr="0009028A" w:rsidRDefault="00DB328C" w:rsidP="00F1550E">
            <w:pPr>
              <w:spacing w:after="0" w:line="240" w:lineRule="auto"/>
              <w:rPr>
                <w:rFonts w:ascii="Arial" w:eastAsia="Times New Roman" w:hAnsi="Arial" w:cs="Arial"/>
                <w:color w:val="000000"/>
                <w:lang w:eastAsia="es-CO"/>
              </w:rPr>
            </w:pPr>
          </w:p>
        </w:tc>
        <w:tc>
          <w:tcPr>
            <w:tcW w:w="2330" w:type="pct"/>
            <w:gridSpan w:val="2"/>
            <w:shd w:val="clear" w:color="auto" w:fill="auto"/>
            <w:vAlign w:val="center"/>
          </w:tcPr>
          <w:p w14:paraId="74E6D75C" w14:textId="77777777" w:rsidR="00DB328C" w:rsidRPr="0009028A" w:rsidRDefault="00DB328C" w:rsidP="00F1550E">
            <w:pPr>
              <w:spacing w:after="0" w:line="240" w:lineRule="auto"/>
              <w:jc w:val="center"/>
              <w:rPr>
                <w:rFonts w:ascii="Arial" w:eastAsia="Times New Roman" w:hAnsi="Arial" w:cs="Arial"/>
                <w:b/>
                <w:bCs/>
                <w:sz w:val="18"/>
                <w:szCs w:val="18"/>
                <w:lang w:eastAsia="es-CO"/>
              </w:rPr>
            </w:pPr>
          </w:p>
        </w:tc>
      </w:tr>
      <w:tr w:rsidR="006B497F" w:rsidRPr="0009028A" w14:paraId="72B2E918" w14:textId="77777777" w:rsidTr="006B497F">
        <w:trPr>
          <w:trHeight w:val="89"/>
          <w:jc w:val="center"/>
        </w:trPr>
        <w:tc>
          <w:tcPr>
            <w:tcW w:w="2670" w:type="pct"/>
            <w:shd w:val="clear" w:color="auto" w:fill="auto"/>
            <w:vAlign w:val="center"/>
            <w:hideMark/>
          </w:tcPr>
          <w:p w14:paraId="085A11CC" w14:textId="77777777" w:rsidR="006B497F" w:rsidRPr="0009028A" w:rsidRDefault="006B497F" w:rsidP="006B497F">
            <w:pPr>
              <w:spacing w:after="0" w:line="240" w:lineRule="auto"/>
              <w:rPr>
                <w:rFonts w:ascii="Arial" w:eastAsia="Times New Roman" w:hAnsi="Arial" w:cs="Arial"/>
                <w:color w:val="000000"/>
                <w:lang w:eastAsia="es-CO"/>
              </w:rPr>
            </w:pPr>
            <w:r w:rsidRPr="0009028A">
              <w:rPr>
                <w:rFonts w:ascii="Arial" w:eastAsia="Times New Roman" w:hAnsi="Arial" w:cs="Arial"/>
                <w:color w:val="000000"/>
                <w:lang w:eastAsia="es-CO"/>
              </w:rPr>
              <w:t> </w:t>
            </w:r>
          </w:p>
        </w:tc>
        <w:tc>
          <w:tcPr>
            <w:tcW w:w="1259" w:type="pct"/>
            <w:shd w:val="clear" w:color="auto" w:fill="auto"/>
            <w:vAlign w:val="center"/>
            <w:hideMark/>
          </w:tcPr>
          <w:p w14:paraId="02696494" w14:textId="77777777" w:rsidR="006B497F" w:rsidRPr="0009028A" w:rsidRDefault="006B497F" w:rsidP="006B497F">
            <w:pPr>
              <w:spacing w:after="0" w:line="240" w:lineRule="auto"/>
              <w:jc w:val="right"/>
              <w:rPr>
                <w:rFonts w:ascii="Arial" w:eastAsia="Times New Roman" w:hAnsi="Arial" w:cs="Arial"/>
                <w:b/>
                <w:bCs/>
                <w:sz w:val="18"/>
                <w:szCs w:val="18"/>
                <w:lang w:eastAsia="es-CO"/>
              </w:rPr>
            </w:pPr>
            <w:r w:rsidRPr="0009028A">
              <w:rPr>
                <w:rFonts w:ascii="Arial" w:eastAsia="Times New Roman" w:hAnsi="Arial" w:cs="Arial"/>
                <w:b/>
                <w:bCs/>
                <w:color w:val="103475"/>
                <w:sz w:val="18"/>
                <w:szCs w:val="18"/>
                <w:lang w:val="es-ES" w:eastAsia="es-ES"/>
              </w:rPr>
              <w:t>Marzo 2019</w:t>
            </w:r>
          </w:p>
        </w:tc>
        <w:tc>
          <w:tcPr>
            <w:tcW w:w="1071" w:type="pct"/>
            <w:shd w:val="clear" w:color="auto" w:fill="auto"/>
            <w:vAlign w:val="center"/>
          </w:tcPr>
          <w:p w14:paraId="20442E5A" w14:textId="77777777" w:rsidR="006B497F" w:rsidRPr="0009028A" w:rsidRDefault="00F01816" w:rsidP="006B497F">
            <w:pPr>
              <w:spacing w:after="0" w:line="240" w:lineRule="auto"/>
              <w:jc w:val="right"/>
              <w:rPr>
                <w:rFonts w:ascii="Arial" w:eastAsia="Times New Roman" w:hAnsi="Arial" w:cs="Arial"/>
                <w:b/>
                <w:bCs/>
                <w:sz w:val="18"/>
                <w:szCs w:val="18"/>
                <w:lang w:eastAsia="es-CO"/>
              </w:rPr>
            </w:pPr>
            <w:r w:rsidRPr="0009028A">
              <w:rPr>
                <w:rFonts w:ascii="Arial" w:eastAsia="Times New Roman" w:hAnsi="Arial" w:cs="Arial"/>
                <w:b/>
                <w:bCs/>
                <w:color w:val="103475"/>
                <w:sz w:val="18"/>
                <w:szCs w:val="18"/>
                <w:lang w:val="es-ES" w:eastAsia="es-ES"/>
              </w:rPr>
              <w:t>Marzo</w:t>
            </w:r>
            <w:r w:rsidR="006B497F" w:rsidRPr="0009028A">
              <w:rPr>
                <w:rFonts w:ascii="Arial" w:eastAsia="Times New Roman" w:hAnsi="Arial" w:cs="Arial"/>
                <w:b/>
                <w:bCs/>
                <w:color w:val="103475"/>
                <w:sz w:val="18"/>
                <w:szCs w:val="18"/>
                <w:lang w:val="es-ES" w:eastAsia="es-ES"/>
              </w:rPr>
              <w:t xml:space="preserve"> 2018</w:t>
            </w:r>
          </w:p>
        </w:tc>
      </w:tr>
      <w:tr w:rsidR="00DB328C" w:rsidRPr="0009028A" w14:paraId="3182EA43" w14:textId="77777777" w:rsidTr="006B497F">
        <w:trPr>
          <w:trHeight w:val="246"/>
          <w:jc w:val="center"/>
        </w:trPr>
        <w:tc>
          <w:tcPr>
            <w:tcW w:w="2670" w:type="pct"/>
            <w:shd w:val="clear" w:color="auto" w:fill="auto"/>
            <w:vAlign w:val="center"/>
          </w:tcPr>
          <w:p w14:paraId="54A5299D" w14:textId="77777777" w:rsidR="00DB328C" w:rsidRPr="0009028A" w:rsidRDefault="00DB328C" w:rsidP="00886F49">
            <w:pPr>
              <w:spacing w:after="0" w:line="276"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Ganancia por recuperación de deterioro de deudores y otras provisiones (</w:t>
            </w:r>
            <w:r w:rsidR="000E16E7" w:rsidRPr="0009028A">
              <w:rPr>
                <w:rFonts w:ascii="Arial" w:eastAsia="Times New Roman" w:hAnsi="Arial" w:cs="Arial"/>
                <w:color w:val="000000"/>
                <w:sz w:val="18"/>
                <w:szCs w:val="18"/>
                <w:lang w:eastAsia="es-CO"/>
              </w:rPr>
              <w:t>1</w:t>
            </w:r>
            <w:r w:rsidRPr="0009028A">
              <w:rPr>
                <w:rFonts w:ascii="Arial" w:eastAsia="Times New Roman" w:hAnsi="Arial" w:cs="Arial"/>
                <w:color w:val="000000"/>
                <w:sz w:val="18"/>
                <w:szCs w:val="18"/>
                <w:lang w:eastAsia="es-CO"/>
              </w:rPr>
              <w:t>)</w:t>
            </w:r>
          </w:p>
        </w:tc>
        <w:tc>
          <w:tcPr>
            <w:tcW w:w="1259" w:type="pct"/>
            <w:shd w:val="clear" w:color="auto" w:fill="auto"/>
            <w:vAlign w:val="center"/>
          </w:tcPr>
          <w:p w14:paraId="5F3A5B74" w14:textId="77777777" w:rsidR="00DB328C" w:rsidRPr="0009028A" w:rsidRDefault="006B497F" w:rsidP="00886F49">
            <w:pPr>
              <w:spacing w:after="0" w:line="276"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   </w:t>
            </w:r>
            <w:r w:rsidR="00A114A2" w:rsidRPr="0009028A">
              <w:rPr>
                <w:rFonts w:ascii="Arial" w:eastAsia="Times New Roman" w:hAnsi="Arial" w:cs="Arial"/>
                <w:color w:val="000000"/>
                <w:sz w:val="18"/>
                <w:szCs w:val="18"/>
                <w:lang w:eastAsia="es-CO"/>
              </w:rPr>
              <w:t>2.060.115</w:t>
            </w:r>
          </w:p>
        </w:tc>
        <w:tc>
          <w:tcPr>
            <w:tcW w:w="1071" w:type="pct"/>
            <w:shd w:val="clear" w:color="auto" w:fill="auto"/>
            <w:vAlign w:val="center"/>
          </w:tcPr>
          <w:p w14:paraId="5CD34ECD" w14:textId="77777777" w:rsidR="00DB328C" w:rsidRPr="0009028A" w:rsidRDefault="00A114A2" w:rsidP="00886F49">
            <w:pPr>
              <w:spacing w:after="0" w:line="240" w:lineRule="auto"/>
              <w:jc w:val="right"/>
              <w:rPr>
                <w:rFonts w:ascii="Arial" w:hAnsi="Arial" w:cs="Arial"/>
                <w:color w:val="000000"/>
                <w:sz w:val="18"/>
                <w:szCs w:val="18"/>
              </w:rPr>
            </w:pPr>
            <w:r w:rsidRPr="0009028A">
              <w:rPr>
                <w:rFonts w:ascii="Arial" w:hAnsi="Arial" w:cs="Arial"/>
                <w:color w:val="000000"/>
                <w:sz w:val="18"/>
                <w:szCs w:val="18"/>
              </w:rPr>
              <w:t>5.388</w:t>
            </w:r>
          </w:p>
        </w:tc>
      </w:tr>
      <w:tr w:rsidR="00DB328C" w:rsidRPr="0009028A" w14:paraId="160207C2" w14:textId="77777777" w:rsidTr="006B497F">
        <w:trPr>
          <w:trHeight w:val="246"/>
          <w:jc w:val="center"/>
        </w:trPr>
        <w:tc>
          <w:tcPr>
            <w:tcW w:w="2670" w:type="pct"/>
            <w:shd w:val="clear" w:color="auto" w:fill="auto"/>
            <w:vAlign w:val="center"/>
          </w:tcPr>
          <w:p w14:paraId="0661D360" w14:textId="77777777" w:rsidR="00DB328C" w:rsidRPr="0009028A" w:rsidRDefault="00DB328C" w:rsidP="00886F49">
            <w:pPr>
              <w:spacing w:after="0" w:line="276"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Otras ganancias</w:t>
            </w:r>
            <w:r w:rsidR="000E16E7" w:rsidRPr="0009028A">
              <w:rPr>
                <w:rFonts w:ascii="Arial" w:eastAsia="Times New Roman" w:hAnsi="Arial" w:cs="Arial"/>
                <w:color w:val="000000"/>
                <w:sz w:val="18"/>
                <w:szCs w:val="18"/>
                <w:lang w:eastAsia="es-CO"/>
              </w:rPr>
              <w:t xml:space="preserve"> (2)</w:t>
            </w:r>
          </w:p>
        </w:tc>
        <w:tc>
          <w:tcPr>
            <w:tcW w:w="1259" w:type="pct"/>
            <w:shd w:val="clear" w:color="auto" w:fill="auto"/>
            <w:vAlign w:val="center"/>
          </w:tcPr>
          <w:p w14:paraId="71F6C4D7" w14:textId="77777777" w:rsidR="00DB328C" w:rsidRPr="0009028A" w:rsidRDefault="006B497F" w:rsidP="00886F49">
            <w:pPr>
              <w:spacing w:after="0" w:line="276"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 xml:space="preserve">     </w:t>
            </w:r>
            <w:r w:rsidR="00A114A2" w:rsidRPr="0009028A">
              <w:rPr>
                <w:rFonts w:ascii="Arial" w:eastAsia="Times New Roman" w:hAnsi="Arial" w:cs="Arial"/>
                <w:color w:val="000000"/>
                <w:sz w:val="18"/>
                <w:szCs w:val="18"/>
                <w:u w:val="single"/>
                <w:lang w:eastAsia="es-CO"/>
              </w:rPr>
              <w:t>560.849</w:t>
            </w:r>
          </w:p>
        </w:tc>
        <w:tc>
          <w:tcPr>
            <w:tcW w:w="1071" w:type="pct"/>
            <w:shd w:val="clear" w:color="auto" w:fill="auto"/>
            <w:vAlign w:val="center"/>
          </w:tcPr>
          <w:p w14:paraId="22EA6A70" w14:textId="77777777" w:rsidR="00DB328C" w:rsidRPr="0009028A" w:rsidRDefault="006B497F" w:rsidP="00886F49">
            <w:pPr>
              <w:spacing w:after="0" w:line="276"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 xml:space="preserve">     </w:t>
            </w:r>
            <w:r w:rsidR="00A114A2" w:rsidRPr="0009028A">
              <w:rPr>
                <w:rFonts w:ascii="Arial" w:eastAsia="Times New Roman" w:hAnsi="Arial" w:cs="Arial"/>
                <w:color w:val="000000"/>
                <w:sz w:val="18"/>
                <w:szCs w:val="18"/>
                <w:u w:val="single"/>
                <w:lang w:eastAsia="es-CO"/>
              </w:rPr>
              <w:t>1.844.109</w:t>
            </w:r>
          </w:p>
        </w:tc>
      </w:tr>
      <w:tr w:rsidR="00DB328C" w:rsidRPr="0009028A" w14:paraId="7FE36437" w14:textId="77777777" w:rsidTr="006B497F">
        <w:trPr>
          <w:trHeight w:val="246"/>
          <w:jc w:val="center"/>
        </w:trPr>
        <w:tc>
          <w:tcPr>
            <w:tcW w:w="2670" w:type="pct"/>
            <w:shd w:val="clear" w:color="auto" w:fill="auto"/>
            <w:vAlign w:val="center"/>
          </w:tcPr>
          <w:p w14:paraId="66F05260" w14:textId="77777777" w:rsidR="00DB328C" w:rsidRPr="0009028A" w:rsidRDefault="00DB328C" w:rsidP="00056424">
            <w:pPr>
              <w:spacing w:after="0" w:line="276" w:lineRule="auto"/>
              <w:rPr>
                <w:rFonts w:ascii="Arial" w:eastAsia="Times New Roman" w:hAnsi="Arial" w:cs="Arial"/>
                <w:b/>
                <w:color w:val="103475"/>
                <w:sz w:val="18"/>
                <w:szCs w:val="18"/>
                <w:lang w:eastAsia="es-CO"/>
              </w:rPr>
            </w:pPr>
            <w:r w:rsidRPr="0009028A">
              <w:rPr>
                <w:rFonts w:ascii="Arial" w:eastAsia="Times New Roman" w:hAnsi="Arial" w:cs="Arial"/>
                <w:b/>
                <w:color w:val="103475"/>
                <w:sz w:val="18"/>
                <w:szCs w:val="18"/>
                <w:lang w:eastAsia="es-CO"/>
              </w:rPr>
              <w:t>Total otros ingresos</w:t>
            </w:r>
          </w:p>
        </w:tc>
        <w:tc>
          <w:tcPr>
            <w:tcW w:w="1259" w:type="pct"/>
            <w:shd w:val="clear" w:color="auto" w:fill="auto"/>
            <w:vAlign w:val="center"/>
          </w:tcPr>
          <w:p w14:paraId="2C950FDB" w14:textId="77777777" w:rsidR="00DB328C" w:rsidRPr="0009028A" w:rsidRDefault="006B497F" w:rsidP="00056424">
            <w:pPr>
              <w:spacing w:after="0" w:line="276" w:lineRule="auto"/>
              <w:jc w:val="right"/>
              <w:rPr>
                <w:rFonts w:ascii="Arial" w:eastAsia="Times New Roman" w:hAnsi="Arial" w:cs="Arial"/>
                <w:b/>
                <w:color w:val="103475"/>
                <w:sz w:val="18"/>
                <w:szCs w:val="18"/>
                <w:u w:val="double"/>
                <w:lang w:eastAsia="es-CO"/>
              </w:rPr>
            </w:pPr>
            <w:r w:rsidRPr="0009028A">
              <w:rPr>
                <w:rFonts w:ascii="Arial" w:eastAsia="Times New Roman" w:hAnsi="Arial" w:cs="Arial"/>
                <w:b/>
                <w:color w:val="103475"/>
                <w:sz w:val="18"/>
                <w:szCs w:val="18"/>
                <w:u w:val="double"/>
                <w:lang w:eastAsia="es-CO"/>
              </w:rPr>
              <w:t xml:space="preserve">  </w:t>
            </w:r>
            <w:r w:rsidR="00DB328C" w:rsidRPr="0009028A">
              <w:rPr>
                <w:rFonts w:ascii="Arial" w:eastAsia="Times New Roman" w:hAnsi="Arial" w:cs="Arial"/>
                <w:b/>
                <w:color w:val="103475"/>
                <w:sz w:val="18"/>
                <w:szCs w:val="18"/>
                <w:u w:val="double"/>
                <w:lang w:eastAsia="es-CO"/>
              </w:rPr>
              <w:t>2.</w:t>
            </w:r>
            <w:r w:rsidR="00A114A2" w:rsidRPr="0009028A">
              <w:rPr>
                <w:rFonts w:ascii="Arial" w:eastAsia="Times New Roman" w:hAnsi="Arial" w:cs="Arial"/>
                <w:b/>
                <w:color w:val="103475"/>
                <w:sz w:val="18"/>
                <w:szCs w:val="18"/>
                <w:u w:val="double"/>
                <w:lang w:eastAsia="es-CO"/>
              </w:rPr>
              <w:t>620.964</w:t>
            </w:r>
          </w:p>
        </w:tc>
        <w:tc>
          <w:tcPr>
            <w:tcW w:w="1071" w:type="pct"/>
            <w:shd w:val="clear" w:color="auto" w:fill="auto"/>
            <w:vAlign w:val="center"/>
          </w:tcPr>
          <w:p w14:paraId="6D8E1C5F" w14:textId="77777777" w:rsidR="00DB328C" w:rsidRPr="0009028A" w:rsidRDefault="006B497F" w:rsidP="00056424">
            <w:pPr>
              <w:spacing w:after="0" w:line="276" w:lineRule="auto"/>
              <w:jc w:val="right"/>
              <w:rPr>
                <w:rFonts w:ascii="Arial" w:eastAsia="Times New Roman" w:hAnsi="Arial" w:cs="Arial"/>
                <w:b/>
                <w:color w:val="103475"/>
                <w:sz w:val="18"/>
                <w:szCs w:val="18"/>
                <w:u w:val="double"/>
                <w:lang w:eastAsia="es-CO"/>
              </w:rPr>
            </w:pPr>
            <w:r w:rsidRPr="0009028A">
              <w:rPr>
                <w:rFonts w:ascii="Arial" w:eastAsia="Times New Roman" w:hAnsi="Arial" w:cs="Arial"/>
                <w:b/>
                <w:color w:val="103475"/>
                <w:sz w:val="18"/>
                <w:szCs w:val="18"/>
                <w:u w:val="double"/>
                <w:lang w:eastAsia="es-CO"/>
              </w:rPr>
              <w:t xml:space="preserve">     </w:t>
            </w:r>
            <w:r w:rsidR="00A114A2" w:rsidRPr="0009028A">
              <w:rPr>
                <w:rFonts w:ascii="Arial" w:eastAsia="Times New Roman" w:hAnsi="Arial" w:cs="Arial"/>
                <w:b/>
                <w:color w:val="103475"/>
                <w:sz w:val="18"/>
                <w:szCs w:val="18"/>
                <w:u w:val="double"/>
                <w:lang w:eastAsia="es-CO"/>
              </w:rPr>
              <w:t>1.849.497</w:t>
            </w:r>
          </w:p>
        </w:tc>
      </w:tr>
      <w:tr w:rsidR="00DB328C" w:rsidRPr="0009028A" w14:paraId="065EAD35" w14:textId="77777777" w:rsidTr="006B497F">
        <w:trPr>
          <w:trHeight w:val="246"/>
          <w:jc w:val="center"/>
        </w:trPr>
        <w:tc>
          <w:tcPr>
            <w:tcW w:w="2670" w:type="pct"/>
            <w:shd w:val="clear" w:color="auto" w:fill="auto"/>
            <w:vAlign w:val="center"/>
          </w:tcPr>
          <w:p w14:paraId="51888DFC" w14:textId="77777777" w:rsidR="00DB328C" w:rsidRPr="0009028A" w:rsidRDefault="00DB328C" w:rsidP="00B40240">
            <w:pPr>
              <w:spacing w:after="0" w:line="276"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Pérdida neta que surge de retiro de otros activos</w:t>
            </w:r>
          </w:p>
        </w:tc>
        <w:tc>
          <w:tcPr>
            <w:tcW w:w="1259" w:type="pct"/>
            <w:shd w:val="clear" w:color="auto" w:fill="auto"/>
            <w:vAlign w:val="center"/>
          </w:tcPr>
          <w:p w14:paraId="7EBBEE0F" w14:textId="420B358F" w:rsidR="00DB328C" w:rsidRPr="0009028A" w:rsidRDefault="00A114A2" w:rsidP="00D33764">
            <w:pPr>
              <w:spacing w:after="0" w:line="276" w:lineRule="auto"/>
              <w:jc w:val="right"/>
              <w:rPr>
                <w:rFonts w:ascii="Arial" w:hAnsi="Arial" w:cs="Arial"/>
                <w:color w:val="000000"/>
                <w:sz w:val="18"/>
                <w:szCs w:val="18"/>
              </w:rPr>
            </w:pPr>
            <w:r w:rsidRPr="0009028A">
              <w:rPr>
                <w:rFonts w:ascii="Arial" w:hAnsi="Arial" w:cs="Arial"/>
                <w:color w:val="000000"/>
                <w:sz w:val="18"/>
                <w:szCs w:val="18"/>
              </w:rPr>
              <w:t>8.933</w:t>
            </w:r>
          </w:p>
        </w:tc>
        <w:tc>
          <w:tcPr>
            <w:tcW w:w="1071" w:type="pct"/>
            <w:shd w:val="clear" w:color="auto" w:fill="auto"/>
            <w:vAlign w:val="center"/>
          </w:tcPr>
          <w:p w14:paraId="0AA8BCC6" w14:textId="77777777" w:rsidR="00DB328C" w:rsidRPr="0009028A" w:rsidRDefault="00A114A2" w:rsidP="00B40240">
            <w:pPr>
              <w:spacing w:after="0" w:line="240" w:lineRule="auto"/>
              <w:jc w:val="right"/>
              <w:rPr>
                <w:rFonts w:ascii="Arial" w:hAnsi="Arial" w:cs="Arial"/>
                <w:color w:val="000000"/>
                <w:sz w:val="18"/>
                <w:szCs w:val="18"/>
              </w:rPr>
            </w:pPr>
            <w:r w:rsidRPr="0009028A">
              <w:rPr>
                <w:rFonts w:ascii="Arial" w:hAnsi="Arial" w:cs="Arial"/>
                <w:color w:val="000000"/>
                <w:sz w:val="18"/>
                <w:szCs w:val="18"/>
              </w:rPr>
              <w:t>-</w:t>
            </w:r>
          </w:p>
        </w:tc>
      </w:tr>
      <w:tr w:rsidR="00DB328C" w:rsidRPr="0009028A" w14:paraId="6AAC2767" w14:textId="77777777" w:rsidTr="006B497F">
        <w:trPr>
          <w:trHeight w:val="246"/>
          <w:jc w:val="center"/>
        </w:trPr>
        <w:tc>
          <w:tcPr>
            <w:tcW w:w="2670" w:type="pct"/>
            <w:shd w:val="clear" w:color="auto" w:fill="auto"/>
            <w:vAlign w:val="center"/>
          </w:tcPr>
          <w:p w14:paraId="79278359" w14:textId="77777777" w:rsidR="00DB328C" w:rsidRPr="0009028A" w:rsidRDefault="00DB328C" w:rsidP="00B40240">
            <w:pPr>
              <w:spacing w:after="0" w:line="276"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Donaciones</w:t>
            </w:r>
          </w:p>
        </w:tc>
        <w:tc>
          <w:tcPr>
            <w:tcW w:w="1259" w:type="pct"/>
            <w:shd w:val="clear" w:color="auto" w:fill="auto"/>
            <w:vAlign w:val="center"/>
          </w:tcPr>
          <w:p w14:paraId="7BE6D6E7" w14:textId="43127EE6" w:rsidR="00DB328C" w:rsidRPr="0009028A" w:rsidRDefault="00A114A2" w:rsidP="00D33764">
            <w:pPr>
              <w:spacing w:after="0" w:line="276" w:lineRule="auto"/>
              <w:jc w:val="right"/>
              <w:rPr>
                <w:rFonts w:ascii="Arial" w:hAnsi="Arial" w:cs="Arial"/>
                <w:color w:val="000000"/>
                <w:sz w:val="18"/>
                <w:szCs w:val="18"/>
              </w:rPr>
            </w:pPr>
            <w:r w:rsidRPr="0009028A">
              <w:rPr>
                <w:rFonts w:ascii="Arial" w:hAnsi="Arial" w:cs="Arial"/>
                <w:color w:val="000000"/>
                <w:sz w:val="18"/>
                <w:szCs w:val="18"/>
              </w:rPr>
              <w:t>71.440</w:t>
            </w:r>
          </w:p>
        </w:tc>
        <w:tc>
          <w:tcPr>
            <w:tcW w:w="1071" w:type="pct"/>
            <w:shd w:val="clear" w:color="auto" w:fill="auto"/>
            <w:vAlign w:val="center"/>
          </w:tcPr>
          <w:p w14:paraId="61CF5992" w14:textId="2CA7ABDD" w:rsidR="00DB328C" w:rsidRPr="0009028A" w:rsidRDefault="00A114A2" w:rsidP="00D33764">
            <w:pPr>
              <w:spacing w:after="0" w:line="240" w:lineRule="auto"/>
              <w:jc w:val="right"/>
              <w:rPr>
                <w:rFonts w:ascii="Arial" w:hAnsi="Arial" w:cs="Arial"/>
                <w:color w:val="000000"/>
                <w:sz w:val="18"/>
                <w:szCs w:val="18"/>
              </w:rPr>
            </w:pPr>
            <w:r w:rsidRPr="0009028A">
              <w:rPr>
                <w:rFonts w:ascii="Arial" w:hAnsi="Arial" w:cs="Arial"/>
                <w:color w:val="000000"/>
                <w:sz w:val="18"/>
                <w:szCs w:val="18"/>
              </w:rPr>
              <w:t>120.570</w:t>
            </w:r>
          </w:p>
        </w:tc>
      </w:tr>
      <w:tr w:rsidR="00DB328C" w:rsidRPr="0009028A" w14:paraId="1718F642" w14:textId="77777777" w:rsidTr="006B497F">
        <w:trPr>
          <w:trHeight w:val="246"/>
          <w:jc w:val="center"/>
        </w:trPr>
        <w:tc>
          <w:tcPr>
            <w:tcW w:w="2670" w:type="pct"/>
            <w:shd w:val="clear" w:color="auto" w:fill="auto"/>
            <w:vAlign w:val="center"/>
          </w:tcPr>
          <w:p w14:paraId="697093CD" w14:textId="77777777" w:rsidR="00DB328C" w:rsidRPr="0009028A" w:rsidRDefault="00DB328C" w:rsidP="00B40240">
            <w:pPr>
              <w:spacing w:after="0" w:line="276"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Otras pérdidas</w:t>
            </w:r>
            <w:r w:rsidR="000E16E7" w:rsidRPr="0009028A">
              <w:rPr>
                <w:rFonts w:ascii="Arial" w:eastAsia="Times New Roman" w:hAnsi="Arial" w:cs="Arial"/>
                <w:color w:val="000000"/>
                <w:sz w:val="18"/>
                <w:szCs w:val="18"/>
                <w:lang w:eastAsia="es-CO"/>
              </w:rPr>
              <w:t xml:space="preserve"> (3)</w:t>
            </w:r>
          </w:p>
        </w:tc>
        <w:tc>
          <w:tcPr>
            <w:tcW w:w="1259" w:type="pct"/>
            <w:shd w:val="clear" w:color="auto" w:fill="auto"/>
            <w:vAlign w:val="center"/>
          </w:tcPr>
          <w:p w14:paraId="1EE30334" w14:textId="379B2721" w:rsidR="00DB328C" w:rsidRPr="0009028A" w:rsidRDefault="00A114A2" w:rsidP="00D33764">
            <w:pPr>
              <w:spacing w:after="0" w:line="276" w:lineRule="auto"/>
              <w:jc w:val="right"/>
              <w:rPr>
                <w:rFonts w:ascii="Arial" w:hAnsi="Arial" w:cs="Arial"/>
                <w:color w:val="000000"/>
                <w:sz w:val="18"/>
                <w:szCs w:val="18"/>
              </w:rPr>
            </w:pPr>
            <w:r w:rsidRPr="0009028A">
              <w:rPr>
                <w:rFonts w:ascii="Arial" w:hAnsi="Arial" w:cs="Arial"/>
                <w:color w:val="000000"/>
                <w:sz w:val="18"/>
                <w:szCs w:val="18"/>
              </w:rPr>
              <w:t>430</w:t>
            </w:r>
          </w:p>
        </w:tc>
        <w:tc>
          <w:tcPr>
            <w:tcW w:w="1071" w:type="pct"/>
            <w:shd w:val="clear" w:color="auto" w:fill="auto"/>
            <w:vAlign w:val="center"/>
          </w:tcPr>
          <w:p w14:paraId="05FEB2AB" w14:textId="3779018C" w:rsidR="00DB328C" w:rsidRPr="0009028A" w:rsidRDefault="00A114A2" w:rsidP="00D33764">
            <w:pPr>
              <w:spacing w:after="0" w:line="240" w:lineRule="auto"/>
              <w:jc w:val="right"/>
              <w:rPr>
                <w:rFonts w:ascii="Arial" w:hAnsi="Arial" w:cs="Arial"/>
                <w:color w:val="000000"/>
                <w:sz w:val="18"/>
                <w:szCs w:val="18"/>
              </w:rPr>
            </w:pPr>
            <w:r w:rsidRPr="0009028A">
              <w:rPr>
                <w:rFonts w:ascii="Arial" w:hAnsi="Arial" w:cs="Arial"/>
                <w:color w:val="000000"/>
                <w:sz w:val="18"/>
                <w:szCs w:val="18"/>
              </w:rPr>
              <w:t>5.543.963</w:t>
            </w:r>
          </w:p>
        </w:tc>
      </w:tr>
      <w:tr w:rsidR="00DB328C" w:rsidRPr="0009028A" w14:paraId="57D17572" w14:textId="77777777" w:rsidTr="006B497F">
        <w:trPr>
          <w:trHeight w:val="246"/>
          <w:jc w:val="center"/>
        </w:trPr>
        <w:tc>
          <w:tcPr>
            <w:tcW w:w="2670" w:type="pct"/>
            <w:shd w:val="clear" w:color="auto" w:fill="auto"/>
            <w:vAlign w:val="center"/>
          </w:tcPr>
          <w:p w14:paraId="33ABF4EE" w14:textId="77777777" w:rsidR="00DB328C" w:rsidRPr="0009028A" w:rsidRDefault="00DB328C" w:rsidP="00B40240">
            <w:pPr>
              <w:spacing w:after="0" w:line="276"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Impuestos</w:t>
            </w:r>
          </w:p>
        </w:tc>
        <w:tc>
          <w:tcPr>
            <w:tcW w:w="1259" w:type="pct"/>
            <w:shd w:val="clear" w:color="auto" w:fill="auto"/>
            <w:vAlign w:val="center"/>
          </w:tcPr>
          <w:p w14:paraId="66E015B7" w14:textId="218BC58E" w:rsidR="00DB328C" w:rsidRPr="00D33764" w:rsidRDefault="00D33764" w:rsidP="00D33764">
            <w:pPr>
              <w:spacing w:after="0" w:line="276" w:lineRule="auto"/>
              <w:jc w:val="right"/>
              <w:rPr>
                <w:rFonts w:ascii="Arial" w:hAnsi="Arial" w:cs="Arial"/>
                <w:color w:val="000000"/>
                <w:sz w:val="18"/>
                <w:szCs w:val="18"/>
                <w:u w:val="single"/>
              </w:rPr>
            </w:pPr>
            <w:r>
              <w:rPr>
                <w:rFonts w:ascii="Arial" w:hAnsi="Arial" w:cs="Arial"/>
                <w:color w:val="000000"/>
                <w:sz w:val="18"/>
                <w:szCs w:val="18"/>
                <w:u w:val="single"/>
              </w:rPr>
              <w:t xml:space="preserve">      </w:t>
            </w:r>
            <w:r w:rsidR="00A114A2" w:rsidRPr="00D33764">
              <w:rPr>
                <w:rFonts w:ascii="Arial" w:hAnsi="Arial" w:cs="Arial"/>
                <w:color w:val="000000"/>
                <w:sz w:val="18"/>
                <w:szCs w:val="18"/>
                <w:u w:val="single"/>
              </w:rPr>
              <w:t>263.991</w:t>
            </w:r>
          </w:p>
        </w:tc>
        <w:tc>
          <w:tcPr>
            <w:tcW w:w="1071" w:type="pct"/>
            <w:shd w:val="clear" w:color="auto" w:fill="auto"/>
            <w:vAlign w:val="center"/>
          </w:tcPr>
          <w:p w14:paraId="3DAE03B8" w14:textId="0A269894" w:rsidR="00DB328C" w:rsidRPr="00D33764" w:rsidRDefault="00D33764" w:rsidP="00D33764">
            <w:pPr>
              <w:spacing w:after="0" w:line="240" w:lineRule="auto"/>
              <w:jc w:val="right"/>
              <w:rPr>
                <w:rFonts w:ascii="Arial" w:hAnsi="Arial" w:cs="Arial"/>
                <w:color w:val="000000"/>
                <w:sz w:val="18"/>
                <w:szCs w:val="18"/>
                <w:u w:val="single"/>
              </w:rPr>
            </w:pPr>
            <w:r>
              <w:rPr>
                <w:rFonts w:ascii="Arial" w:hAnsi="Arial" w:cs="Arial"/>
                <w:color w:val="000000"/>
                <w:sz w:val="18"/>
                <w:szCs w:val="18"/>
                <w:u w:val="single"/>
              </w:rPr>
              <w:t xml:space="preserve">        </w:t>
            </w:r>
            <w:r w:rsidR="00A114A2" w:rsidRPr="00D33764">
              <w:rPr>
                <w:rFonts w:ascii="Arial" w:hAnsi="Arial" w:cs="Arial"/>
                <w:color w:val="000000"/>
                <w:sz w:val="18"/>
                <w:szCs w:val="18"/>
                <w:u w:val="single"/>
              </w:rPr>
              <w:t>398.257</w:t>
            </w:r>
          </w:p>
        </w:tc>
      </w:tr>
      <w:tr w:rsidR="00DB328C" w:rsidRPr="0009028A" w14:paraId="685C6175" w14:textId="77777777" w:rsidTr="006B497F">
        <w:trPr>
          <w:trHeight w:val="246"/>
          <w:jc w:val="center"/>
        </w:trPr>
        <w:tc>
          <w:tcPr>
            <w:tcW w:w="2670" w:type="pct"/>
            <w:shd w:val="clear" w:color="auto" w:fill="auto"/>
            <w:vAlign w:val="center"/>
          </w:tcPr>
          <w:p w14:paraId="19937AD2" w14:textId="77777777" w:rsidR="00DB328C" w:rsidRPr="0009028A" w:rsidRDefault="00DB328C" w:rsidP="00056424">
            <w:pPr>
              <w:spacing w:after="0" w:line="276" w:lineRule="auto"/>
              <w:rPr>
                <w:rFonts w:ascii="Arial" w:eastAsia="Times New Roman" w:hAnsi="Arial" w:cs="Arial"/>
                <w:b/>
                <w:color w:val="103475"/>
                <w:sz w:val="18"/>
                <w:szCs w:val="18"/>
                <w:lang w:eastAsia="es-CO"/>
              </w:rPr>
            </w:pPr>
            <w:r w:rsidRPr="0009028A">
              <w:rPr>
                <w:rFonts w:ascii="Arial" w:eastAsia="Times New Roman" w:hAnsi="Arial" w:cs="Arial"/>
                <w:b/>
                <w:color w:val="103475"/>
                <w:sz w:val="18"/>
                <w:szCs w:val="18"/>
                <w:lang w:eastAsia="es-CO"/>
              </w:rPr>
              <w:t>Total otros egresos</w:t>
            </w:r>
          </w:p>
        </w:tc>
        <w:tc>
          <w:tcPr>
            <w:tcW w:w="1259" w:type="pct"/>
            <w:shd w:val="clear" w:color="auto" w:fill="auto"/>
            <w:vAlign w:val="center"/>
          </w:tcPr>
          <w:p w14:paraId="49DB8D0D" w14:textId="77777777" w:rsidR="00DB328C" w:rsidRPr="0009028A" w:rsidRDefault="006B497F" w:rsidP="00056424">
            <w:pPr>
              <w:spacing w:after="0" w:line="276" w:lineRule="auto"/>
              <w:jc w:val="right"/>
              <w:rPr>
                <w:rFonts w:ascii="Arial" w:eastAsia="Times New Roman" w:hAnsi="Arial" w:cs="Arial"/>
                <w:b/>
                <w:color w:val="103475"/>
                <w:sz w:val="18"/>
                <w:szCs w:val="18"/>
                <w:u w:val="double"/>
                <w:lang w:eastAsia="es-CO"/>
              </w:rPr>
            </w:pPr>
            <w:r w:rsidRPr="0009028A">
              <w:rPr>
                <w:rFonts w:ascii="Arial" w:eastAsia="Times New Roman" w:hAnsi="Arial" w:cs="Arial"/>
                <w:b/>
                <w:color w:val="103475"/>
                <w:sz w:val="18"/>
                <w:szCs w:val="18"/>
                <w:lang w:eastAsia="es-CO"/>
              </w:rPr>
              <w:t>$</w:t>
            </w:r>
            <w:r w:rsidRPr="0009028A">
              <w:rPr>
                <w:rFonts w:ascii="Arial" w:eastAsia="Times New Roman" w:hAnsi="Arial" w:cs="Arial"/>
                <w:b/>
                <w:color w:val="103475"/>
                <w:sz w:val="18"/>
                <w:szCs w:val="18"/>
                <w:u w:val="double"/>
                <w:lang w:eastAsia="es-CO"/>
              </w:rPr>
              <w:t xml:space="preserve">    </w:t>
            </w:r>
            <w:r w:rsidR="00DB328C" w:rsidRPr="0009028A">
              <w:rPr>
                <w:rFonts w:ascii="Arial" w:eastAsia="Times New Roman" w:hAnsi="Arial" w:cs="Arial"/>
                <w:b/>
                <w:color w:val="103475"/>
                <w:sz w:val="18"/>
                <w:szCs w:val="18"/>
                <w:u w:val="double"/>
                <w:lang w:eastAsia="es-CO"/>
              </w:rPr>
              <w:t>(</w:t>
            </w:r>
            <w:r w:rsidR="00A114A2" w:rsidRPr="0009028A">
              <w:rPr>
                <w:rFonts w:ascii="Arial" w:eastAsia="Times New Roman" w:hAnsi="Arial" w:cs="Arial"/>
                <w:b/>
                <w:color w:val="103475"/>
                <w:sz w:val="18"/>
                <w:szCs w:val="18"/>
                <w:u w:val="double"/>
                <w:lang w:eastAsia="es-CO"/>
              </w:rPr>
              <w:t>344.794</w:t>
            </w:r>
            <w:r w:rsidR="00DB328C" w:rsidRPr="0009028A">
              <w:rPr>
                <w:rFonts w:ascii="Arial" w:eastAsia="Times New Roman" w:hAnsi="Arial" w:cs="Arial"/>
                <w:b/>
                <w:color w:val="103475"/>
                <w:sz w:val="18"/>
                <w:szCs w:val="18"/>
                <w:u w:val="double"/>
                <w:lang w:eastAsia="es-CO"/>
              </w:rPr>
              <w:t>)</w:t>
            </w:r>
          </w:p>
        </w:tc>
        <w:tc>
          <w:tcPr>
            <w:tcW w:w="1071" w:type="pct"/>
            <w:shd w:val="clear" w:color="auto" w:fill="auto"/>
            <w:vAlign w:val="center"/>
          </w:tcPr>
          <w:p w14:paraId="06BEFF7F" w14:textId="77777777" w:rsidR="00DB328C" w:rsidRPr="0009028A" w:rsidRDefault="006B497F" w:rsidP="00056424">
            <w:pPr>
              <w:spacing w:after="0" w:line="276" w:lineRule="auto"/>
              <w:jc w:val="right"/>
              <w:rPr>
                <w:rFonts w:ascii="Arial" w:eastAsia="Times New Roman" w:hAnsi="Arial" w:cs="Arial"/>
                <w:b/>
                <w:color w:val="103475"/>
                <w:sz w:val="18"/>
                <w:szCs w:val="18"/>
                <w:u w:val="double"/>
                <w:lang w:eastAsia="es-CO"/>
              </w:rPr>
            </w:pPr>
            <w:r w:rsidRPr="0009028A">
              <w:rPr>
                <w:rFonts w:ascii="Arial" w:eastAsia="Times New Roman" w:hAnsi="Arial" w:cs="Arial"/>
                <w:b/>
                <w:color w:val="103475"/>
                <w:sz w:val="18"/>
                <w:szCs w:val="18"/>
                <w:u w:val="double"/>
                <w:lang w:eastAsia="es-CO"/>
              </w:rPr>
              <w:t xml:space="preserve">   </w:t>
            </w:r>
            <w:r w:rsidR="00DB328C" w:rsidRPr="0009028A">
              <w:rPr>
                <w:rFonts w:ascii="Arial" w:eastAsia="Times New Roman" w:hAnsi="Arial" w:cs="Arial"/>
                <w:b/>
                <w:color w:val="103475"/>
                <w:sz w:val="18"/>
                <w:szCs w:val="18"/>
                <w:u w:val="double"/>
                <w:lang w:eastAsia="es-CO"/>
              </w:rPr>
              <w:t>(</w:t>
            </w:r>
            <w:r w:rsidR="00A114A2" w:rsidRPr="0009028A">
              <w:rPr>
                <w:rFonts w:ascii="Arial" w:eastAsia="Times New Roman" w:hAnsi="Arial" w:cs="Arial"/>
                <w:b/>
                <w:color w:val="103475"/>
                <w:sz w:val="18"/>
                <w:szCs w:val="18"/>
                <w:u w:val="double"/>
                <w:lang w:eastAsia="es-CO"/>
              </w:rPr>
              <w:t>6.062.790</w:t>
            </w:r>
            <w:r w:rsidR="00DB328C" w:rsidRPr="0009028A">
              <w:rPr>
                <w:rFonts w:ascii="Arial" w:eastAsia="Times New Roman" w:hAnsi="Arial" w:cs="Arial"/>
                <w:b/>
                <w:color w:val="103475"/>
                <w:sz w:val="18"/>
                <w:szCs w:val="18"/>
                <w:u w:val="double"/>
                <w:lang w:eastAsia="es-CO"/>
              </w:rPr>
              <w:t>)</w:t>
            </w:r>
          </w:p>
        </w:tc>
      </w:tr>
      <w:tr w:rsidR="00DB328C" w:rsidRPr="0009028A" w14:paraId="53CEB00B" w14:textId="77777777" w:rsidTr="006B497F">
        <w:trPr>
          <w:trHeight w:val="246"/>
          <w:jc w:val="center"/>
        </w:trPr>
        <w:tc>
          <w:tcPr>
            <w:tcW w:w="2670" w:type="pct"/>
            <w:shd w:val="clear" w:color="auto" w:fill="auto"/>
            <w:vAlign w:val="center"/>
            <w:hideMark/>
          </w:tcPr>
          <w:p w14:paraId="3B13B9CB" w14:textId="77777777" w:rsidR="00DB328C" w:rsidRPr="0009028A" w:rsidRDefault="00DB328C" w:rsidP="00056424">
            <w:pPr>
              <w:spacing w:after="0" w:line="240" w:lineRule="auto"/>
              <w:rPr>
                <w:rFonts w:ascii="Arial" w:eastAsia="Times New Roman" w:hAnsi="Arial" w:cs="Arial"/>
                <w:b/>
                <w:bCs/>
                <w:color w:val="103475"/>
                <w:sz w:val="18"/>
                <w:szCs w:val="18"/>
                <w:lang w:val="es-ES" w:eastAsia="es-ES"/>
              </w:rPr>
            </w:pPr>
            <w:r w:rsidRPr="0009028A">
              <w:rPr>
                <w:rFonts w:ascii="Arial" w:eastAsia="Times New Roman" w:hAnsi="Arial" w:cs="Arial"/>
                <w:b/>
                <w:bCs/>
                <w:color w:val="103475"/>
                <w:sz w:val="18"/>
                <w:szCs w:val="18"/>
                <w:lang w:eastAsia="es-CO"/>
              </w:rPr>
              <w:t>Total otros ingresos y (egresos), netos</w:t>
            </w:r>
          </w:p>
        </w:tc>
        <w:tc>
          <w:tcPr>
            <w:tcW w:w="1259" w:type="pct"/>
            <w:shd w:val="clear" w:color="auto" w:fill="auto"/>
            <w:vAlign w:val="center"/>
            <w:hideMark/>
          </w:tcPr>
          <w:p w14:paraId="7ECB76FC" w14:textId="77777777" w:rsidR="00DB328C" w:rsidRPr="0009028A" w:rsidRDefault="006B497F" w:rsidP="00056424">
            <w:pPr>
              <w:spacing w:after="0" w:line="240" w:lineRule="auto"/>
              <w:jc w:val="right"/>
              <w:rPr>
                <w:rFonts w:ascii="Arial" w:hAnsi="Arial" w:cs="Arial"/>
                <w:b/>
                <w:bCs/>
                <w:color w:val="103475"/>
                <w:sz w:val="18"/>
                <w:szCs w:val="18"/>
                <w:u w:val="double"/>
              </w:rPr>
            </w:pPr>
            <w:r w:rsidRPr="0009028A">
              <w:rPr>
                <w:rFonts w:ascii="Arial" w:hAnsi="Arial" w:cs="Arial"/>
                <w:b/>
                <w:bCs/>
                <w:color w:val="103475"/>
                <w:sz w:val="18"/>
                <w:szCs w:val="18"/>
              </w:rPr>
              <w:t>$</w:t>
            </w:r>
            <w:r w:rsidRPr="0009028A">
              <w:rPr>
                <w:rFonts w:ascii="Arial" w:hAnsi="Arial" w:cs="Arial"/>
                <w:b/>
                <w:bCs/>
                <w:color w:val="103475"/>
                <w:sz w:val="18"/>
                <w:szCs w:val="18"/>
                <w:u w:val="double"/>
              </w:rPr>
              <w:t xml:space="preserve">   </w:t>
            </w:r>
            <w:r w:rsidR="00A114A2" w:rsidRPr="0009028A">
              <w:rPr>
                <w:rFonts w:ascii="Arial" w:hAnsi="Arial" w:cs="Arial"/>
                <w:b/>
                <w:bCs/>
                <w:color w:val="103475"/>
                <w:sz w:val="18"/>
                <w:szCs w:val="18"/>
                <w:u w:val="double"/>
              </w:rPr>
              <w:t>2.276.170</w:t>
            </w:r>
          </w:p>
        </w:tc>
        <w:tc>
          <w:tcPr>
            <w:tcW w:w="1071" w:type="pct"/>
            <w:shd w:val="clear" w:color="auto" w:fill="auto"/>
            <w:vAlign w:val="center"/>
          </w:tcPr>
          <w:p w14:paraId="5EA0A45F" w14:textId="77777777" w:rsidR="00DB328C" w:rsidRPr="0009028A" w:rsidRDefault="006B497F" w:rsidP="00056424">
            <w:pPr>
              <w:spacing w:after="0" w:line="240" w:lineRule="auto"/>
              <w:jc w:val="right"/>
              <w:rPr>
                <w:rFonts w:ascii="Arial" w:hAnsi="Arial" w:cs="Arial"/>
                <w:b/>
                <w:bCs/>
                <w:color w:val="103475"/>
                <w:sz w:val="18"/>
                <w:szCs w:val="18"/>
                <w:u w:val="double"/>
              </w:rPr>
            </w:pPr>
            <w:r w:rsidRPr="0009028A">
              <w:rPr>
                <w:rFonts w:ascii="Arial" w:hAnsi="Arial" w:cs="Arial"/>
                <w:b/>
                <w:bCs/>
                <w:color w:val="103475"/>
                <w:sz w:val="18"/>
                <w:szCs w:val="18"/>
                <w:u w:val="double"/>
              </w:rPr>
              <w:t xml:space="preserve">   </w:t>
            </w:r>
            <w:r w:rsidR="00DB328C" w:rsidRPr="0009028A">
              <w:rPr>
                <w:rFonts w:ascii="Arial" w:hAnsi="Arial" w:cs="Arial"/>
                <w:b/>
                <w:bCs/>
                <w:color w:val="103475"/>
                <w:sz w:val="18"/>
                <w:szCs w:val="18"/>
                <w:u w:val="double"/>
              </w:rPr>
              <w:t>(</w:t>
            </w:r>
            <w:r w:rsidR="00A114A2" w:rsidRPr="0009028A">
              <w:rPr>
                <w:rFonts w:ascii="Arial" w:hAnsi="Arial" w:cs="Arial"/>
                <w:b/>
                <w:bCs/>
                <w:color w:val="103475"/>
                <w:sz w:val="18"/>
                <w:szCs w:val="18"/>
                <w:u w:val="double"/>
              </w:rPr>
              <w:t>4.213.293</w:t>
            </w:r>
            <w:r w:rsidR="00DB328C" w:rsidRPr="0009028A">
              <w:rPr>
                <w:rFonts w:ascii="Arial" w:hAnsi="Arial" w:cs="Arial"/>
                <w:b/>
                <w:bCs/>
                <w:color w:val="103475"/>
                <w:sz w:val="18"/>
                <w:szCs w:val="18"/>
                <w:u w:val="double"/>
              </w:rPr>
              <w:t>)</w:t>
            </w:r>
          </w:p>
        </w:tc>
      </w:tr>
    </w:tbl>
    <w:p w14:paraId="3B44868A" w14:textId="77777777" w:rsidR="00160F79" w:rsidRPr="0009028A" w:rsidRDefault="00F725F8" w:rsidP="00F725F8">
      <w:pPr>
        <w:tabs>
          <w:tab w:val="left" w:pos="6221"/>
        </w:tabs>
        <w:rPr>
          <w:rFonts w:ascii="Arial" w:hAnsi="Arial" w:cs="Arial"/>
          <w:sz w:val="20"/>
          <w:szCs w:val="20"/>
        </w:rPr>
      </w:pPr>
      <w:r w:rsidRPr="0009028A">
        <w:rPr>
          <w:rFonts w:ascii="Arial" w:hAnsi="Arial" w:cs="Arial"/>
          <w:sz w:val="20"/>
          <w:szCs w:val="20"/>
        </w:rPr>
        <w:tab/>
      </w:r>
    </w:p>
    <w:p w14:paraId="4EEA2F3A" w14:textId="77777777" w:rsidR="00702225" w:rsidRPr="0009028A" w:rsidRDefault="00C025F3" w:rsidP="00C025F3">
      <w:pPr>
        <w:spacing w:after="0" w:line="276" w:lineRule="auto"/>
        <w:jc w:val="both"/>
        <w:rPr>
          <w:rFonts w:ascii="Arial" w:hAnsi="Arial" w:cs="Arial"/>
          <w:sz w:val="20"/>
          <w:szCs w:val="20"/>
        </w:rPr>
      </w:pPr>
      <w:r w:rsidRPr="0009028A">
        <w:rPr>
          <w:rFonts w:ascii="Arial" w:hAnsi="Arial" w:cs="Arial"/>
          <w:sz w:val="20"/>
          <w:szCs w:val="20"/>
        </w:rPr>
        <w:t>(1) El</w:t>
      </w:r>
      <w:r w:rsidR="00F60CAA" w:rsidRPr="0009028A">
        <w:rPr>
          <w:rFonts w:ascii="Arial" w:hAnsi="Arial" w:cs="Arial"/>
          <w:sz w:val="20"/>
          <w:szCs w:val="20"/>
        </w:rPr>
        <w:t xml:space="preserve"> valor registrado a 31 de marzo de 2019 corresponde principalmente a recuperación de deterioro con Constructora Confase III S.A. por $2.058.715.</w:t>
      </w:r>
    </w:p>
    <w:p w14:paraId="0922AEC6" w14:textId="77777777" w:rsidR="000E16E7" w:rsidRPr="0009028A" w:rsidRDefault="000E16E7" w:rsidP="000E16E7">
      <w:pPr>
        <w:spacing w:after="0" w:line="276" w:lineRule="auto"/>
        <w:jc w:val="both"/>
        <w:rPr>
          <w:rFonts w:ascii="Arial" w:hAnsi="Arial" w:cs="Arial"/>
          <w:sz w:val="20"/>
          <w:szCs w:val="20"/>
        </w:rPr>
      </w:pPr>
    </w:p>
    <w:p w14:paraId="12978839" w14:textId="77777777" w:rsidR="000E16E7" w:rsidRPr="0009028A" w:rsidRDefault="000E16E7" w:rsidP="000E16E7">
      <w:pPr>
        <w:spacing w:after="0" w:line="276" w:lineRule="auto"/>
        <w:jc w:val="both"/>
        <w:rPr>
          <w:rFonts w:ascii="Arial" w:hAnsi="Arial" w:cs="Arial"/>
          <w:sz w:val="20"/>
          <w:szCs w:val="20"/>
        </w:rPr>
      </w:pPr>
      <w:r w:rsidRPr="0009028A">
        <w:rPr>
          <w:rFonts w:ascii="Arial" w:hAnsi="Arial" w:cs="Arial"/>
          <w:sz w:val="20"/>
          <w:szCs w:val="20"/>
        </w:rPr>
        <w:t xml:space="preserve">(2) </w:t>
      </w:r>
      <w:r w:rsidR="00F725F8" w:rsidRPr="0009028A">
        <w:rPr>
          <w:rFonts w:ascii="Arial" w:hAnsi="Arial" w:cs="Arial"/>
          <w:sz w:val="20"/>
          <w:szCs w:val="20"/>
        </w:rPr>
        <w:t xml:space="preserve">En el año 2018 </w:t>
      </w:r>
      <w:r w:rsidR="00D416A8" w:rsidRPr="0009028A">
        <w:rPr>
          <w:rFonts w:ascii="Arial" w:hAnsi="Arial" w:cs="Arial"/>
          <w:sz w:val="20"/>
          <w:szCs w:val="20"/>
        </w:rPr>
        <w:t>se presentó una recuperación d</w:t>
      </w:r>
      <w:r w:rsidR="00F725F8" w:rsidRPr="0009028A">
        <w:rPr>
          <w:rFonts w:ascii="Arial" w:hAnsi="Arial" w:cs="Arial"/>
          <w:sz w:val="20"/>
          <w:szCs w:val="20"/>
        </w:rPr>
        <w:t>e la amortización de los leas</w:t>
      </w:r>
      <w:r w:rsidR="002A0D60" w:rsidRPr="0009028A">
        <w:rPr>
          <w:rFonts w:ascii="Arial" w:hAnsi="Arial" w:cs="Arial"/>
          <w:sz w:val="20"/>
          <w:szCs w:val="20"/>
        </w:rPr>
        <w:t>ing de los bancos BBVA $415.497 y</w:t>
      </w:r>
      <w:r w:rsidR="00F725F8" w:rsidRPr="0009028A">
        <w:rPr>
          <w:rFonts w:ascii="Arial" w:hAnsi="Arial" w:cs="Arial"/>
          <w:sz w:val="20"/>
          <w:szCs w:val="20"/>
        </w:rPr>
        <w:t xml:space="preserve"> Bancolombia $750.796.</w:t>
      </w:r>
    </w:p>
    <w:p w14:paraId="5A519F37" w14:textId="77777777" w:rsidR="000E16E7" w:rsidRPr="0009028A" w:rsidRDefault="000E16E7" w:rsidP="000E16E7">
      <w:pPr>
        <w:spacing w:after="0" w:line="276" w:lineRule="auto"/>
        <w:jc w:val="both"/>
        <w:rPr>
          <w:rFonts w:ascii="Arial" w:hAnsi="Arial" w:cs="Arial"/>
          <w:sz w:val="20"/>
          <w:szCs w:val="20"/>
        </w:rPr>
      </w:pPr>
    </w:p>
    <w:p w14:paraId="0855D6C7" w14:textId="77777777" w:rsidR="000E16E7" w:rsidRPr="0009028A" w:rsidRDefault="000E16E7" w:rsidP="000E16E7">
      <w:pPr>
        <w:spacing w:after="0" w:line="276" w:lineRule="auto"/>
        <w:jc w:val="both"/>
        <w:rPr>
          <w:rFonts w:ascii="Arial" w:hAnsi="Arial" w:cs="Arial"/>
          <w:sz w:val="20"/>
          <w:szCs w:val="20"/>
        </w:rPr>
      </w:pPr>
      <w:r w:rsidRPr="0009028A">
        <w:rPr>
          <w:rFonts w:ascii="Arial" w:hAnsi="Arial" w:cs="Arial"/>
          <w:sz w:val="20"/>
          <w:szCs w:val="20"/>
        </w:rPr>
        <w:t xml:space="preserve">(3) </w:t>
      </w:r>
      <w:r w:rsidR="00F725F8" w:rsidRPr="0009028A">
        <w:rPr>
          <w:rFonts w:ascii="Arial" w:hAnsi="Arial" w:cs="Arial"/>
          <w:sz w:val="20"/>
          <w:szCs w:val="20"/>
        </w:rPr>
        <w:t>En el año 2018 corresponde principalmente al</w:t>
      </w:r>
      <w:r w:rsidR="00D416A8" w:rsidRPr="0009028A">
        <w:rPr>
          <w:rFonts w:ascii="Arial" w:hAnsi="Arial" w:cs="Arial"/>
          <w:sz w:val="20"/>
          <w:szCs w:val="20"/>
        </w:rPr>
        <w:t xml:space="preserve"> reconocimiento</w:t>
      </w:r>
      <w:r w:rsidR="00F725F8" w:rsidRPr="0009028A">
        <w:rPr>
          <w:rFonts w:ascii="Arial" w:hAnsi="Arial" w:cs="Arial"/>
          <w:sz w:val="20"/>
          <w:szCs w:val="20"/>
        </w:rPr>
        <w:t xml:space="preserve"> de</w:t>
      </w:r>
      <w:r w:rsidR="00D416A8" w:rsidRPr="0009028A">
        <w:rPr>
          <w:rFonts w:ascii="Arial" w:hAnsi="Arial" w:cs="Arial"/>
          <w:sz w:val="20"/>
          <w:szCs w:val="20"/>
        </w:rPr>
        <w:t xml:space="preserve"> la participación sobre el ajuste a las</w:t>
      </w:r>
      <w:r w:rsidR="00F725F8" w:rsidRPr="0009028A">
        <w:rPr>
          <w:rFonts w:ascii="Arial" w:hAnsi="Arial" w:cs="Arial"/>
          <w:sz w:val="20"/>
          <w:szCs w:val="20"/>
        </w:rPr>
        <w:t xml:space="preserve"> utilidades de Caribbean Infraestructure Company $3.51</w:t>
      </w:r>
      <w:r w:rsidR="00D416A8" w:rsidRPr="0009028A">
        <w:rPr>
          <w:rFonts w:ascii="Arial" w:hAnsi="Arial" w:cs="Arial"/>
          <w:sz w:val="20"/>
          <w:szCs w:val="20"/>
        </w:rPr>
        <w:t>6.430 y</w:t>
      </w:r>
      <w:r w:rsidR="00F725F8" w:rsidRPr="0009028A">
        <w:rPr>
          <w:rFonts w:ascii="Arial" w:hAnsi="Arial" w:cs="Arial"/>
          <w:sz w:val="20"/>
          <w:szCs w:val="20"/>
        </w:rPr>
        <w:t xml:space="preserve"> Autopistas del Café $1.796.160.</w:t>
      </w:r>
    </w:p>
    <w:p w14:paraId="601D42F1" w14:textId="294C2F62" w:rsidR="000E16E7" w:rsidRPr="0009028A" w:rsidRDefault="000E16E7" w:rsidP="000E16E7">
      <w:pPr>
        <w:spacing w:after="0" w:line="276" w:lineRule="auto"/>
        <w:jc w:val="both"/>
        <w:rPr>
          <w:rFonts w:ascii="Arial" w:hAnsi="Arial" w:cs="Arial"/>
          <w:sz w:val="20"/>
          <w:szCs w:val="20"/>
        </w:rPr>
      </w:pPr>
    </w:p>
    <w:p w14:paraId="06C90439" w14:textId="19F3ECD4" w:rsidR="00160F79" w:rsidRPr="0088627B" w:rsidRDefault="00160F79" w:rsidP="0088627B">
      <w:pPr>
        <w:pStyle w:val="Ttulo1"/>
      </w:pPr>
      <w:bookmarkStart w:id="343" w:name="_Toc506991957"/>
      <w:bookmarkStart w:id="344" w:name="_Toc8735121"/>
      <w:r w:rsidRPr="0009028A">
        <w:t xml:space="preserve">Nota </w:t>
      </w:r>
      <w:r w:rsidR="00964E83">
        <w:t>23</w:t>
      </w:r>
      <w:r w:rsidRPr="0009028A">
        <w:t>: Ingresos (</w:t>
      </w:r>
      <w:r w:rsidR="002457E6" w:rsidRPr="0009028A">
        <w:t>egresos</w:t>
      </w:r>
      <w:r w:rsidRPr="0009028A">
        <w:t>) financieros, neto</w:t>
      </w:r>
      <w:bookmarkEnd w:id="343"/>
      <w:bookmarkEnd w:id="344"/>
    </w:p>
    <w:p w14:paraId="68B3A478" w14:textId="77777777" w:rsidR="00681BA2" w:rsidRPr="0009028A" w:rsidRDefault="00160F79" w:rsidP="008B5836">
      <w:pPr>
        <w:spacing w:before="37" w:after="0" w:line="276" w:lineRule="auto"/>
        <w:jc w:val="both"/>
        <w:rPr>
          <w:rFonts w:ascii="Arial" w:eastAsia="Arial" w:hAnsi="Arial" w:cs="Arial"/>
          <w:spacing w:val="1"/>
          <w:sz w:val="20"/>
          <w:szCs w:val="20"/>
        </w:rPr>
      </w:pPr>
      <w:r w:rsidRPr="0009028A">
        <w:rPr>
          <w:rFonts w:ascii="Arial" w:eastAsia="Arial" w:hAnsi="Arial" w:cs="Arial"/>
          <w:spacing w:val="1"/>
          <w:sz w:val="20"/>
          <w:szCs w:val="20"/>
        </w:rPr>
        <w:t>Los ingresos (</w:t>
      </w:r>
      <w:r w:rsidR="00784D1C" w:rsidRPr="0009028A">
        <w:rPr>
          <w:rFonts w:ascii="Arial" w:eastAsia="Arial" w:hAnsi="Arial" w:cs="Arial"/>
          <w:spacing w:val="1"/>
          <w:sz w:val="20"/>
          <w:szCs w:val="20"/>
        </w:rPr>
        <w:t>egresos</w:t>
      </w:r>
      <w:r w:rsidRPr="0009028A">
        <w:rPr>
          <w:rFonts w:ascii="Arial" w:eastAsia="Arial" w:hAnsi="Arial" w:cs="Arial"/>
          <w:spacing w:val="1"/>
          <w:sz w:val="20"/>
          <w:szCs w:val="20"/>
        </w:rPr>
        <w:t>) financieros, netos a 3</w:t>
      </w:r>
      <w:r w:rsidR="00DB328C" w:rsidRPr="0009028A">
        <w:rPr>
          <w:rFonts w:ascii="Arial" w:eastAsia="Arial" w:hAnsi="Arial" w:cs="Arial"/>
          <w:spacing w:val="1"/>
          <w:sz w:val="20"/>
          <w:szCs w:val="20"/>
        </w:rPr>
        <w:t>1</w:t>
      </w:r>
      <w:r w:rsidRPr="0009028A">
        <w:rPr>
          <w:rFonts w:ascii="Arial" w:eastAsia="Arial" w:hAnsi="Arial" w:cs="Arial"/>
          <w:spacing w:val="1"/>
          <w:sz w:val="20"/>
          <w:szCs w:val="20"/>
        </w:rPr>
        <w:t xml:space="preserve"> </w:t>
      </w:r>
      <w:r w:rsidR="006F21ED" w:rsidRPr="0009028A">
        <w:rPr>
          <w:rFonts w:ascii="Arial" w:eastAsia="Arial" w:hAnsi="Arial" w:cs="Arial"/>
          <w:spacing w:val="1"/>
          <w:sz w:val="20"/>
          <w:szCs w:val="20"/>
        </w:rPr>
        <w:t>de marzo</w:t>
      </w:r>
      <w:r w:rsidRPr="0009028A">
        <w:rPr>
          <w:rFonts w:ascii="Arial" w:eastAsia="Arial" w:hAnsi="Arial" w:cs="Arial"/>
          <w:spacing w:val="1"/>
          <w:sz w:val="20"/>
          <w:szCs w:val="20"/>
        </w:rPr>
        <w:t xml:space="preserve"> comprenden:</w:t>
      </w:r>
    </w:p>
    <w:tbl>
      <w:tblPr>
        <w:tblW w:w="5000" w:type="pct"/>
        <w:tblCellMar>
          <w:left w:w="70" w:type="dxa"/>
          <w:right w:w="70" w:type="dxa"/>
        </w:tblCellMar>
        <w:tblLook w:val="04A0" w:firstRow="1" w:lastRow="0" w:firstColumn="1" w:lastColumn="0" w:noHBand="0" w:noVBand="1"/>
      </w:tblPr>
      <w:tblGrid>
        <w:gridCol w:w="5246"/>
        <w:gridCol w:w="2552"/>
        <w:gridCol w:w="2123"/>
      </w:tblGrid>
      <w:tr w:rsidR="00681BA2" w:rsidRPr="0009028A" w14:paraId="701FBB8A" w14:textId="77777777" w:rsidTr="006B497F">
        <w:trPr>
          <w:trHeight w:val="244"/>
        </w:trPr>
        <w:tc>
          <w:tcPr>
            <w:tcW w:w="2644" w:type="pct"/>
            <w:shd w:val="clear" w:color="auto" w:fill="auto"/>
            <w:vAlign w:val="center"/>
            <w:hideMark/>
          </w:tcPr>
          <w:p w14:paraId="3D3374C9" w14:textId="77777777" w:rsidR="00681BA2" w:rsidRPr="0009028A" w:rsidRDefault="00681BA2" w:rsidP="00681BA2">
            <w:pPr>
              <w:spacing w:after="0" w:line="240" w:lineRule="auto"/>
              <w:rPr>
                <w:rFonts w:ascii="Arial" w:eastAsia="Times New Roman" w:hAnsi="Arial" w:cs="Arial"/>
                <w:color w:val="000000"/>
                <w:lang w:eastAsia="es-CO"/>
              </w:rPr>
            </w:pPr>
            <w:r w:rsidRPr="0009028A">
              <w:rPr>
                <w:rFonts w:ascii="Arial" w:eastAsia="Times New Roman" w:hAnsi="Arial" w:cs="Arial"/>
                <w:color w:val="000000"/>
                <w:lang w:eastAsia="es-CO"/>
              </w:rPr>
              <w:t> </w:t>
            </w:r>
          </w:p>
        </w:tc>
        <w:tc>
          <w:tcPr>
            <w:tcW w:w="2356" w:type="pct"/>
            <w:gridSpan w:val="2"/>
            <w:shd w:val="clear" w:color="auto" w:fill="auto"/>
            <w:vAlign w:val="center"/>
            <w:hideMark/>
          </w:tcPr>
          <w:p w14:paraId="7A141969" w14:textId="77777777" w:rsidR="00681BA2" w:rsidRPr="0009028A" w:rsidRDefault="00681BA2" w:rsidP="00681BA2">
            <w:pPr>
              <w:spacing w:after="0" w:line="240" w:lineRule="auto"/>
              <w:jc w:val="center"/>
              <w:rPr>
                <w:rFonts w:ascii="Arial" w:eastAsia="Times New Roman" w:hAnsi="Arial" w:cs="Arial"/>
                <w:b/>
                <w:bCs/>
                <w:color w:val="000000"/>
                <w:sz w:val="18"/>
                <w:szCs w:val="18"/>
                <w:lang w:eastAsia="es-CO"/>
              </w:rPr>
            </w:pPr>
          </w:p>
        </w:tc>
      </w:tr>
      <w:tr w:rsidR="006B497F" w:rsidRPr="0009028A" w14:paraId="0C9AA106" w14:textId="77777777" w:rsidTr="006B497F">
        <w:trPr>
          <w:trHeight w:val="244"/>
        </w:trPr>
        <w:tc>
          <w:tcPr>
            <w:tcW w:w="2644" w:type="pct"/>
            <w:shd w:val="clear" w:color="auto" w:fill="auto"/>
            <w:vAlign w:val="center"/>
            <w:hideMark/>
          </w:tcPr>
          <w:p w14:paraId="0C6A9AA4" w14:textId="77777777" w:rsidR="006B497F" w:rsidRPr="0009028A" w:rsidRDefault="006B497F" w:rsidP="006B497F">
            <w:pPr>
              <w:spacing w:after="0" w:line="240" w:lineRule="auto"/>
              <w:rPr>
                <w:rFonts w:ascii="Arial" w:eastAsia="Times New Roman" w:hAnsi="Arial" w:cs="Arial"/>
                <w:color w:val="000000"/>
                <w:lang w:eastAsia="es-CO"/>
              </w:rPr>
            </w:pPr>
            <w:r w:rsidRPr="0009028A">
              <w:rPr>
                <w:rFonts w:ascii="Arial" w:eastAsia="Times New Roman" w:hAnsi="Arial" w:cs="Arial"/>
                <w:color w:val="000000"/>
                <w:lang w:eastAsia="es-CO"/>
              </w:rPr>
              <w:t> </w:t>
            </w:r>
          </w:p>
        </w:tc>
        <w:tc>
          <w:tcPr>
            <w:tcW w:w="1286" w:type="pct"/>
            <w:shd w:val="clear" w:color="auto" w:fill="auto"/>
            <w:vAlign w:val="center"/>
            <w:hideMark/>
          </w:tcPr>
          <w:p w14:paraId="70BB42A4" w14:textId="77777777" w:rsidR="006B497F" w:rsidRPr="0009028A" w:rsidRDefault="006B497F" w:rsidP="006B497F">
            <w:pPr>
              <w:spacing w:after="0" w:line="240" w:lineRule="auto"/>
              <w:jc w:val="right"/>
              <w:rPr>
                <w:rFonts w:ascii="Arial" w:eastAsia="Times New Roman" w:hAnsi="Arial" w:cs="Arial"/>
                <w:b/>
                <w:bCs/>
                <w:color w:val="000000"/>
                <w:sz w:val="18"/>
                <w:szCs w:val="18"/>
                <w:lang w:eastAsia="es-CO"/>
              </w:rPr>
            </w:pPr>
            <w:r w:rsidRPr="0009028A">
              <w:rPr>
                <w:rFonts w:ascii="Arial" w:eastAsia="Times New Roman" w:hAnsi="Arial" w:cs="Arial"/>
                <w:b/>
                <w:bCs/>
                <w:color w:val="103475"/>
                <w:sz w:val="18"/>
                <w:szCs w:val="18"/>
                <w:lang w:val="es-ES" w:eastAsia="es-ES"/>
              </w:rPr>
              <w:t>Marzo 2019</w:t>
            </w:r>
          </w:p>
        </w:tc>
        <w:tc>
          <w:tcPr>
            <w:tcW w:w="1070" w:type="pct"/>
            <w:shd w:val="clear" w:color="auto" w:fill="auto"/>
            <w:vAlign w:val="center"/>
            <w:hideMark/>
          </w:tcPr>
          <w:p w14:paraId="5AF88F34" w14:textId="77777777" w:rsidR="006B497F" w:rsidRPr="0009028A" w:rsidRDefault="00F01816" w:rsidP="006B497F">
            <w:pPr>
              <w:spacing w:after="0" w:line="240" w:lineRule="auto"/>
              <w:jc w:val="right"/>
              <w:rPr>
                <w:rFonts w:ascii="Arial" w:eastAsia="Times New Roman" w:hAnsi="Arial" w:cs="Arial"/>
                <w:b/>
                <w:bCs/>
                <w:color w:val="000000"/>
                <w:sz w:val="18"/>
                <w:szCs w:val="18"/>
                <w:lang w:eastAsia="es-CO"/>
              </w:rPr>
            </w:pPr>
            <w:r w:rsidRPr="0009028A">
              <w:rPr>
                <w:rFonts w:ascii="Arial" w:eastAsia="Times New Roman" w:hAnsi="Arial" w:cs="Arial"/>
                <w:b/>
                <w:bCs/>
                <w:color w:val="103475"/>
                <w:sz w:val="18"/>
                <w:szCs w:val="18"/>
                <w:lang w:val="es-ES" w:eastAsia="es-ES"/>
              </w:rPr>
              <w:t>Marzo</w:t>
            </w:r>
            <w:r w:rsidR="006B497F" w:rsidRPr="0009028A">
              <w:rPr>
                <w:rFonts w:ascii="Arial" w:eastAsia="Times New Roman" w:hAnsi="Arial" w:cs="Arial"/>
                <w:b/>
                <w:bCs/>
                <w:color w:val="103475"/>
                <w:sz w:val="18"/>
                <w:szCs w:val="18"/>
                <w:lang w:val="es-ES" w:eastAsia="es-ES"/>
              </w:rPr>
              <w:t xml:space="preserve"> 2018</w:t>
            </w:r>
          </w:p>
        </w:tc>
      </w:tr>
      <w:tr w:rsidR="00681BA2" w:rsidRPr="0009028A" w14:paraId="305EBD1F" w14:textId="77777777" w:rsidTr="006B497F">
        <w:trPr>
          <w:trHeight w:val="244"/>
        </w:trPr>
        <w:tc>
          <w:tcPr>
            <w:tcW w:w="2644" w:type="pct"/>
            <w:shd w:val="clear" w:color="auto" w:fill="auto"/>
            <w:vAlign w:val="center"/>
            <w:hideMark/>
          </w:tcPr>
          <w:p w14:paraId="23202292" w14:textId="77777777" w:rsidR="00681BA2" w:rsidRPr="0009028A" w:rsidRDefault="00681BA2" w:rsidP="00681BA2">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Ganancias por valoración de derivados</w:t>
            </w:r>
            <w:r w:rsidR="000E16E7" w:rsidRPr="0009028A">
              <w:rPr>
                <w:rFonts w:ascii="Arial" w:eastAsia="Times New Roman" w:hAnsi="Arial" w:cs="Arial"/>
                <w:color w:val="000000"/>
                <w:sz w:val="18"/>
                <w:szCs w:val="18"/>
                <w:lang w:eastAsia="es-CO"/>
              </w:rPr>
              <w:t xml:space="preserve"> (1)</w:t>
            </w:r>
          </w:p>
        </w:tc>
        <w:tc>
          <w:tcPr>
            <w:tcW w:w="1286" w:type="pct"/>
            <w:shd w:val="clear" w:color="auto" w:fill="auto"/>
            <w:vAlign w:val="center"/>
            <w:hideMark/>
          </w:tcPr>
          <w:p w14:paraId="22DB0824" w14:textId="77777777" w:rsidR="00681BA2" w:rsidRPr="0009028A" w:rsidRDefault="006B497F" w:rsidP="00681BA2">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       </w:t>
            </w:r>
            <w:r w:rsidR="00681BA2" w:rsidRPr="0009028A">
              <w:rPr>
                <w:rFonts w:ascii="Arial" w:eastAsia="Times New Roman" w:hAnsi="Arial" w:cs="Arial"/>
                <w:color w:val="000000"/>
                <w:sz w:val="18"/>
                <w:szCs w:val="18"/>
                <w:lang w:eastAsia="es-CO"/>
              </w:rPr>
              <w:t>1.408.454</w:t>
            </w:r>
          </w:p>
        </w:tc>
        <w:tc>
          <w:tcPr>
            <w:tcW w:w="1070" w:type="pct"/>
            <w:shd w:val="clear" w:color="auto" w:fill="auto"/>
            <w:vAlign w:val="center"/>
            <w:hideMark/>
          </w:tcPr>
          <w:p w14:paraId="47D42365" w14:textId="77777777" w:rsidR="00681BA2" w:rsidRPr="0009028A" w:rsidRDefault="00681BA2" w:rsidP="00681BA2">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w:t>
            </w:r>
          </w:p>
        </w:tc>
      </w:tr>
      <w:tr w:rsidR="00681BA2" w:rsidRPr="0009028A" w14:paraId="7D4C47F5" w14:textId="77777777" w:rsidTr="006B497F">
        <w:trPr>
          <w:trHeight w:val="244"/>
        </w:trPr>
        <w:tc>
          <w:tcPr>
            <w:tcW w:w="2644" w:type="pct"/>
            <w:shd w:val="clear" w:color="auto" w:fill="auto"/>
            <w:vAlign w:val="center"/>
            <w:hideMark/>
          </w:tcPr>
          <w:p w14:paraId="3D8A2986" w14:textId="77777777" w:rsidR="00681BA2" w:rsidRPr="0009028A" w:rsidRDefault="00681BA2" w:rsidP="00681BA2">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Diferencia en cambio</w:t>
            </w:r>
            <w:r w:rsidR="000E16E7" w:rsidRPr="0009028A">
              <w:rPr>
                <w:rFonts w:ascii="Arial" w:eastAsia="Times New Roman" w:hAnsi="Arial" w:cs="Arial"/>
                <w:color w:val="000000"/>
                <w:sz w:val="18"/>
                <w:szCs w:val="18"/>
                <w:lang w:eastAsia="es-CO"/>
              </w:rPr>
              <w:t xml:space="preserve"> </w:t>
            </w:r>
          </w:p>
        </w:tc>
        <w:tc>
          <w:tcPr>
            <w:tcW w:w="1286" w:type="pct"/>
            <w:shd w:val="clear" w:color="auto" w:fill="auto"/>
            <w:vAlign w:val="center"/>
            <w:hideMark/>
          </w:tcPr>
          <w:p w14:paraId="7867DCA8" w14:textId="77777777" w:rsidR="00681BA2" w:rsidRPr="0009028A" w:rsidRDefault="00681BA2" w:rsidP="00681BA2">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420.989</w:t>
            </w:r>
          </w:p>
        </w:tc>
        <w:tc>
          <w:tcPr>
            <w:tcW w:w="1070" w:type="pct"/>
            <w:shd w:val="clear" w:color="auto" w:fill="auto"/>
            <w:vAlign w:val="center"/>
            <w:hideMark/>
          </w:tcPr>
          <w:p w14:paraId="43891736" w14:textId="77777777" w:rsidR="00681BA2" w:rsidRPr="0009028A" w:rsidRDefault="00681BA2" w:rsidP="00681BA2">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2.543.159</w:t>
            </w:r>
          </w:p>
        </w:tc>
      </w:tr>
      <w:tr w:rsidR="00681BA2" w:rsidRPr="0009028A" w14:paraId="2E5F06BB" w14:textId="77777777" w:rsidTr="006B497F">
        <w:trPr>
          <w:trHeight w:val="244"/>
        </w:trPr>
        <w:tc>
          <w:tcPr>
            <w:tcW w:w="2644" w:type="pct"/>
            <w:shd w:val="clear" w:color="auto" w:fill="auto"/>
            <w:vAlign w:val="center"/>
            <w:hideMark/>
          </w:tcPr>
          <w:p w14:paraId="72717DEF" w14:textId="77777777" w:rsidR="00681BA2" w:rsidRPr="0009028A" w:rsidRDefault="00681BA2" w:rsidP="00681BA2">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Intereses </w:t>
            </w:r>
            <w:r w:rsidR="000E16E7" w:rsidRPr="0009028A">
              <w:rPr>
                <w:rFonts w:ascii="Arial" w:eastAsia="Times New Roman" w:hAnsi="Arial" w:cs="Arial"/>
                <w:color w:val="000000"/>
                <w:sz w:val="18"/>
                <w:szCs w:val="18"/>
                <w:lang w:eastAsia="es-CO"/>
              </w:rPr>
              <w:t>(2)</w:t>
            </w:r>
          </w:p>
        </w:tc>
        <w:tc>
          <w:tcPr>
            <w:tcW w:w="1286" w:type="pct"/>
            <w:shd w:val="clear" w:color="auto" w:fill="auto"/>
            <w:vAlign w:val="center"/>
            <w:hideMark/>
          </w:tcPr>
          <w:p w14:paraId="06F92473" w14:textId="77777777" w:rsidR="00681BA2" w:rsidRPr="0009028A" w:rsidRDefault="00681BA2" w:rsidP="00681BA2">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77.369</w:t>
            </w:r>
          </w:p>
        </w:tc>
        <w:tc>
          <w:tcPr>
            <w:tcW w:w="1070" w:type="pct"/>
            <w:shd w:val="clear" w:color="auto" w:fill="auto"/>
            <w:vAlign w:val="center"/>
            <w:hideMark/>
          </w:tcPr>
          <w:p w14:paraId="1EF8158A" w14:textId="77777777" w:rsidR="00681BA2" w:rsidRPr="0009028A" w:rsidRDefault="00681BA2" w:rsidP="00681BA2">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653.280</w:t>
            </w:r>
          </w:p>
        </w:tc>
      </w:tr>
      <w:tr w:rsidR="00681BA2" w:rsidRPr="0009028A" w14:paraId="6400795A" w14:textId="77777777" w:rsidTr="006B497F">
        <w:trPr>
          <w:trHeight w:val="244"/>
        </w:trPr>
        <w:tc>
          <w:tcPr>
            <w:tcW w:w="2644" w:type="pct"/>
            <w:shd w:val="clear" w:color="auto" w:fill="auto"/>
            <w:vAlign w:val="center"/>
            <w:hideMark/>
          </w:tcPr>
          <w:p w14:paraId="0E92053C" w14:textId="77777777" w:rsidR="00681BA2" w:rsidRPr="0009028A" w:rsidRDefault="00681BA2" w:rsidP="00681BA2">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Ganancias por valoración de activos financieros a valor razonable</w:t>
            </w:r>
          </w:p>
        </w:tc>
        <w:tc>
          <w:tcPr>
            <w:tcW w:w="1286" w:type="pct"/>
            <w:shd w:val="clear" w:color="auto" w:fill="auto"/>
            <w:vAlign w:val="center"/>
            <w:hideMark/>
          </w:tcPr>
          <w:p w14:paraId="12DF8559" w14:textId="77777777" w:rsidR="00681BA2" w:rsidRPr="0009028A" w:rsidRDefault="006B497F" w:rsidP="00681BA2">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 xml:space="preserve">          </w:t>
            </w:r>
            <w:r w:rsidR="00681BA2" w:rsidRPr="0009028A">
              <w:rPr>
                <w:rFonts w:ascii="Arial" w:eastAsia="Times New Roman" w:hAnsi="Arial" w:cs="Arial"/>
                <w:color w:val="000000"/>
                <w:sz w:val="18"/>
                <w:szCs w:val="18"/>
                <w:u w:val="single"/>
                <w:lang w:eastAsia="es-CO"/>
              </w:rPr>
              <w:t>48.880</w:t>
            </w:r>
          </w:p>
        </w:tc>
        <w:tc>
          <w:tcPr>
            <w:tcW w:w="1070" w:type="pct"/>
            <w:shd w:val="clear" w:color="auto" w:fill="auto"/>
            <w:vAlign w:val="center"/>
            <w:hideMark/>
          </w:tcPr>
          <w:p w14:paraId="240B63CD" w14:textId="77777777" w:rsidR="00681BA2" w:rsidRPr="0009028A" w:rsidRDefault="006B497F" w:rsidP="00681BA2">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 xml:space="preserve">                     </w:t>
            </w:r>
            <w:r w:rsidR="00681BA2" w:rsidRPr="0009028A">
              <w:rPr>
                <w:rFonts w:ascii="Arial" w:eastAsia="Times New Roman" w:hAnsi="Arial" w:cs="Arial"/>
                <w:color w:val="000000"/>
                <w:sz w:val="18"/>
                <w:szCs w:val="18"/>
                <w:u w:val="single"/>
                <w:lang w:eastAsia="es-CO"/>
              </w:rPr>
              <w:t>-</w:t>
            </w:r>
          </w:p>
        </w:tc>
      </w:tr>
      <w:tr w:rsidR="00681BA2" w:rsidRPr="0009028A" w14:paraId="4A3072EA" w14:textId="77777777" w:rsidTr="006B497F">
        <w:trPr>
          <w:trHeight w:val="244"/>
        </w:trPr>
        <w:tc>
          <w:tcPr>
            <w:tcW w:w="2644" w:type="pct"/>
            <w:shd w:val="clear" w:color="auto" w:fill="auto"/>
            <w:vAlign w:val="center"/>
            <w:hideMark/>
          </w:tcPr>
          <w:p w14:paraId="013C4F49" w14:textId="77777777" w:rsidR="00681BA2" w:rsidRPr="0009028A" w:rsidRDefault="00681BA2" w:rsidP="00681BA2">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Total ingresos financieros</w:t>
            </w:r>
          </w:p>
        </w:tc>
        <w:tc>
          <w:tcPr>
            <w:tcW w:w="1286" w:type="pct"/>
            <w:shd w:val="clear" w:color="auto" w:fill="auto"/>
            <w:vAlign w:val="center"/>
            <w:hideMark/>
          </w:tcPr>
          <w:p w14:paraId="01BA51FB" w14:textId="77777777" w:rsidR="00681BA2" w:rsidRPr="0009028A" w:rsidRDefault="006B497F" w:rsidP="00681BA2">
            <w:pPr>
              <w:spacing w:after="0" w:line="240" w:lineRule="auto"/>
              <w:jc w:val="right"/>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 xml:space="preserve">$  </w:t>
            </w:r>
            <w:r w:rsidRPr="0009028A">
              <w:rPr>
                <w:rFonts w:ascii="Arial" w:eastAsia="Times New Roman" w:hAnsi="Arial" w:cs="Arial"/>
                <w:b/>
                <w:bCs/>
                <w:color w:val="103475"/>
                <w:sz w:val="18"/>
                <w:szCs w:val="18"/>
                <w:u w:val="double"/>
                <w:lang w:eastAsia="es-CO"/>
              </w:rPr>
              <w:t xml:space="preserve">     </w:t>
            </w:r>
            <w:r w:rsidR="00681BA2" w:rsidRPr="0009028A">
              <w:rPr>
                <w:rFonts w:ascii="Arial" w:eastAsia="Times New Roman" w:hAnsi="Arial" w:cs="Arial"/>
                <w:b/>
                <w:bCs/>
                <w:color w:val="103475"/>
                <w:sz w:val="18"/>
                <w:szCs w:val="18"/>
                <w:u w:val="double"/>
                <w:lang w:eastAsia="es-CO"/>
              </w:rPr>
              <w:t>1.955.692</w:t>
            </w:r>
          </w:p>
        </w:tc>
        <w:tc>
          <w:tcPr>
            <w:tcW w:w="1070" w:type="pct"/>
            <w:shd w:val="clear" w:color="auto" w:fill="auto"/>
            <w:vAlign w:val="center"/>
            <w:hideMark/>
          </w:tcPr>
          <w:p w14:paraId="63E7AEF9" w14:textId="77777777" w:rsidR="00681BA2" w:rsidRPr="0009028A" w:rsidRDefault="006B497F" w:rsidP="00681BA2">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 xml:space="preserve">      </w:t>
            </w:r>
            <w:r w:rsidR="00681BA2" w:rsidRPr="0009028A">
              <w:rPr>
                <w:rFonts w:ascii="Arial" w:eastAsia="Times New Roman" w:hAnsi="Arial" w:cs="Arial"/>
                <w:b/>
                <w:bCs/>
                <w:color w:val="103475"/>
                <w:sz w:val="18"/>
                <w:szCs w:val="18"/>
                <w:u w:val="double"/>
                <w:lang w:eastAsia="es-CO"/>
              </w:rPr>
              <w:t>3.196.439</w:t>
            </w:r>
          </w:p>
        </w:tc>
      </w:tr>
      <w:tr w:rsidR="00681BA2" w:rsidRPr="0009028A" w14:paraId="345489CB" w14:textId="77777777" w:rsidTr="006B497F">
        <w:trPr>
          <w:trHeight w:val="244"/>
        </w:trPr>
        <w:tc>
          <w:tcPr>
            <w:tcW w:w="2644" w:type="pct"/>
            <w:shd w:val="clear" w:color="auto" w:fill="auto"/>
            <w:vAlign w:val="center"/>
            <w:hideMark/>
          </w:tcPr>
          <w:p w14:paraId="3FB54E2E" w14:textId="77777777" w:rsidR="00681BA2" w:rsidRPr="0009028A" w:rsidRDefault="00681BA2" w:rsidP="00681BA2">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Intereses</w:t>
            </w:r>
            <w:r w:rsidR="008D4AB4" w:rsidRPr="0009028A">
              <w:rPr>
                <w:rFonts w:ascii="Arial" w:eastAsia="Times New Roman" w:hAnsi="Arial" w:cs="Arial"/>
                <w:color w:val="000000"/>
                <w:sz w:val="18"/>
                <w:szCs w:val="18"/>
                <w:lang w:eastAsia="es-CO"/>
              </w:rPr>
              <w:t xml:space="preserve"> (3</w:t>
            </w:r>
            <w:r w:rsidR="00C04D3C" w:rsidRPr="0009028A">
              <w:rPr>
                <w:rFonts w:ascii="Arial" w:eastAsia="Times New Roman" w:hAnsi="Arial" w:cs="Arial"/>
                <w:color w:val="000000"/>
                <w:sz w:val="18"/>
                <w:szCs w:val="18"/>
                <w:lang w:eastAsia="es-CO"/>
              </w:rPr>
              <w:t>)</w:t>
            </w:r>
          </w:p>
        </w:tc>
        <w:tc>
          <w:tcPr>
            <w:tcW w:w="1286" w:type="pct"/>
            <w:shd w:val="clear" w:color="auto" w:fill="auto"/>
            <w:vAlign w:val="center"/>
            <w:hideMark/>
          </w:tcPr>
          <w:p w14:paraId="29850604" w14:textId="6338E321" w:rsidR="00681BA2" w:rsidRPr="0009028A" w:rsidRDefault="00681BA2" w:rsidP="00D33764">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12.296.734</w:t>
            </w:r>
          </w:p>
        </w:tc>
        <w:tc>
          <w:tcPr>
            <w:tcW w:w="1070" w:type="pct"/>
            <w:shd w:val="clear" w:color="auto" w:fill="auto"/>
            <w:vAlign w:val="center"/>
            <w:hideMark/>
          </w:tcPr>
          <w:p w14:paraId="6F448FFB" w14:textId="044C3300" w:rsidR="00681BA2" w:rsidRPr="0009028A" w:rsidRDefault="00681BA2" w:rsidP="00D33764">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12.654.489</w:t>
            </w:r>
          </w:p>
        </w:tc>
      </w:tr>
      <w:tr w:rsidR="00681BA2" w:rsidRPr="0009028A" w14:paraId="21584C41" w14:textId="77777777" w:rsidTr="006B497F">
        <w:trPr>
          <w:trHeight w:val="244"/>
        </w:trPr>
        <w:tc>
          <w:tcPr>
            <w:tcW w:w="2644" w:type="pct"/>
            <w:shd w:val="clear" w:color="auto" w:fill="auto"/>
            <w:vAlign w:val="center"/>
            <w:hideMark/>
          </w:tcPr>
          <w:p w14:paraId="2A370318" w14:textId="77777777" w:rsidR="00681BA2" w:rsidRPr="0009028A" w:rsidRDefault="00681BA2" w:rsidP="00681BA2">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Otros egresos financieros</w:t>
            </w:r>
            <w:r w:rsidR="008D4AB4" w:rsidRPr="0009028A">
              <w:rPr>
                <w:rFonts w:ascii="Arial" w:eastAsia="Times New Roman" w:hAnsi="Arial" w:cs="Arial"/>
                <w:color w:val="000000"/>
                <w:sz w:val="18"/>
                <w:szCs w:val="18"/>
                <w:lang w:eastAsia="es-CO"/>
              </w:rPr>
              <w:t xml:space="preserve"> (4</w:t>
            </w:r>
            <w:r w:rsidR="000E16E7" w:rsidRPr="0009028A">
              <w:rPr>
                <w:rFonts w:ascii="Arial" w:eastAsia="Times New Roman" w:hAnsi="Arial" w:cs="Arial"/>
                <w:color w:val="000000"/>
                <w:sz w:val="18"/>
                <w:szCs w:val="18"/>
                <w:lang w:eastAsia="es-CO"/>
              </w:rPr>
              <w:t>)</w:t>
            </w:r>
          </w:p>
        </w:tc>
        <w:tc>
          <w:tcPr>
            <w:tcW w:w="1286" w:type="pct"/>
            <w:shd w:val="clear" w:color="auto" w:fill="auto"/>
            <w:vAlign w:val="center"/>
            <w:hideMark/>
          </w:tcPr>
          <w:p w14:paraId="1B7E7B19" w14:textId="00193CAA" w:rsidR="00681BA2" w:rsidRPr="0009028A" w:rsidRDefault="00681BA2" w:rsidP="00D33764">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5.122.035</w:t>
            </w:r>
          </w:p>
        </w:tc>
        <w:tc>
          <w:tcPr>
            <w:tcW w:w="1070" w:type="pct"/>
            <w:shd w:val="clear" w:color="auto" w:fill="auto"/>
            <w:vAlign w:val="center"/>
            <w:hideMark/>
          </w:tcPr>
          <w:p w14:paraId="5E453D94" w14:textId="7A4D2CFC" w:rsidR="00681BA2" w:rsidRPr="0009028A" w:rsidRDefault="00681BA2" w:rsidP="00D33764">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69.054</w:t>
            </w:r>
          </w:p>
        </w:tc>
      </w:tr>
      <w:tr w:rsidR="00681BA2" w:rsidRPr="0009028A" w14:paraId="4B98C966" w14:textId="77777777" w:rsidTr="006B497F">
        <w:trPr>
          <w:trHeight w:val="244"/>
        </w:trPr>
        <w:tc>
          <w:tcPr>
            <w:tcW w:w="2644" w:type="pct"/>
            <w:shd w:val="clear" w:color="auto" w:fill="auto"/>
            <w:vAlign w:val="center"/>
            <w:hideMark/>
          </w:tcPr>
          <w:p w14:paraId="53722C42" w14:textId="77777777" w:rsidR="00681BA2" w:rsidRPr="0009028A" w:rsidRDefault="00681BA2" w:rsidP="00681BA2">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Pérdida por valoración de derivados</w:t>
            </w:r>
            <w:r w:rsidR="000E16E7" w:rsidRPr="0009028A">
              <w:rPr>
                <w:rFonts w:ascii="Arial" w:eastAsia="Times New Roman" w:hAnsi="Arial" w:cs="Arial"/>
                <w:color w:val="000000"/>
                <w:sz w:val="18"/>
                <w:szCs w:val="18"/>
                <w:lang w:eastAsia="es-CO"/>
              </w:rPr>
              <w:t xml:space="preserve"> (1)</w:t>
            </w:r>
          </w:p>
        </w:tc>
        <w:tc>
          <w:tcPr>
            <w:tcW w:w="1286" w:type="pct"/>
            <w:shd w:val="clear" w:color="auto" w:fill="auto"/>
            <w:vAlign w:val="center"/>
            <w:hideMark/>
          </w:tcPr>
          <w:p w14:paraId="5E18C73A" w14:textId="4A42CF58" w:rsidR="00681BA2" w:rsidRPr="0009028A" w:rsidRDefault="00681BA2" w:rsidP="00D33764">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2.665.915 </w:t>
            </w:r>
          </w:p>
        </w:tc>
        <w:tc>
          <w:tcPr>
            <w:tcW w:w="1070" w:type="pct"/>
            <w:shd w:val="clear" w:color="auto" w:fill="auto"/>
            <w:vAlign w:val="center"/>
            <w:hideMark/>
          </w:tcPr>
          <w:p w14:paraId="779FE172" w14:textId="7DC3C344" w:rsidR="00681BA2" w:rsidRPr="0009028A" w:rsidRDefault="00681BA2" w:rsidP="00D33764">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 xml:space="preserve">507.581 </w:t>
            </w:r>
          </w:p>
        </w:tc>
      </w:tr>
      <w:tr w:rsidR="00681BA2" w:rsidRPr="0009028A" w14:paraId="184E594E" w14:textId="77777777" w:rsidTr="006B497F">
        <w:trPr>
          <w:trHeight w:val="244"/>
        </w:trPr>
        <w:tc>
          <w:tcPr>
            <w:tcW w:w="2644" w:type="pct"/>
            <w:shd w:val="clear" w:color="auto" w:fill="auto"/>
            <w:vAlign w:val="center"/>
            <w:hideMark/>
          </w:tcPr>
          <w:p w14:paraId="3F7338FA" w14:textId="77777777" w:rsidR="00681BA2" w:rsidRPr="0009028A" w:rsidRDefault="00681BA2" w:rsidP="00681BA2">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Pérdidas por valoración de activos financieros a valor razonable</w:t>
            </w:r>
          </w:p>
        </w:tc>
        <w:tc>
          <w:tcPr>
            <w:tcW w:w="1286" w:type="pct"/>
            <w:shd w:val="clear" w:color="auto" w:fill="auto"/>
            <w:vAlign w:val="center"/>
            <w:hideMark/>
          </w:tcPr>
          <w:p w14:paraId="425DB061" w14:textId="186E4AA0" w:rsidR="00681BA2" w:rsidRPr="0009028A" w:rsidRDefault="006B497F" w:rsidP="00D33764">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 xml:space="preserve">    </w:t>
            </w:r>
            <w:r w:rsidR="00D33764">
              <w:rPr>
                <w:rFonts w:ascii="Arial" w:eastAsia="Times New Roman" w:hAnsi="Arial" w:cs="Arial"/>
                <w:color w:val="000000"/>
                <w:sz w:val="18"/>
                <w:szCs w:val="18"/>
                <w:u w:val="single"/>
                <w:lang w:eastAsia="es-CO"/>
              </w:rPr>
              <w:t xml:space="preserve">  </w:t>
            </w:r>
            <w:r w:rsidRPr="0009028A">
              <w:rPr>
                <w:rFonts w:ascii="Arial" w:eastAsia="Times New Roman" w:hAnsi="Arial" w:cs="Arial"/>
                <w:color w:val="000000"/>
                <w:sz w:val="18"/>
                <w:szCs w:val="18"/>
                <w:u w:val="single"/>
                <w:lang w:eastAsia="es-CO"/>
              </w:rPr>
              <w:t xml:space="preserve">    </w:t>
            </w:r>
            <w:r w:rsidR="00681BA2" w:rsidRPr="0009028A">
              <w:rPr>
                <w:rFonts w:ascii="Arial" w:eastAsia="Times New Roman" w:hAnsi="Arial" w:cs="Arial"/>
                <w:color w:val="000000"/>
                <w:sz w:val="18"/>
                <w:szCs w:val="18"/>
                <w:u w:val="single"/>
                <w:lang w:eastAsia="es-CO"/>
              </w:rPr>
              <w:t xml:space="preserve">11.577 </w:t>
            </w:r>
          </w:p>
        </w:tc>
        <w:tc>
          <w:tcPr>
            <w:tcW w:w="1070" w:type="pct"/>
            <w:shd w:val="clear" w:color="auto" w:fill="auto"/>
            <w:vAlign w:val="center"/>
            <w:hideMark/>
          </w:tcPr>
          <w:p w14:paraId="1F443FC0" w14:textId="291546D7" w:rsidR="00681BA2" w:rsidRPr="0009028A" w:rsidRDefault="006B497F" w:rsidP="00D33764">
            <w:pPr>
              <w:spacing w:after="0" w:line="240" w:lineRule="auto"/>
              <w:jc w:val="right"/>
              <w:rPr>
                <w:rFonts w:ascii="Arial" w:eastAsia="Times New Roman" w:hAnsi="Arial" w:cs="Arial"/>
                <w:color w:val="000000"/>
                <w:sz w:val="18"/>
                <w:szCs w:val="18"/>
                <w:u w:val="single"/>
                <w:lang w:eastAsia="es-CO"/>
              </w:rPr>
            </w:pPr>
            <w:r w:rsidRPr="0009028A">
              <w:rPr>
                <w:rFonts w:ascii="Arial" w:eastAsia="Times New Roman" w:hAnsi="Arial" w:cs="Arial"/>
                <w:color w:val="000000"/>
                <w:sz w:val="18"/>
                <w:szCs w:val="18"/>
                <w:u w:val="single"/>
                <w:lang w:eastAsia="es-CO"/>
              </w:rPr>
              <w:t xml:space="preserve">  </w:t>
            </w:r>
            <w:r w:rsidR="00D33764">
              <w:rPr>
                <w:rFonts w:ascii="Arial" w:eastAsia="Times New Roman" w:hAnsi="Arial" w:cs="Arial"/>
                <w:color w:val="000000"/>
                <w:sz w:val="18"/>
                <w:szCs w:val="18"/>
                <w:u w:val="single"/>
                <w:lang w:eastAsia="es-CO"/>
              </w:rPr>
              <w:t xml:space="preserve">   </w:t>
            </w:r>
            <w:r w:rsidRPr="0009028A">
              <w:rPr>
                <w:rFonts w:ascii="Arial" w:eastAsia="Times New Roman" w:hAnsi="Arial" w:cs="Arial"/>
                <w:color w:val="000000"/>
                <w:sz w:val="18"/>
                <w:szCs w:val="18"/>
                <w:u w:val="single"/>
                <w:lang w:eastAsia="es-CO"/>
              </w:rPr>
              <w:t xml:space="preserve">      </w:t>
            </w:r>
            <w:r w:rsidR="00681BA2" w:rsidRPr="0009028A">
              <w:rPr>
                <w:rFonts w:ascii="Arial" w:eastAsia="Times New Roman" w:hAnsi="Arial" w:cs="Arial"/>
                <w:color w:val="000000"/>
                <w:sz w:val="18"/>
                <w:szCs w:val="18"/>
                <w:u w:val="single"/>
                <w:lang w:eastAsia="es-CO"/>
              </w:rPr>
              <w:t xml:space="preserve">54.668 </w:t>
            </w:r>
          </w:p>
        </w:tc>
      </w:tr>
      <w:tr w:rsidR="00681BA2" w:rsidRPr="0009028A" w14:paraId="112820A9" w14:textId="77777777" w:rsidTr="006B497F">
        <w:trPr>
          <w:trHeight w:val="244"/>
        </w:trPr>
        <w:tc>
          <w:tcPr>
            <w:tcW w:w="2644" w:type="pct"/>
            <w:shd w:val="clear" w:color="auto" w:fill="auto"/>
            <w:vAlign w:val="center"/>
            <w:hideMark/>
          </w:tcPr>
          <w:p w14:paraId="10C4D3CA" w14:textId="77777777" w:rsidR="00681BA2" w:rsidRPr="0009028A" w:rsidRDefault="00681BA2" w:rsidP="00681BA2">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Total egresos financieros</w:t>
            </w:r>
          </w:p>
        </w:tc>
        <w:tc>
          <w:tcPr>
            <w:tcW w:w="1286" w:type="pct"/>
            <w:shd w:val="clear" w:color="auto" w:fill="auto"/>
            <w:vAlign w:val="center"/>
            <w:hideMark/>
          </w:tcPr>
          <w:p w14:paraId="69FDA6AD" w14:textId="365606EE" w:rsidR="00681BA2" w:rsidRPr="0009028A" w:rsidRDefault="006B497F" w:rsidP="00D33764">
            <w:pPr>
              <w:spacing w:after="0" w:line="240" w:lineRule="auto"/>
              <w:jc w:val="right"/>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 xml:space="preserve">$   </w:t>
            </w:r>
            <w:r w:rsidRPr="0009028A">
              <w:rPr>
                <w:rFonts w:ascii="Arial" w:eastAsia="Times New Roman" w:hAnsi="Arial" w:cs="Arial"/>
                <w:b/>
                <w:bCs/>
                <w:color w:val="103475"/>
                <w:sz w:val="18"/>
                <w:szCs w:val="18"/>
                <w:u w:val="double"/>
                <w:lang w:eastAsia="es-CO"/>
              </w:rPr>
              <w:t xml:space="preserve"> </w:t>
            </w:r>
            <w:r w:rsidR="00D33764">
              <w:rPr>
                <w:rFonts w:ascii="Arial" w:eastAsia="Times New Roman" w:hAnsi="Arial" w:cs="Arial"/>
                <w:b/>
                <w:bCs/>
                <w:color w:val="103475"/>
                <w:sz w:val="18"/>
                <w:szCs w:val="18"/>
                <w:u w:val="double"/>
                <w:lang w:eastAsia="es-CO"/>
              </w:rPr>
              <w:t xml:space="preserve">  </w:t>
            </w:r>
            <w:r w:rsidR="00681BA2" w:rsidRPr="0009028A">
              <w:rPr>
                <w:rFonts w:ascii="Arial" w:eastAsia="Times New Roman" w:hAnsi="Arial" w:cs="Arial"/>
                <w:b/>
                <w:bCs/>
                <w:color w:val="103475"/>
                <w:sz w:val="18"/>
                <w:szCs w:val="18"/>
                <w:u w:val="double"/>
                <w:lang w:eastAsia="es-CO"/>
              </w:rPr>
              <w:t>20.096.261</w:t>
            </w:r>
            <w:r w:rsidR="00681BA2" w:rsidRPr="0009028A">
              <w:rPr>
                <w:rFonts w:ascii="Arial" w:eastAsia="Times New Roman" w:hAnsi="Arial" w:cs="Arial"/>
                <w:b/>
                <w:bCs/>
                <w:color w:val="103475"/>
                <w:sz w:val="18"/>
                <w:szCs w:val="18"/>
                <w:lang w:eastAsia="es-CO"/>
              </w:rPr>
              <w:t xml:space="preserve"> </w:t>
            </w:r>
          </w:p>
        </w:tc>
        <w:tc>
          <w:tcPr>
            <w:tcW w:w="1070" w:type="pct"/>
            <w:shd w:val="clear" w:color="auto" w:fill="auto"/>
            <w:vAlign w:val="center"/>
            <w:hideMark/>
          </w:tcPr>
          <w:p w14:paraId="42F020D3" w14:textId="46296FFC" w:rsidR="00681BA2" w:rsidRPr="0009028A" w:rsidRDefault="006B497F" w:rsidP="00D33764">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 xml:space="preserve"> </w:t>
            </w:r>
            <w:r w:rsidR="00D33764">
              <w:rPr>
                <w:rFonts w:ascii="Arial" w:eastAsia="Times New Roman" w:hAnsi="Arial" w:cs="Arial"/>
                <w:b/>
                <w:bCs/>
                <w:color w:val="103475"/>
                <w:sz w:val="18"/>
                <w:szCs w:val="18"/>
                <w:u w:val="double"/>
                <w:lang w:eastAsia="es-CO"/>
              </w:rPr>
              <w:t xml:space="preserve">   </w:t>
            </w:r>
            <w:r w:rsidR="00681BA2" w:rsidRPr="0009028A">
              <w:rPr>
                <w:rFonts w:ascii="Arial" w:eastAsia="Times New Roman" w:hAnsi="Arial" w:cs="Arial"/>
                <w:b/>
                <w:bCs/>
                <w:color w:val="103475"/>
                <w:sz w:val="18"/>
                <w:szCs w:val="18"/>
                <w:u w:val="double"/>
                <w:lang w:eastAsia="es-CO"/>
              </w:rPr>
              <w:t xml:space="preserve">13.285.792 </w:t>
            </w:r>
          </w:p>
        </w:tc>
      </w:tr>
      <w:tr w:rsidR="00681BA2" w:rsidRPr="0009028A" w14:paraId="3526B2C9" w14:textId="77777777" w:rsidTr="006B497F">
        <w:trPr>
          <w:trHeight w:val="244"/>
        </w:trPr>
        <w:tc>
          <w:tcPr>
            <w:tcW w:w="2644" w:type="pct"/>
            <w:shd w:val="clear" w:color="auto" w:fill="auto"/>
            <w:vAlign w:val="center"/>
            <w:hideMark/>
          </w:tcPr>
          <w:p w14:paraId="4B79BD59" w14:textId="77777777" w:rsidR="00681BA2" w:rsidRPr="0009028A" w:rsidRDefault="00681BA2" w:rsidP="00681BA2">
            <w:pPr>
              <w:spacing w:after="0" w:line="240" w:lineRule="auto"/>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Total ingresos (egresos), financieros netos</w:t>
            </w:r>
          </w:p>
        </w:tc>
        <w:tc>
          <w:tcPr>
            <w:tcW w:w="1286" w:type="pct"/>
            <w:shd w:val="clear" w:color="auto" w:fill="auto"/>
            <w:vAlign w:val="center"/>
            <w:hideMark/>
          </w:tcPr>
          <w:p w14:paraId="1861E3E3" w14:textId="77777777" w:rsidR="00681BA2" w:rsidRPr="0009028A" w:rsidRDefault="006B497F" w:rsidP="00681BA2">
            <w:pPr>
              <w:spacing w:after="0" w:line="240" w:lineRule="auto"/>
              <w:jc w:val="right"/>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 xml:space="preserve">$   </w:t>
            </w:r>
            <w:r w:rsidRPr="0009028A">
              <w:rPr>
                <w:rFonts w:ascii="Arial" w:eastAsia="Times New Roman" w:hAnsi="Arial" w:cs="Arial"/>
                <w:b/>
                <w:bCs/>
                <w:color w:val="103475"/>
                <w:sz w:val="18"/>
                <w:szCs w:val="18"/>
                <w:u w:val="double"/>
                <w:lang w:eastAsia="es-CO"/>
              </w:rPr>
              <w:t xml:space="preserve"> </w:t>
            </w:r>
            <w:r w:rsidR="00681BA2" w:rsidRPr="0009028A">
              <w:rPr>
                <w:rFonts w:ascii="Arial" w:eastAsia="Times New Roman" w:hAnsi="Arial" w:cs="Arial"/>
                <w:b/>
                <w:bCs/>
                <w:color w:val="103475"/>
                <w:sz w:val="18"/>
                <w:szCs w:val="18"/>
                <w:u w:val="double"/>
                <w:lang w:eastAsia="es-CO"/>
              </w:rPr>
              <w:t xml:space="preserve">(18.140.569) </w:t>
            </w:r>
          </w:p>
        </w:tc>
        <w:tc>
          <w:tcPr>
            <w:tcW w:w="1070" w:type="pct"/>
            <w:shd w:val="clear" w:color="auto" w:fill="auto"/>
            <w:vAlign w:val="center"/>
            <w:hideMark/>
          </w:tcPr>
          <w:p w14:paraId="7E704C29" w14:textId="77777777" w:rsidR="00681BA2" w:rsidRPr="0009028A" w:rsidRDefault="006B497F" w:rsidP="00681BA2">
            <w:pPr>
              <w:spacing w:after="0" w:line="240" w:lineRule="auto"/>
              <w:jc w:val="right"/>
              <w:rPr>
                <w:rFonts w:ascii="Arial" w:eastAsia="Times New Roman" w:hAnsi="Arial" w:cs="Arial"/>
                <w:b/>
                <w:bCs/>
                <w:color w:val="103475"/>
                <w:sz w:val="18"/>
                <w:szCs w:val="18"/>
                <w:u w:val="double"/>
                <w:lang w:eastAsia="es-CO"/>
              </w:rPr>
            </w:pPr>
            <w:r w:rsidRPr="0009028A">
              <w:rPr>
                <w:rFonts w:ascii="Arial" w:eastAsia="Times New Roman" w:hAnsi="Arial" w:cs="Arial"/>
                <w:b/>
                <w:bCs/>
                <w:color w:val="103475"/>
                <w:sz w:val="18"/>
                <w:szCs w:val="18"/>
                <w:u w:val="double"/>
                <w:lang w:eastAsia="es-CO"/>
              </w:rPr>
              <w:t xml:space="preserve"> </w:t>
            </w:r>
            <w:r w:rsidR="00681BA2" w:rsidRPr="0009028A">
              <w:rPr>
                <w:rFonts w:ascii="Arial" w:eastAsia="Times New Roman" w:hAnsi="Arial" w:cs="Arial"/>
                <w:b/>
                <w:bCs/>
                <w:color w:val="103475"/>
                <w:sz w:val="18"/>
                <w:szCs w:val="18"/>
                <w:u w:val="double"/>
                <w:lang w:eastAsia="es-CO"/>
              </w:rPr>
              <w:t xml:space="preserve">(10.089.353) </w:t>
            </w:r>
          </w:p>
        </w:tc>
      </w:tr>
    </w:tbl>
    <w:p w14:paraId="4A833ABA" w14:textId="77777777" w:rsidR="0009028A" w:rsidRDefault="0009028A" w:rsidP="008B5836">
      <w:pPr>
        <w:spacing w:after="0" w:line="276" w:lineRule="auto"/>
        <w:jc w:val="both"/>
        <w:rPr>
          <w:rFonts w:ascii="Arial" w:eastAsia="Arial" w:hAnsi="Arial" w:cs="Arial"/>
          <w:spacing w:val="1"/>
          <w:sz w:val="20"/>
          <w:szCs w:val="20"/>
        </w:rPr>
      </w:pPr>
    </w:p>
    <w:p w14:paraId="75EF9D62" w14:textId="13F57481" w:rsidR="000E16E7" w:rsidRPr="0009028A" w:rsidRDefault="000E16E7" w:rsidP="008B5836">
      <w:pPr>
        <w:spacing w:after="0" w:line="276" w:lineRule="auto"/>
        <w:jc w:val="both"/>
        <w:rPr>
          <w:rFonts w:ascii="Arial" w:eastAsia="Arial" w:hAnsi="Arial" w:cs="Arial"/>
          <w:spacing w:val="1"/>
          <w:sz w:val="20"/>
          <w:szCs w:val="20"/>
        </w:rPr>
      </w:pPr>
      <w:r w:rsidRPr="0009028A">
        <w:rPr>
          <w:rFonts w:ascii="Arial" w:eastAsia="Arial" w:hAnsi="Arial" w:cs="Arial"/>
          <w:spacing w:val="1"/>
          <w:sz w:val="20"/>
          <w:szCs w:val="20"/>
        </w:rPr>
        <w:t>(1)</w:t>
      </w:r>
      <w:r w:rsidR="00D80FCD" w:rsidRPr="0009028A">
        <w:rPr>
          <w:rFonts w:ascii="Arial" w:eastAsia="Arial" w:hAnsi="Arial" w:cs="Arial"/>
          <w:spacing w:val="1"/>
          <w:sz w:val="20"/>
          <w:szCs w:val="20"/>
        </w:rPr>
        <w:t xml:space="preserve"> </w:t>
      </w:r>
      <w:r w:rsidR="008D4AB4" w:rsidRPr="0009028A">
        <w:rPr>
          <w:rFonts w:ascii="Arial" w:eastAsia="Arial" w:hAnsi="Arial" w:cs="Arial"/>
          <w:spacing w:val="1"/>
          <w:sz w:val="20"/>
          <w:szCs w:val="20"/>
        </w:rPr>
        <w:t xml:space="preserve"> </w:t>
      </w:r>
      <w:r w:rsidR="00D80FCD" w:rsidRPr="0009028A">
        <w:rPr>
          <w:rFonts w:ascii="Arial" w:eastAsia="Arial" w:hAnsi="Arial" w:cs="Arial"/>
          <w:spacing w:val="1"/>
          <w:sz w:val="20"/>
          <w:szCs w:val="20"/>
        </w:rPr>
        <w:t xml:space="preserve">El aumento de la perdida a 31 </w:t>
      </w:r>
      <w:r w:rsidR="00B03F6E" w:rsidRPr="0009028A">
        <w:rPr>
          <w:rFonts w:ascii="Arial" w:eastAsia="Arial" w:hAnsi="Arial" w:cs="Arial"/>
          <w:spacing w:val="1"/>
          <w:sz w:val="20"/>
          <w:szCs w:val="20"/>
        </w:rPr>
        <w:t xml:space="preserve">de marzo 2019 corresponde a la valoración del derecho que se presenta por la revaluación del peso frente al dólar durante el periodo comparativo. </w:t>
      </w:r>
    </w:p>
    <w:p w14:paraId="0475B25D" w14:textId="77777777" w:rsidR="000E16E7" w:rsidRPr="0009028A" w:rsidRDefault="000E16E7" w:rsidP="008B5836">
      <w:pPr>
        <w:spacing w:after="0" w:line="276" w:lineRule="auto"/>
        <w:jc w:val="both"/>
        <w:rPr>
          <w:rFonts w:ascii="Arial" w:eastAsia="Arial" w:hAnsi="Arial" w:cs="Arial"/>
          <w:spacing w:val="1"/>
          <w:sz w:val="20"/>
          <w:szCs w:val="20"/>
        </w:rPr>
      </w:pPr>
    </w:p>
    <w:p w14:paraId="324853B5" w14:textId="77777777" w:rsidR="000E16E7" w:rsidRPr="0009028A" w:rsidRDefault="000E16E7" w:rsidP="008B5836">
      <w:pPr>
        <w:spacing w:after="0" w:line="276" w:lineRule="auto"/>
        <w:jc w:val="both"/>
        <w:rPr>
          <w:rFonts w:ascii="Arial" w:eastAsia="Arial" w:hAnsi="Arial" w:cs="Arial"/>
          <w:spacing w:val="1"/>
          <w:sz w:val="20"/>
          <w:szCs w:val="20"/>
        </w:rPr>
      </w:pPr>
      <w:r w:rsidRPr="0009028A">
        <w:rPr>
          <w:rFonts w:ascii="Arial" w:eastAsia="Arial" w:hAnsi="Arial" w:cs="Arial"/>
          <w:spacing w:val="1"/>
          <w:sz w:val="20"/>
          <w:szCs w:val="20"/>
        </w:rPr>
        <w:t>(2)</w:t>
      </w:r>
      <w:r w:rsidR="00B03F6E" w:rsidRPr="0009028A">
        <w:rPr>
          <w:rFonts w:ascii="Arial" w:eastAsia="Arial" w:hAnsi="Arial" w:cs="Arial"/>
          <w:spacing w:val="1"/>
          <w:sz w:val="20"/>
          <w:szCs w:val="20"/>
        </w:rPr>
        <w:t xml:space="preserve"> </w:t>
      </w:r>
      <w:r w:rsidR="008D4AB4" w:rsidRPr="0009028A">
        <w:rPr>
          <w:rFonts w:ascii="Arial" w:eastAsia="Arial" w:hAnsi="Arial" w:cs="Arial"/>
          <w:spacing w:val="1"/>
          <w:sz w:val="20"/>
          <w:szCs w:val="20"/>
        </w:rPr>
        <w:t>L</w:t>
      </w:r>
      <w:r w:rsidR="00B03F6E" w:rsidRPr="0009028A">
        <w:rPr>
          <w:rFonts w:ascii="Arial" w:eastAsia="Arial" w:hAnsi="Arial" w:cs="Arial"/>
          <w:spacing w:val="1"/>
          <w:sz w:val="20"/>
          <w:szCs w:val="20"/>
        </w:rPr>
        <w:t>os ingresos en el año 2018 principalmente correspondieron a rendimientos financieros</w:t>
      </w:r>
      <w:r w:rsidR="00C81A64" w:rsidRPr="0009028A">
        <w:rPr>
          <w:rFonts w:ascii="Arial" w:eastAsia="Arial" w:hAnsi="Arial" w:cs="Arial"/>
          <w:spacing w:val="1"/>
          <w:sz w:val="20"/>
          <w:szCs w:val="20"/>
        </w:rPr>
        <w:t xml:space="preserve"> por $612.978</w:t>
      </w:r>
      <w:r w:rsidR="00B03F6E" w:rsidRPr="0009028A">
        <w:rPr>
          <w:rFonts w:ascii="Arial" w:eastAsia="Arial" w:hAnsi="Arial" w:cs="Arial"/>
          <w:spacing w:val="1"/>
          <w:sz w:val="20"/>
          <w:szCs w:val="20"/>
        </w:rPr>
        <w:t xml:space="preserve"> generados por los excedente</w:t>
      </w:r>
      <w:r w:rsidR="00C81A64" w:rsidRPr="0009028A">
        <w:rPr>
          <w:rFonts w:ascii="Arial" w:eastAsia="Arial" w:hAnsi="Arial" w:cs="Arial"/>
          <w:spacing w:val="1"/>
          <w:sz w:val="20"/>
          <w:szCs w:val="20"/>
        </w:rPr>
        <w:t>s</w:t>
      </w:r>
      <w:r w:rsidR="00B03F6E" w:rsidRPr="0009028A">
        <w:rPr>
          <w:rFonts w:ascii="Arial" w:eastAsia="Arial" w:hAnsi="Arial" w:cs="Arial"/>
          <w:spacing w:val="1"/>
          <w:sz w:val="20"/>
          <w:szCs w:val="20"/>
        </w:rPr>
        <w:t xml:space="preserve"> de </w:t>
      </w:r>
      <w:r w:rsidR="00C81A64" w:rsidRPr="0009028A">
        <w:rPr>
          <w:rFonts w:ascii="Arial" w:eastAsia="Arial" w:hAnsi="Arial" w:cs="Arial"/>
          <w:spacing w:val="1"/>
          <w:sz w:val="20"/>
          <w:szCs w:val="20"/>
        </w:rPr>
        <w:t xml:space="preserve">liquidez </w:t>
      </w:r>
      <w:r w:rsidR="00B03F6E" w:rsidRPr="0009028A">
        <w:rPr>
          <w:rFonts w:ascii="Arial" w:eastAsia="Arial" w:hAnsi="Arial" w:cs="Arial"/>
          <w:spacing w:val="1"/>
          <w:sz w:val="20"/>
          <w:szCs w:val="20"/>
        </w:rPr>
        <w:t>que se encontraban en un fondo de inversión colectiva abierta con pacto de permanencia</w:t>
      </w:r>
      <w:r w:rsidR="00C81A64" w:rsidRPr="0009028A">
        <w:rPr>
          <w:rFonts w:ascii="Arial" w:eastAsia="Arial" w:hAnsi="Arial" w:cs="Arial"/>
          <w:spacing w:val="1"/>
          <w:sz w:val="20"/>
          <w:szCs w:val="20"/>
        </w:rPr>
        <w:t>.</w:t>
      </w:r>
    </w:p>
    <w:p w14:paraId="1BC009E4" w14:textId="77777777" w:rsidR="00B03F6E" w:rsidRPr="0009028A" w:rsidRDefault="00B03F6E" w:rsidP="008B5836">
      <w:pPr>
        <w:spacing w:after="0" w:line="276" w:lineRule="auto"/>
        <w:jc w:val="both"/>
        <w:rPr>
          <w:rFonts w:ascii="Arial" w:eastAsia="Arial" w:hAnsi="Arial" w:cs="Arial"/>
          <w:spacing w:val="1"/>
          <w:sz w:val="20"/>
          <w:szCs w:val="20"/>
        </w:rPr>
      </w:pPr>
    </w:p>
    <w:p w14:paraId="31484014" w14:textId="77777777" w:rsidR="008D4AB4" w:rsidRPr="0009028A" w:rsidRDefault="008D4AB4" w:rsidP="008D4AB4">
      <w:pPr>
        <w:rPr>
          <w:rFonts w:ascii="Arial" w:hAnsi="Arial" w:cs="Arial"/>
          <w:sz w:val="20"/>
          <w:szCs w:val="20"/>
        </w:rPr>
      </w:pPr>
      <w:r w:rsidRPr="0009028A">
        <w:rPr>
          <w:rFonts w:ascii="Arial" w:hAnsi="Arial" w:cs="Arial"/>
          <w:sz w:val="20"/>
          <w:szCs w:val="20"/>
        </w:rPr>
        <w:t>(3) El costo promedio ponderado de la deuda durante el primer trimestre de 2019 es de 6,92% EA (2018 6,92% EA).  La Compañía no capitalizó costos por préstamos.</w:t>
      </w:r>
    </w:p>
    <w:p w14:paraId="3BCF0759" w14:textId="77777777" w:rsidR="00C81A64" w:rsidRPr="0009028A" w:rsidRDefault="008D4AB4" w:rsidP="008B5836">
      <w:pPr>
        <w:spacing w:after="0" w:line="276" w:lineRule="auto"/>
        <w:jc w:val="both"/>
        <w:rPr>
          <w:rFonts w:ascii="Arial" w:eastAsia="Arial" w:hAnsi="Arial" w:cs="Arial"/>
          <w:spacing w:val="1"/>
          <w:sz w:val="20"/>
          <w:szCs w:val="20"/>
        </w:rPr>
      </w:pPr>
      <w:r w:rsidRPr="0009028A">
        <w:rPr>
          <w:rFonts w:ascii="Arial" w:eastAsia="Arial" w:hAnsi="Arial" w:cs="Arial"/>
          <w:spacing w:val="1"/>
          <w:sz w:val="20"/>
          <w:szCs w:val="20"/>
        </w:rPr>
        <w:t>(4</w:t>
      </w:r>
      <w:r w:rsidR="000E16E7" w:rsidRPr="0009028A">
        <w:rPr>
          <w:rFonts w:ascii="Arial" w:eastAsia="Arial" w:hAnsi="Arial" w:cs="Arial"/>
          <w:spacing w:val="1"/>
          <w:sz w:val="20"/>
          <w:szCs w:val="20"/>
        </w:rPr>
        <w:t>)</w:t>
      </w:r>
      <w:r w:rsidR="00C81A64" w:rsidRPr="0009028A">
        <w:rPr>
          <w:rFonts w:ascii="Arial" w:eastAsia="Arial" w:hAnsi="Arial" w:cs="Arial"/>
          <w:spacing w:val="1"/>
          <w:sz w:val="20"/>
          <w:szCs w:val="20"/>
        </w:rPr>
        <w:t xml:space="preserve"> </w:t>
      </w:r>
      <w:r w:rsidRPr="0009028A">
        <w:rPr>
          <w:rFonts w:ascii="Arial" w:eastAsia="Arial" w:hAnsi="Arial" w:cs="Arial"/>
          <w:spacing w:val="1"/>
          <w:sz w:val="20"/>
          <w:szCs w:val="20"/>
        </w:rPr>
        <w:t xml:space="preserve">Al 31 de marzo de 2019 </w:t>
      </w:r>
      <w:r w:rsidR="00C81A64" w:rsidRPr="0009028A">
        <w:rPr>
          <w:rFonts w:ascii="Arial" w:eastAsia="Arial" w:hAnsi="Arial" w:cs="Arial"/>
          <w:spacing w:val="1"/>
          <w:sz w:val="20"/>
          <w:szCs w:val="20"/>
        </w:rPr>
        <w:t>corresponde principalmente al pago de la comisión anual de la carta de crédito del Aeropuerto Internacional Mariscal Sucre de Quito $3.107.078 y comisiones del Proyecto Pacifico II $1.893.341.</w:t>
      </w:r>
    </w:p>
    <w:p w14:paraId="1059B122" w14:textId="77777777" w:rsidR="000E16E7" w:rsidRDefault="000E16E7" w:rsidP="008B5836">
      <w:pPr>
        <w:spacing w:after="0" w:line="276" w:lineRule="auto"/>
        <w:jc w:val="both"/>
        <w:rPr>
          <w:rFonts w:ascii="Arial" w:eastAsia="Arial" w:hAnsi="Arial" w:cs="Arial"/>
          <w:spacing w:val="1"/>
          <w:sz w:val="20"/>
          <w:szCs w:val="20"/>
        </w:rPr>
      </w:pPr>
    </w:p>
    <w:p w14:paraId="3DD1328B" w14:textId="77777777" w:rsidR="0088627B" w:rsidRPr="0009028A" w:rsidRDefault="0088627B" w:rsidP="008B5836">
      <w:pPr>
        <w:spacing w:after="0" w:line="276" w:lineRule="auto"/>
        <w:jc w:val="both"/>
        <w:rPr>
          <w:rFonts w:ascii="Arial" w:eastAsia="Arial" w:hAnsi="Arial" w:cs="Arial"/>
          <w:spacing w:val="1"/>
          <w:sz w:val="20"/>
          <w:szCs w:val="20"/>
        </w:rPr>
      </w:pPr>
    </w:p>
    <w:p w14:paraId="5BED29FC" w14:textId="5E52383B" w:rsidR="00EB7185" w:rsidRPr="0009028A" w:rsidRDefault="00EB7185" w:rsidP="008B5836">
      <w:pPr>
        <w:spacing w:after="0" w:line="276" w:lineRule="auto"/>
        <w:jc w:val="both"/>
        <w:rPr>
          <w:rFonts w:ascii="Arial" w:eastAsia="Arial" w:hAnsi="Arial" w:cs="Arial"/>
          <w:spacing w:val="1"/>
          <w:sz w:val="20"/>
          <w:szCs w:val="20"/>
        </w:rPr>
      </w:pPr>
    </w:p>
    <w:p w14:paraId="5D7A484A" w14:textId="129D4CC0" w:rsidR="008B5836" w:rsidRPr="00964E83" w:rsidRDefault="009A1E90" w:rsidP="00964E83">
      <w:pPr>
        <w:pStyle w:val="Ttulo1"/>
      </w:pPr>
      <w:bookmarkStart w:id="345" w:name="_Toc506991958"/>
      <w:bookmarkStart w:id="346" w:name="_Hlk506981275"/>
      <w:bookmarkStart w:id="347" w:name="_Toc8735122"/>
      <w:bookmarkStart w:id="348" w:name="_Hlk520455651"/>
      <w:bookmarkEnd w:id="342"/>
      <w:r w:rsidRPr="0009028A">
        <w:t xml:space="preserve">Nota </w:t>
      </w:r>
      <w:r w:rsidR="00964E83">
        <w:t>24</w:t>
      </w:r>
      <w:r w:rsidR="00F91521" w:rsidRPr="0009028A">
        <w:t>:</w:t>
      </w:r>
      <w:r w:rsidR="008B5836" w:rsidRPr="0009028A">
        <w:t xml:space="preserve"> G</w:t>
      </w:r>
      <w:r w:rsidR="00F91521" w:rsidRPr="0009028A">
        <w:t>anancias por acción</w:t>
      </w:r>
      <w:bookmarkEnd w:id="345"/>
      <w:bookmarkEnd w:id="346"/>
      <w:bookmarkEnd w:id="347"/>
    </w:p>
    <w:tbl>
      <w:tblPr>
        <w:tblW w:w="5000" w:type="pct"/>
        <w:jc w:val="center"/>
        <w:tblCellMar>
          <w:left w:w="70" w:type="dxa"/>
          <w:right w:w="70" w:type="dxa"/>
        </w:tblCellMar>
        <w:tblLook w:val="04A0" w:firstRow="1" w:lastRow="0" w:firstColumn="1" w:lastColumn="0" w:noHBand="0" w:noVBand="1"/>
      </w:tblPr>
      <w:tblGrid>
        <w:gridCol w:w="5298"/>
        <w:gridCol w:w="2498"/>
        <w:gridCol w:w="2125"/>
      </w:tblGrid>
      <w:tr w:rsidR="006B497F" w:rsidRPr="0009028A" w14:paraId="4F5B3D0F" w14:textId="77777777" w:rsidTr="009F281E">
        <w:trPr>
          <w:trHeight w:val="89"/>
          <w:jc w:val="center"/>
        </w:trPr>
        <w:tc>
          <w:tcPr>
            <w:tcW w:w="2670" w:type="pct"/>
            <w:shd w:val="clear" w:color="auto" w:fill="auto"/>
            <w:vAlign w:val="center"/>
            <w:hideMark/>
          </w:tcPr>
          <w:p w14:paraId="39DA9852" w14:textId="77777777" w:rsidR="006B497F" w:rsidRPr="0009028A" w:rsidRDefault="006B497F" w:rsidP="006B497F">
            <w:pPr>
              <w:spacing w:after="0" w:line="240" w:lineRule="auto"/>
              <w:rPr>
                <w:rFonts w:ascii="Arial" w:eastAsia="Times New Roman" w:hAnsi="Arial" w:cs="Arial"/>
                <w:color w:val="000000"/>
                <w:lang w:eastAsia="es-CO"/>
              </w:rPr>
            </w:pPr>
            <w:bookmarkStart w:id="349" w:name="_Toc506991959"/>
            <w:bookmarkStart w:id="350" w:name="_Hlk506981522"/>
            <w:r w:rsidRPr="0009028A">
              <w:rPr>
                <w:rFonts w:ascii="Arial" w:eastAsia="Times New Roman" w:hAnsi="Arial" w:cs="Arial"/>
                <w:color w:val="000000"/>
                <w:lang w:eastAsia="es-CO"/>
              </w:rPr>
              <w:t> </w:t>
            </w:r>
          </w:p>
        </w:tc>
        <w:tc>
          <w:tcPr>
            <w:tcW w:w="1259" w:type="pct"/>
            <w:shd w:val="clear" w:color="auto" w:fill="auto"/>
            <w:vAlign w:val="center"/>
            <w:hideMark/>
          </w:tcPr>
          <w:p w14:paraId="12125231" w14:textId="77777777" w:rsidR="006B497F" w:rsidRPr="0009028A" w:rsidRDefault="006B497F" w:rsidP="006B497F">
            <w:pPr>
              <w:spacing w:after="0" w:line="240" w:lineRule="auto"/>
              <w:jc w:val="center"/>
              <w:rPr>
                <w:rFonts w:ascii="Arial" w:eastAsia="Times New Roman" w:hAnsi="Arial" w:cs="Arial"/>
                <w:b/>
                <w:bCs/>
                <w:sz w:val="18"/>
                <w:szCs w:val="18"/>
                <w:lang w:eastAsia="es-CO"/>
              </w:rPr>
            </w:pPr>
            <w:r w:rsidRPr="0009028A">
              <w:rPr>
                <w:rFonts w:ascii="Arial" w:eastAsia="Times New Roman" w:hAnsi="Arial" w:cs="Arial"/>
                <w:b/>
                <w:bCs/>
                <w:color w:val="103475"/>
                <w:sz w:val="18"/>
                <w:szCs w:val="18"/>
                <w:lang w:val="es-ES" w:eastAsia="es-ES"/>
              </w:rPr>
              <w:t>2019</w:t>
            </w:r>
          </w:p>
        </w:tc>
        <w:tc>
          <w:tcPr>
            <w:tcW w:w="1071" w:type="pct"/>
            <w:shd w:val="clear" w:color="auto" w:fill="auto"/>
            <w:vAlign w:val="center"/>
          </w:tcPr>
          <w:p w14:paraId="63E7D174" w14:textId="77777777" w:rsidR="006B497F" w:rsidRPr="0009028A" w:rsidRDefault="006B497F" w:rsidP="006B497F">
            <w:pPr>
              <w:spacing w:after="0" w:line="240" w:lineRule="auto"/>
              <w:jc w:val="center"/>
              <w:rPr>
                <w:rFonts w:ascii="Arial" w:eastAsia="Times New Roman" w:hAnsi="Arial" w:cs="Arial"/>
                <w:b/>
                <w:bCs/>
                <w:sz w:val="18"/>
                <w:szCs w:val="18"/>
                <w:lang w:eastAsia="es-CO"/>
              </w:rPr>
            </w:pPr>
            <w:r w:rsidRPr="0009028A">
              <w:rPr>
                <w:rFonts w:ascii="Arial" w:eastAsia="Times New Roman" w:hAnsi="Arial" w:cs="Arial"/>
                <w:b/>
                <w:bCs/>
                <w:color w:val="103475"/>
                <w:sz w:val="18"/>
                <w:szCs w:val="18"/>
                <w:lang w:val="es-ES" w:eastAsia="es-ES"/>
              </w:rPr>
              <w:t>2018</w:t>
            </w:r>
          </w:p>
        </w:tc>
      </w:tr>
      <w:tr w:rsidR="006F21ED" w:rsidRPr="0009028A" w14:paraId="2C821761" w14:textId="77777777" w:rsidTr="009F281E">
        <w:trPr>
          <w:trHeight w:val="246"/>
          <w:jc w:val="center"/>
        </w:trPr>
        <w:tc>
          <w:tcPr>
            <w:tcW w:w="2670" w:type="pct"/>
            <w:shd w:val="clear" w:color="auto" w:fill="auto"/>
            <w:vAlign w:val="center"/>
            <w:hideMark/>
          </w:tcPr>
          <w:p w14:paraId="7A425431" w14:textId="77777777" w:rsidR="006F21ED" w:rsidRPr="0009028A" w:rsidRDefault="006F21ED" w:rsidP="00C4420F">
            <w:pPr>
              <w:spacing w:after="0" w:line="276" w:lineRule="auto"/>
              <w:rPr>
                <w:rFonts w:ascii="Arial" w:eastAsia="Times New Roman" w:hAnsi="Arial" w:cs="Arial"/>
                <w:color w:val="000000"/>
                <w:sz w:val="18"/>
                <w:szCs w:val="18"/>
                <w:lang w:eastAsia="es-CO"/>
              </w:rPr>
            </w:pPr>
          </w:p>
        </w:tc>
        <w:tc>
          <w:tcPr>
            <w:tcW w:w="1259" w:type="pct"/>
            <w:shd w:val="clear" w:color="auto" w:fill="auto"/>
            <w:vAlign w:val="center"/>
            <w:hideMark/>
          </w:tcPr>
          <w:p w14:paraId="5DA4E3A5" w14:textId="77777777" w:rsidR="006F21ED" w:rsidRPr="0009028A" w:rsidRDefault="006F21ED" w:rsidP="00C4420F">
            <w:pPr>
              <w:spacing w:after="0" w:line="276"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Pesos por acción</w:t>
            </w:r>
          </w:p>
        </w:tc>
        <w:tc>
          <w:tcPr>
            <w:tcW w:w="1071" w:type="pct"/>
            <w:shd w:val="clear" w:color="auto" w:fill="auto"/>
            <w:vAlign w:val="center"/>
          </w:tcPr>
          <w:p w14:paraId="19BE16EC" w14:textId="77777777" w:rsidR="006F21ED" w:rsidRPr="0009028A" w:rsidRDefault="006F21ED" w:rsidP="00C4420F">
            <w:pPr>
              <w:spacing w:after="0" w:line="276"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Pesos por acción</w:t>
            </w:r>
          </w:p>
        </w:tc>
      </w:tr>
      <w:tr w:rsidR="006F21ED" w:rsidRPr="0009028A" w14:paraId="2EDD2701" w14:textId="77777777" w:rsidTr="009F281E">
        <w:trPr>
          <w:trHeight w:val="246"/>
          <w:jc w:val="center"/>
        </w:trPr>
        <w:tc>
          <w:tcPr>
            <w:tcW w:w="2670" w:type="pct"/>
            <w:shd w:val="clear" w:color="auto" w:fill="auto"/>
            <w:vAlign w:val="center"/>
          </w:tcPr>
          <w:p w14:paraId="15C7AE32" w14:textId="77777777" w:rsidR="006F21ED" w:rsidRPr="0009028A" w:rsidRDefault="006F21ED" w:rsidP="00C4420F">
            <w:pPr>
              <w:spacing w:after="0" w:line="276" w:lineRule="auto"/>
              <w:jc w:val="both"/>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Ganancias por acción básicas</w:t>
            </w:r>
            <w:r w:rsidRPr="0009028A">
              <w:rPr>
                <w:rFonts w:ascii="Arial" w:eastAsia="Times New Roman" w:hAnsi="Arial" w:cs="Arial"/>
                <w:color w:val="103475"/>
                <w:sz w:val="18"/>
                <w:szCs w:val="18"/>
                <w:lang w:eastAsia="es-CO"/>
              </w:rPr>
              <w:t> </w:t>
            </w:r>
          </w:p>
        </w:tc>
        <w:tc>
          <w:tcPr>
            <w:tcW w:w="1259" w:type="pct"/>
            <w:shd w:val="clear" w:color="auto" w:fill="auto"/>
            <w:vAlign w:val="center"/>
          </w:tcPr>
          <w:p w14:paraId="2872725B" w14:textId="77777777" w:rsidR="006F21ED" w:rsidRPr="0009028A" w:rsidRDefault="006F21ED" w:rsidP="00C4420F">
            <w:pPr>
              <w:spacing w:after="0" w:line="276" w:lineRule="auto"/>
              <w:jc w:val="right"/>
              <w:rPr>
                <w:rFonts w:ascii="Arial" w:hAnsi="Arial" w:cs="Arial"/>
                <w:color w:val="000000"/>
                <w:sz w:val="18"/>
                <w:szCs w:val="18"/>
              </w:rPr>
            </w:pPr>
          </w:p>
        </w:tc>
        <w:tc>
          <w:tcPr>
            <w:tcW w:w="1071" w:type="pct"/>
            <w:shd w:val="clear" w:color="auto" w:fill="auto"/>
            <w:vAlign w:val="center"/>
          </w:tcPr>
          <w:p w14:paraId="4999DDC2" w14:textId="77777777" w:rsidR="006F21ED" w:rsidRPr="0009028A" w:rsidRDefault="006F21ED" w:rsidP="00C4420F">
            <w:pPr>
              <w:spacing w:after="0" w:line="276" w:lineRule="auto"/>
              <w:jc w:val="right"/>
              <w:rPr>
                <w:rFonts w:ascii="Arial" w:hAnsi="Arial" w:cs="Arial"/>
                <w:color w:val="000000"/>
                <w:sz w:val="18"/>
                <w:szCs w:val="18"/>
              </w:rPr>
            </w:pPr>
          </w:p>
        </w:tc>
      </w:tr>
      <w:tr w:rsidR="006F21ED" w:rsidRPr="0009028A" w14:paraId="5C057D17" w14:textId="77777777" w:rsidTr="009F281E">
        <w:trPr>
          <w:trHeight w:val="246"/>
          <w:jc w:val="center"/>
        </w:trPr>
        <w:tc>
          <w:tcPr>
            <w:tcW w:w="2670" w:type="pct"/>
            <w:shd w:val="clear" w:color="auto" w:fill="auto"/>
            <w:vAlign w:val="center"/>
          </w:tcPr>
          <w:p w14:paraId="752E2ECC" w14:textId="77777777" w:rsidR="006F21ED" w:rsidRPr="0009028A" w:rsidRDefault="006F21ED" w:rsidP="00C4420F">
            <w:pPr>
              <w:spacing w:after="0" w:line="276" w:lineRule="auto"/>
              <w:jc w:val="both"/>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Provenientes de operaciones continuadas</w:t>
            </w:r>
          </w:p>
        </w:tc>
        <w:tc>
          <w:tcPr>
            <w:tcW w:w="1259" w:type="pct"/>
            <w:shd w:val="clear" w:color="auto" w:fill="auto"/>
            <w:vAlign w:val="center"/>
          </w:tcPr>
          <w:p w14:paraId="07C6355C" w14:textId="77777777" w:rsidR="006F21ED" w:rsidRPr="0009028A" w:rsidRDefault="00D04A6E" w:rsidP="00C4420F">
            <w:pPr>
              <w:spacing w:after="0" w:line="276" w:lineRule="auto"/>
              <w:jc w:val="right"/>
              <w:rPr>
                <w:rFonts w:ascii="Arial" w:hAnsi="Arial" w:cs="Arial"/>
                <w:color w:val="000000"/>
                <w:sz w:val="18"/>
                <w:szCs w:val="18"/>
              </w:rPr>
            </w:pPr>
            <w:r w:rsidRPr="0009028A">
              <w:rPr>
                <w:rFonts w:ascii="Arial" w:hAnsi="Arial" w:cs="Arial"/>
                <w:color w:val="000000"/>
                <w:sz w:val="18"/>
                <w:szCs w:val="18"/>
              </w:rPr>
              <w:t>132</w:t>
            </w:r>
          </w:p>
        </w:tc>
        <w:tc>
          <w:tcPr>
            <w:tcW w:w="1071" w:type="pct"/>
            <w:shd w:val="clear" w:color="auto" w:fill="auto"/>
            <w:vAlign w:val="center"/>
          </w:tcPr>
          <w:p w14:paraId="59F9B79A" w14:textId="77777777" w:rsidR="006F21ED" w:rsidRPr="0009028A" w:rsidRDefault="00D04A6E" w:rsidP="00C4420F">
            <w:pPr>
              <w:spacing w:after="0" w:line="276" w:lineRule="auto"/>
              <w:jc w:val="right"/>
              <w:rPr>
                <w:rFonts w:ascii="Arial" w:hAnsi="Arial" w:cs="Arial"/>
                <w:color w:val="000000"/>
                <w:sz w:val="18"/>
                <w:szCs w:val="18"/>
              </w:rPr>
            </w:pPr>
            <w:r w:rsidRPr="0009028A">
              <w:rPr>
                <w:rFonts w:ascii="Arial" w:hAnsi="Arial" w:cs="Arial"/>
                <w:color w:val="000000"/>
                <w:sz w:val="18"/>
                <w:szCs w:val="18"/>
              </w:rPr>
              <w:t>103</w:t>
            </w:r>
          </w:p>
        </w:tc>
      </w:tr>
      <w:tr w:rsidR="006F21ED" w:rsidRPr="0009028A" w14:paraId="47CBB6DE" w14:textId="77777777" w:rsidTr="009F281E">
        <w:trPr>
          <w:trHeight w:val="246"/>
          <w:jc w:val="center"/>
        </w:trPr>
        <w:tc>
          <w:tcPr>
            <w:tcW w:w="2670" w:type="pct"/>
            <w:shd w:val="clear" w:color="auto" w:fill="auto"/>
            <w:vAlign w:val="center"/>
          </w:tcPr>
          <w:p w14:paraId="599CB5A5" w14:textId="77777777" w:rsidR="006F21ED" w:rsidRPr="0009028A" w:rsidRDefault="006F21ED" w:rsidP="00C4420F">
            <w:pPr>
              <w:spacing w:after="0" w:line="276" w:lineRule="auto"/>
              <w:jc w:val="both"/>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Ganancias por acción básicas totales</w:t>
            </w:r>
          </w:p>
        </w:tc>
        <w:tc>
          <w:tcPr>
            <w:tcW w:w="1259" w:type="pct"/>
            <w:shd w:val="clear" w:color="auto" w:fill="auto"/>
            <w:vAlign w:val="center"/>
          </w:tcPr>
          <w:p w14:paraId="6BF1500F" w14:textId="77777777" w:rsidR="006F21ED" w:rsidRPr="0009028A" w:rsidRDefault="00D04A6E" w:rsidP="00E314F1">
            <w:pPr>
              <w:spacing w:after="0" w:line="240" w:lineRule="auto"/>
              <w:jc w:val="right"/>
              <w:rPr>
                <w:rFonts w:ascii="Arial" w:eastAsia="Times New Roman" w:hAnsi="Arial" w:cs="Arial"/>
                <w:b/>
                <w:color w:val="103475"/>
                <w:sz w:val="18"/>
                <w:szCs w:val="18"/>
                <w:lang w:eastAsia="es-CO"/>
              </w:rPr>
            </w:pPr>
            <w:r w:rsidRPr="0009028A">
              <w:rPr>
                <w:rFonts w:ascii="Arial" w:eastAsia="Times New Roman" w:hAnsi="Arial" w:cs="Arial"/>
                <w:b/>
                <w:color w:val="103475"/>
                <w:sz w:val="18"/>
                <w:szCs w:val="18"/>
                <w:lang w:eastAsia="es-CO"/>
              </w:rPr>
              <w:t>132</w:t>
            </w:r>
          </w:p>
        </w:tc>
        <w:tc>
          <w:tcPr>
            <w:tcW w:w="1071" w:type="pct"/>
            <w:shd w:val="clear" w:color="auto" w:fill="auto"/>
            <w:vAlign w:val="center"/>
          </w:tcPr>
          <w:p w14:paraId="2399367A" w14:textId="77777777" w:rsidR="006F21ED" w:rsidRPr="0009028A" w:rsidRDefault="00D04A6E" w:rsidP="00E314F1">
            <w:pPr>
              <w:spacing w:after="0" w:line="240" w:lineRule="auto"/>
              <w:jc w:val="right"/>
              <w:rPr>
                <w:rFonts w:ascii="Arial" w:hAnsi="Arial" w:cs="Arial"/>
                <w:color w:val="000000"/>
                <w:sz w:val="18"/>
                <w:szCs w:val="18"/>
              </w:rPr>
            </w:pPr>
            <w:r w:rsidRPr="0009028A">
              <w:rPr>
                <w:rFonts w:ascii="Arial" w:eastAsia="Times New Roman" w:hAnsi="Arial" w:cs="Arial"/>
                <w:b/>
                <w:color w:val="103475"/>
                <w:sz w:val="18"/>
                <w:szCs w:val="18"/>
                <w:lang w:eastAsia="es-CO"/>
              </w:rPr>
              <w:t>103</w:t>
            </w:r>
          </w:p>
        </w:tc>
      </w:tr>
      <w:tr w:rsidR="006F21ED" w:rsidRPr="0009028A" w14:paraId="73B73D48" w14:textId="77777777" w:rsidTr="009F281E">
        <w:trPr>
          <w:trHeight w:val="246"/>
          <w:jc w:val="center"/>
        </w:trPr>
        <w:tc>
          <w:tcPr>
            <w:tcW w:w="2670" w:type="pct"/>
            <w:shd w:val="clear" w:color="auto" w:fill="auto"/>
            <w:vAlign w:val="center"/>
          </w:tcPr>
          <w:p w14:paraId="6D33469A" w14:textId="77777777" w:rsidR="006F21ED" w:rsidRPr="0009028A" w:rsidRDefault="006F21ED" w:rsidP="00C4420F">
            <w:pPr>
              <w:spacing w:after="0" w:line="276" w:lineRule="auto"/>
              <w:jc w:val="both"/>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Ganancias por acción diluidas</w:t>
            </w:r>
          </w:p>
        </w:tc>
        <w:tc>
          <w:tcPr>
            <w:tcW w:w="1259" w:type="pct"/>
            <w:shd w:val="clear" w:color="auto" w:fill="auto"/>
            <w:vAlign w:val="center"/>
          </w:tcPr>
          <w:p w14:paraId="6328679F" w14:textId="77777777" w:rsidR="006F21ED" w:rsidRPr="0009028A" w:rsidRDefault="006F21ED" w:rsidP="00C4420F">
            <w:pPr>
              <w:spacing w:after="0" w:line="276" w:lineRule="auto"/>
              <w:jc w:val="right"/>
              <w:rPr>
                <w:rFonts w:ascii="Arial" w:hAnsi="Arial" w:cs="Arial"/>
                <w:color w:val="000000"/>
                <w:sz w:val="18"/>
                <w:szCs w:val="18"/>
              </w:rPr>
            </w:pPr>
          </w:p>
        </w:tc>
        <w:tc>
          <w:tcPr>
            <w:tcW w:w="1071" w:type="pct"/>
            <w:shd w:val="clear" w:color="auto" w:fill="auto"/>
            <w:vAlign w:val="center"/>
          </w:tcPr>
          <w:p w14:paraId="201C2B56" w14:textId="77777777" w:rsidR="006F21ED" w:rsidRPr="0009028A" w:rsidRDefault="006F21ED" w:rsidP="00C4420F">
            <w:pPr>
              <w:spacing w:after="0" w:line="276" w:lineRule="auto"/>
              <w:jc w:val="right"/>
              <w:rPr>
                <w:rFonts w:ascii="Arial" w:hAnsi="Arial" w:cs="Arial"/>
                <w:color w:val="000000"/>
                <w:sz w:val="18"/>
                <w:szCs w:val="18"/>
              </w:rPr>
            </w:pPr>
          </w:p>
        </w:tc>
      </w:tr>
      <w:tr w:rsidR="009F2FBB" w:rsidRPr="0009028A" w14:paraId="2E3F9414" w14:textId="77777777" w:rsidTr="009F281E">
        <w:trPr>
          <w:trHeight w:val="246"/>
          <w:jc w:val="center"/>
        </w:trPr>
        <w:tc>
          <w:tcPr>
            <w:tcW w:w="2670" w:type="pct"/>
            <w:shd w:val="clear" w:color="auto" w:fill="auto"/>
            <w:vAlign w:val="center"/>
          </w:tcPr>
          <w:p w14:paraId="57B6F874" w14:textId="77777777" w:rsidR="009F2FBB" w:rsidRPr="0009028A" w:rsidRDefault="009F2FBB" w:rsidP="009F2FBB">
            <w:pPr>
              <w:spacing w:after="0" w:line="276" w:lineRule="auto"/>
              <w:jc w:val="both"/>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Provenientes de operaciones continuas</w:t>
            </w:r>
          </w:p>
        </w:tc>
        <w:tc>
          <w:tcPr>
            <w:tcW w:w="1259" w:type="pct"/>
            <w:shd w:val="clear" w:color="auto" w:fill="auto"/>
            <w:vAlign w:val="center"/>
          </w:tcPr>
          <w:p w14:paraId="21665960" w14:textId="77777777" w:rsidR="009F2FBB" w:rsidRPr="0009028A" w:rsidRDefault="009F2FBB" w:rsidP="009F2FBB">
            <w:pPr>
              <w:spacing w:after="0" w:line="276" w:lineRule="auto"/>
              <w:jc w:val="right"/>
              <w:rPr>
                <w:rFonts w:ascii="Arial" w:hAnsi="Arial" w:cs="Arial"/>
                <w:color w:val="000000"/>
                <w:sz w:val="18"/>
                <w:szCs w:val="18"/>
              </w:rPr>
            </w:pPr>
            <w:r w:rsidRPr="0009028A">
              <w:rPr>
                <w:rFonts w:ascii="Arial" w:hAnsi="Arial" w:cs="Arial"/>
                <w:color w:val="000000"/>
                <w:sz w:val="18"/>
                <w:szCs w:val="18"/>
              </w:rPr>
              <w:t>132</w:t>
            </w:r>
          </w:p>
        </w:tc>
        <w:tc>
          <w:tcPr>
            <w:tcW w:w="1071" w:type="pct"/>
            <w:shd w:val="clear" w:color="auto" w:fill="auto"/>
            <w:vAlign w:val="center"/>
          </w:tcPr>
          <w:p w14:paraId="6E7F8C8B" w14:textId="77777777" w:rsidR="009F2FBB" w:rsidRPr="0009028A" w:rsidRDefault="009F2FBB" w:rsidP="009F2FBB">
            <w:pPr>
              <w:spacing w:after="0" w:line="276" w:lineRule="auto"/>
              <w:jc w:val="right"/>
              <w:rPr>
                <w:rFonts w:ascii="Arial" w:hAnsi="Arial" w:cs="Arial"/>
                <w:color w:val="000000"/>
                <w:sz w:val="18"/>
                <w:szCs w:val="18"/>
              </w:rPr>
            </w:pPr>
            <w:r w:rsidRPr="0009028A">
              <w:rPr>
                <w:rFonts w:ascii="Arial" w:hAnsi="Arial" w:cs="Arial"/>
                <w:color w:val="000000"/>
                <w:sz w:val="18"/>
                <w:szCs w:val="18"/>
              </w:rPr>
              <w:t>103</w:t>
            </w:r>
          </w:p>
        </w:tc>
      </w:tr>
      <w:tr w:rsidR="009F2FBB" w:rsidRPr="0009028A" w14:paraId="59968728" w14:textId="77777777" w:rsidTr="009F281E">
        <w:trPr>
          <w:trHeight w:val="246"/>
          <w:jc w:val="center"/>
        </w:trPr>
        <w:tc>
          <w:tcPr>
            <w:tcW w:w="2670" w:type="pct"/>
            <w:shd w:val="clear" w:color="auto" w:fill="auto"/>
            <w:vAlign w:val="center"/>
            <w:hideMark/>
          </w:tcPr>
          <w:p w14:paraId="5820862D" w14:textId="77777777" w:rsidR="009F2FBB" w:rsidRPr="0009028A" w:rsidRDefault="009F2FBB" w:rsidP="009F2FBB">
            <w:pPr>
              <w:spacing w:after="0" w:line="276" w:lineRule="auto"/>
              <w:rPr>
                <w:rFonts w:ascii="Arial" w:eastAsia="Times New Roman" w:hAnsi="Arial" w:cs="Arial"/>
                <w:b/>
                <w:bCs/>
                <w:color w:val="103475"/>
                <w:sz w:val="18"/>
                <w:szCs w:val="18"/>
                <w:lang w:eastAsia="es-CO"/>
              </w:rPr>
            </w:pPr>
            <w:r w:rsidRPr="0009028A">
              <w:rPr>
                <w:rFonts w:ascii="Arial" w:eastAsia="Times New Roman" w:hAnsi="Arial" w:cs="Arial"/>
                <w:b/>
                <w:color w:val="103475"/>
                <w:sz w:val="18"/>
                <w:szCs w:val="18"/>
                <w:lang w:eastAsia="es-CO"/>
              </w:rPr>
              <w:t>Ganancias por acción diluidas totales</w:t>
            </w:r>
          </w:p>
        </w:tc>
        <w:tc>
          <w:tcPr>
            <w:tcW w:w="1259" w:type="pct"/>
            <w:shd w:val="clear" w:color="auto" w:fill="auto"/>
            <w:vAlign w:val="center"/>
          </w:tcPr>
          <w:p w14:paraId="72C84E0D" w14:textId="77777777" w:rsidR="009F2FBB" w:rsidRPr="0009028A" w:rsidRDefault="009F2FBB" w:rsidP="009F2FBB">
            <w:pPr>
              <w:spacing w:after="0" w:line="240" w:lineRule="auto"/>
              <w:jc w:val="right"/>
              <w:rPr>
                <w:rFonts w:ascii="Arial" w:eastAsia="Times New Roman" w:hAnsi="Arial" w:cs="Arial"/>
                <w:b/>
                <w:color w:val="103475"/>
                <w:sz w:val="18"/>
                <w:szCs w:val="18"/>
                <w:lang w:eastAsia="es-CO"/>
              </w:rPr>
            </w:pPr>
            <w:r w:rsidRPr="0009028A">
              <w:rPr>
                <w:rFonts w:ascii="Arial" w:eastAsia="Times New Roman" w:hAnsi="Arial" w:cs="Arial"/>
                <w:b/>
                <w:color w:val="103475"/>
                <w:sz w:val="18"/>
                <w:szCs w:val="18"/>
                <w:lang w:eastAsia="es-CO"/>
              </w:rPr>
              <w:t>132</w:t>
            </w:r>
          </w:p>
        </w:tc>
        <w:tc>
          <w:tcPr>
            <w:tcW w:w="1071" w:type="pct"/>
            <w:shd w:val="clear" w:color="auto" w:fill="auto"/>
            <w:vAlign w:val="center"/>
          </w:tcPr>
          <w:p w14:paraId="09674389" w14:textId="77777777" w:rsidR="009F2FBB" w:rsidRPr="0009028A" w:rsidRDefault="009F2FBB" w:rsidP="009F2FBB">
            <w:pPr>
              <w:spacing w:after="0" w:line="240" w:lineRule="auto"/>
              <w:jc w:val="right"/>
              <w:rPr>
                <w:rFonts w:ascii="Arial" w:hAnsi="Arial" w:cs="Arial"/>
                <w:color w:val="000000"/>
                <w:sz w:val="18"/>
                <w:szCs w:val="18"/>
              </w:rPr>
            </w:pPr>
            <w:r w:rsidRPr="0009028A">
              <w:rPr>
                <w:rFonts w:ascii="Arial" w:eastAsia="Times New Roman" w:hAnsi="Arial" w:cs="Arial"/>
                <w:b/>
                <w:color w:val="103475"/>
                <w:sz w:val="18"/>
                <w:szCs w:val="18"/>
                <w:lang w:eastAsia="es-CO"/>
              </w:rPr>
              <w:t>103</w:t>
            </w:r>
          </w:p>
        </w:tc>
      </w:tr>
    </w:tbl>
    <w:p w14:paraId="592214C7" w14:textId="77777777" w:rsidR="00A01FEB" w:rsidRPr="0009028A" w:rsidRDefault="00A01FEB" w:rsidP="00C4420F">
      <w:pPr>
        <w:spacing w:after="0" w:line="276" w:lineRule="auto"/>
        <w:jc w:val="both"/>
        <w:rPr>
          <w:rFonts w:ascii="Arial" w:hAnsi="Arial" w:cs="Arial"/>
          <w:sz w:val="20"/>
        </w:rPr>
      </w:pPr>
    </w:p>
    <w:p w14:paraId="4E2DF0E5" w14:textId="5A70D829" w:rsidR="00160F79" w:rsidRPr="0009028A" w:rsidRDefault="00160F79" w:rsidP="00160F79">
      <w:pPr>
        <w:pStyle w:val="Ttulo2"/>
        <w:spacing w:afterAutospacing="0"/>
        <w:rPr>
          <w:rFonts w:ascii="Arial" w:hAnsi="Arial" w:cs="Arial"/>
        </w:rPr>
      </w:pPr>
      <w:bookmarkStart w:id="351" w:name="_Toc8735123"/>
      <w:r w:rsidRPr="0009028A">
        <w:rPr>
          <w:rFonts w:ascii="Arial" w:hAnsi="Arial" w:cs="Arial"/>
        </w:rPr>
        <w:t>2</w:t>
      </w:r>
      <w:r w:rsidR="00964E83">
        <w:rPr>
          <w:rFonts w:ascii="Arial" w:hAnsi="Arial" w:cs="Arial"/>
        </w:rPr>
        <w:t>4</w:t>
      </w:r>
      <w:r w:rsidRPr="0009028A">
        <w:rPr>
          <w:rFonts w:ascii="Arial" w:hAnsi="Arial" w:cs="Arial"/>
        </w:rPr>
        <w:t>.1 Ganancias por acción básicas ordinarias</w:t>
      </w:r>
      <w:bookmarkEnd w:id="351"/>
    </w:p>
    <w:p w14:paraId="537F6A77" w14:textId="77777777" w:rsidR="00160F79" w:rsidRPr="0009028A" w:rsidRDefault="00160F79" w:rsidP="00160F79">
      <w:pPr>
        <w:spacing w:after="0" w:line="276" w:lineRule="auto"/>
        <w:jc w:val="both"/>
        <w:rPr>
          <w:rFonts w:ascii="Arial" w:hAnsi="Arial" w:cs="Arial"/>
          <w:sz w:val="20"/>
          <w:szCs w:val="20"/>
        </w:rPr>
      </w:pPr>
    </w:p>
    <w:p w14:paraId="5A2438F0" w14:textId="77777777" w:rsidR="0077750A" w:rsidRPr="0009028A" w:rsidRDefault="00160F79" w:rsidP="003919A1">
      <w:pPr>
        <w:spacing w:after="0" w:line="276" w:lineRule="auto"/>
        <w:jc w:val="both"/>
        <w:rPr>
          <w:rFonts w:ascii="Arial" w:hAnsi="Arial" w:cs="Arial"/>
          <w:sz w:val="20"/>
          <w:szCs w:val="20"/>
        </w:rPr>
      </w:pPr>
      <w:r w:rsidRPr="0009028A">
        <w:rPr>
          <w:rFonts w:ascii="Arial" w:hAnsi="Arial" w:cs="Arial"/>
          <w:sz w:val="20"/>
          <w:szCs w:val="20"/>
        </w:rPr>
        <w:t>Las ganancias y número promedio ponderado de acciones ordinarias usados en el cálculo de las ganancias por acción básicas son los siguientes:</w:t>
      </w:r>
      <w:bookmarkEnd w:id="349"/>
      <w:bookmarkEnd w:id="350"/>
    </w:p>
    <w:tbl>
      <w:tblPr>
        <w:tblW w:w="5000" w:type="pct"/>
        <w:jc w:val="center"/>
        <w:tblCellMar>
          <w:left w:w="70" w:type="dxa"/>
          <w:right w:w="70" w:type="dxa"/>
        </w:tblCellMar>
        <w:tblLook w:val="04A0" w:firstRow="1" w:lastRow="0" w:firstColumn="1" w:lastColumn="0" w:noHBand="0" w:noVBand="1"/>
      </w:tblPr>
      <w:tblGrid>
        <w:gridCol w:w="5298"/>
        <w:gridCol w:w="2498"/>
        <w:gridCol w:w="2125"/>
      </w:tblGrid>
      <w:tr w:rsidR="003919A1" w:rsidRPr="0009028A" w14:paraId="035B263F" w14:textId="77777777" w:rsidTr="009F281E">
        <w:trPr>
          <w:trHeight w:val="246"/>
          <w:jc w:val="center"/>
        </w:trPr>
        <w:tc>
          <w:tcPr>
            <w:tcW w:w="2670" w:type="pct"/>
            <w:shd w:val="clear" w:color="auto" w:fill="auto"/>
            <w:vAlign w:val="center"/>
          </w:tcPr>
          <w:p w14:paraId="3AA923A2" w14:textId="77777777" w:rsidR="003919A1" w:rsidRPr="0009028A" w:rsidRDefault="003919A1" w:rsidP="00AE7B82">
            <w:pPr>
              <w:spacing w:after="0" w:line="240" w:lineRule="auto"/>
              <w:rPr>
                <w:rFonts w:ascii="Arial" w:eastAsia="Times New Roman" w:hAnsi="Arial" w:cs="Arial"/>
                <w:color w:val="000000"/>
                <w:lang w:eastAsia="es-CO"/>
              </w:rPr>
            </w:pPr>
          </w:p>
        </w:tc>
        <w:tc>
          <w:tcPr>
            <w:tcW w:w="2330" w:type="pct"/>
            <w:gridSpan w:val="2"/>
            <w:shd w:val="clear" w:color="auto" w:fill="auto"/>
            <w:vAlign w:val="center"/>
          </w:tcPr>
          <w:p w14:paraId="05C8CC88" w14:textId="77777777" w:rsidR="003919A1" w:rsidRPr="0009028A" w:rsidRDefault="003919A1" w:rsidP="00AE7B82">
            <w:pPr>
              <w:spacing w:after="0" w:line="240" w:lineRule="auto"/>
              <w:jc w:val="center"/>
              <w:rPr>
                <w:rFonts w:ascii="Arial" w:eastAsia="Times New Roman" w:hAnsi="Arial" w:cs="Arial"/>
                <w:b/>
                <w:bCs/>
                <w:sz w:val="18"/>
                <w:szCs w:val="18"/>
                <w:lang w:eastAsia="es-CO"/>
              </w:rPr>
            </w:pPr>
          </w:p>
        </w:tc>
      </w:tr>
      <w:tr w:rsidR="009F281E" w:rsidRPr="0009028A" w14:paraId="1E7AAED0" w14:textId="77777777" w:rsidTr="009F281E">
        <w:trPr>
          <w:trHeight w:val="89"/>
          <w:jc w:val="center"/>
        </w:trPr>
        <w:tc>
          <w:tcPr>
            <w:tcW w:w="2670" w:type="pct"/>
            <w:shd w:val="clear" w:color="auto" w:fill="auto"/>
            <w:vAlign w:val="center"/>
            <w:hideMark/>
          </w:tcPr>
          <w:p w14:paraId="5AD6F223" w14:textId="77777777" w:rsidR="009F281E" w:rsidRPr="0009028A" w:rsidRDefault="009F281E" w:rsidP="009F281E">
            <w:pPr>
              <w:spacing w:after="0" w:line="240" w:lineRule="auto"/>
              <w:rPr>
                <w:rFonts w:ascii="Arial" w:eastAsia="Times New Roman" w:hAnsi="Arial" w:cs="Arial"/>
                <w:color w:val="000000"/>
                <w:lang w:eastAsia="es-CO"/>
              </w:rPr>
            </w:pPr>
            <w:r w:rsidRPr="0009028A">
              <w:rPr>
                <w:rFonts w:ascii="Arial" w:eastAsia="Times New Roman" w:hAnsi="Arial" w:cs="Arial"/>
                <w:color w:val="000000"/>
                <w:lang w:eastAsia="es-CO"/>
              </w:rPr>
              <w:t> </w:t>
            </w:r>
          </w:p>
        </w:tc>
        <w:tc>
          <w:tcPr>
            <w:tcW w:w="1259" w:type="pct"/>
            <w:shd w:val="clear" w:color="auto" w:fill="auto"/>
            <w:vAlign w:val="center"/>
            <w:hideMark/>
          </w:tcPr>
          <w:p w14:paraId="03140BD9" w14:textId="77777777" w:rsidR="009F281E" w:rsidRPr="0009028A" w:rsidRDefault="009F281E" w:rsidP="00F01816">
            <w:pPr>
              <w:spacing w:after="0" w:line="240" w:lineRule="auto"/>
              <w:jc w:val="right"/>
              <w:rPr>
                <w:rFonts w:ascii="Arial" w:eastAsia="Times New Roman" w:hAnsi="Arial" w:cs="Arial"/>
                <w:b/>
                <w:bCs/>
                <w:sz w:val="18"/>
                <w:szCs w:val="18"/>
                <w:lang w:eastAsia="es-CO"/>
              </w:rPr>
            </w:pPr>
            <w:r w:rsidRPr="0009028A">
              <w:rPr>
                <w:rFonts w:ascii="Arial" w:eastAsia="Times New Roman" w:hAnsi="Arial" w:cs="Arial"/>
                <w:b/>
                <w:bCs/>
                <w:color w:val="103475"/>
                <w:sz w:val="18"/>
                <w:szCs w:val="18"/>
                <w:lang w:val="es-ES" w:eastAsia="es-ES"/>
              </w:rPr>
              <w:t xml:space="preserve"> 2019</w:t>
            </w:r>
          </w:p>
        </w:tc>
        <w:tc>
          <w:tcPr>
            <w:tcW w:w="1071" w:type="pct"/>
            <w:shd w:val="clear" w:color="auto" w:fill="auto"/>
            <w:vAlign w:val="center"/>
          </w:tcPr>
          <w:p w14:paraId="33174339" w14:textId="77777777" w:rsidR="009F281E" w:rsidRPr="0009028A" w:rsidRDefault="009F281E" w:rsidP="00F01816">
            <w:pPr>
              <w:spacing w:after="0" w:line="240" w:lineRule="auto"/>
              <w:jc w:val="right"/>
              <w:rPr>
                <w:rFonts w:ascii="Arial" w:eastAsia="Times New Roman" w:hAnsi="Arial" w:cs="Arial"/>
                <w:b/>
                <w:bCs/>
                <w:sz w:val="18"/>
                <w:szCs w:val="18"/>
                <w:lang w:eastAsia="es-CO"/>
              </w:rPr>
            </w:pPr>
            <w:r w:rsidRPr="0009028A">
              <w:rPr>
                <w:rFonts w:ascii="Arial" w:eastAsia="Times New Roman" w:hAnsi="Arial" w:cs="Arial"/>
                <w:b/>
                <w:bCs/>
                <w:color w:val="103475"/>
                <w:sz w:val="18"/>
                <w:szCs w:val="18"/>
                <w:lang w:val="es-ES" w:eastAsia="es-ES"/>
              </w:rPr>
              <w:t>2018</w:t>
            </w:r>
          </w:p>
        </w:tc>
      </w:tr>
      <w:tr w:rsidR="003919A1" w:rsidRPr="0009028A" w14:paraId="4931E984" w14:textId="77777777" w:rsidTr="009F281E">
        <w:trPr>
          <w:trHeight w:val="246"/>
          <w:jc w:val="center"/>
        </w:trPr>
        <w:tc>
          <w:tcPr>
            <w:tcW w:w="2670" w:type="pct"/>
            <w:shd w:val="clear" w:color="auto" w:fill="auto"/>
            <w:vAlign w:val="center"/>
            <w:hideMark/>
          </w:tcPr>
          <w:p w14:paraId="63912885" w14:textId="77777777" w:rsidR="003919A1" w:rsidRPr="0009028A" w:rsidRDefault="003919A1" w:rsidP="00824760">
            <w:pPr>
              <w:spacing w:after="0" w:line="276" w:lineRule="auto"/>
              <w:jc w:val="both"/>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Ganancia del año atribuible a los controladores de la Compañía</w:t>
            </w:r>
          </w:p>
        </w:tc>
        <w:tc>
          <w:tcPr>
            <w:tcW w:w="1259" w:type="pct"/>
            <w:shd w:val="clear" w:color="auto" w:fill="auto"/>
            <w:vAlign w:val="center"/>
          </w:tcPr>
          <w:p w14:paraId="52CC50AE" w14:textId="77777777" w:rsidR="003919A1" w:rsidRPr="0009028A" w:rsidRDefault="00D04A6E" w:rsidP="00824760">
            <w:pPr>
              <w:spacing w:after="0" w:line="240" w:lineRule="auto"/>
              <w:jc w:val="right"/>
              <w:rPr>
                <w:rFonts w:ascii="Arial" w:hAnsi="Arial" w:cs="Arial"/>
                <w:color w:val="000000"/>
                <w:sz w:val="18"/>
                <w:szCs w:val="18"/>
              </w:rPr>
            </w:pPr>
            <w:r w:rsidRPr="0009028A">
              <w:rPr>
                <w:rFonts w:ascii="Arial" w:hAnsi="Arial" w:cs="Arial"/>
                <w:color w:val="000000"/>
                <w:sz w:val="18"/>
                <w:szCs w:val="18"/>
              </w:rPr>
              <w:t>25.810.575</w:t>
            </w:r>
          </w:p>
        </w:tc>
        <w:tc>
          <w:tcPr>
            <w:tcW w:w="1071" w:type="pct"/>
            <w:shd w:val="clear" w:color="auto" w:fill="auto"/>
            <w:vAlign w:val="center"/>
          </w:tcPr>
          <w:p w14:paraId="033FFF4D" w14:textId="77777777" w:rsidR="003919A1" w:rsidRPr="0009028A" w:rsidRDefault="00D04A6E" w:rsidP="00824760">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20.144.556</w:t>
            </w:r>
          </w:p>
        </w:tc>
      </w:tr>
      <w:tr w:rsidR="003919A1" w:rsidRPr="0009028A" w14:paraId="63B199AA" w14:textId="77777777" w:rsidTr="009F281E">
        <w:trPr>
          <w:trHeight w:val="246"/>
          <w:jc w:val="center"/>
        </w:trPr>
        <w:tc>
          <w:tcPr>
            <w:tcW w:w="2670" w:type="pct"/>
            <w:shd w:val="clear" w:color="auto" w:fill="auto"/>
            <w:vAlign w:val="center"/>
          </w:tcPr>
          <w:p w14:paraId="1AD83DCE" w14:textId="77777777" w:rsidR="003919A1" w:rsidRPr="0009028A" w:rsidRDefault="003919A1" w:rsidP="00824760">
            <w:pPr>
              <w:spacing w:after="0" w:line="276" w:lineRule="auto"/>
              <w:jc w:val="both"/>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Ganancias usadas en el cálculo de ganancias por acción básicas</w:t>
            </w:r>
          </w:p>
        </w:tc>
        <w:tc>
          <w:tcPr>
            <w:tcW w:w="1259" w:type="pct"/>
            <w:shd w:val="clear" w:color="auto" w:fill="auto"/>
            <w:vAlign w:val="center"/>
          </w:tcPr>
          <w:p w14:paraId="74C7D1F0" w14:textId="77777777" w:rsidR="003919A1" w:rsidRPr="0009028A" w:rsidRDefault="00D04A6E" w:rsidP="00824760">
            <w:pPr>
              <w:spacing w:after="0" w:line="240" w:lineRule="auto"/>
              <w:jc w:val="right"/>
              <w:rPr>
                <w:rFonts w:ascii="Arial" w:hAnsi="Arial" w:cs="Arial"/>
                <w:color w:val="000000"/>
                <w:sz w:val="18"/>
                <w:szCs w:val="18"/>
              </w:rPr>
            </w:pPr>
            <w:r w:rsidRPr="0009028A">
              <w:rPr>
                <w:rFonts w:ascii="Arial" w:hAnsi="Arial" w:cs="Arial"/>
                <w:color w:val="000000"/>
                <w:sz w:val="18"/>
                <w:szCs w:val="18"/>
              </w:rPr>
              <w:t>25.810.575</w:t>
            </w:r>
          </w:p>
        </w:tc>
        <w:tc>
          <w:tcPr>
            <w:tcW w:w="1071" w:type="pct"/>
            <w:shd w:val="clear" w:color="auto" w:fill="auto"/>
            <w:vAlign w:val="center"/>
          </w:tcPr>
          <w:p w14:paraId="30CDD6AE" w14:textId="77777777" w:rsidR="003919A1" w:rsidRPr="0009028A" w:rsidRDefault="00D04A6E" w:rsidP="00824760">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20.144.556</w:t>
            </w:r>
          </w:p>
        </w:tc>
      </w:tr>
      <w:tr w:rsidR="003919A1" w:rsidRPr="0009028A" w14:paraId="1E9001B5" w14:textId="77777777" w:rsidTr="009F281E">
        <w:trPr>
          <w:trHeight w:val="246"/>
          <w:jc w:val="center"/>
        </w:trPr>
        <w:tc>
          <w:tcPr>
            <w:tcW w:w="2670" w:type="pct"/>
            <w:shd w:val="clear" w:color="auto" w:fill="auto"/>
            <w:vAlign w:val="center"/>
          </w:tcPr>
          <w:p w14:paraId="2F610166" w14:textId="77777777" w:rsidR="003919A1" w:rsidRPr="0009028A" w:rsidRDefault="003919A1" w:rsidP="00824760">
            <w:pPr>
              <w:spacing w:after="0" w:line="276" w:lineRule="auto"/>
              <w:jc w:val="both"/>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Ganancias usadas en el cálculo de ganancias por acción básicas provenientes de operaciones que continúan</w:t>
            </w:r>
          </w:p>
        </w:tc>
        <w:tc>
          <w:tcPr>
            <w:tcW w:w="1259" w:type="pct"/>
            <w:shd w:val="clear" w:color="auto" w:fill="auto"/>
            <w:vAlign w:val="center"/>
          </w:tcPr>
          <w:p w14:paraId="377F7C73" w14:textId="77777777" w:rsidR="003919A1" w:rsidRPr="0009028A" w:rsidRDefault="00D04A6E" w:rsidP="00824760">
            <w:pPr>
              <w:spacing w:after="0" w:line="240" w:lineRule="auto"/>
              <w:jc w:val="right"/>
              <w:rPr>
                <w:rFonts w:ascii="Arial" w:hAnsi="Arial" w:cs="Arial"/>
                <w:color w:val="000000"/>
                <w:sz w:val="18"/>
                <w:szCs w:val="18"/>
              </w:rPr>
            </w:pPr>
            <w:r w:rsidRPr="0009028A">
              <w:rPr>
                <w:rFonts w:ascii="Arial" w:hAnsi="Arial" w:cs="Arial"/>
                <w:color w:val="000000"/>
                <w:sz w:val="18"/>
                <w:szCs w:val="18"/>
              </w:rPr>
              <w:t>25.810.575</w:t>
            </w:r>
          </w:p>
        </w:tc>
        <w:tc>
          <w:tcPr>
            <w:tcW w:w="1071" w:type="pct"/>
            <w:shd w:val="clear" w:color="auto" w:fill="auto"/>
            <w:vAlign w:val="center"/>
          </w:tcPr>
          <w:p w14:paraId="30D60BD0" w14:textId="77777777" w:rsidR="003919A1" w:rsidRPr="0009028A" w:rsidRDefault="00D04A6E" w:rsidP="00824760">
            <w:pPr>
              <w:spacing w:after="0" w:line="240" w:lineRule="auto"/>
              <w:jc w:val="right"/>
              <w:rPr>
                <w:rFonts w:ascii="Arial" w:eastAsia="Times New Roman" w:hAnsi="Arial" w:cs="Arial"/>
                <w:b/>
                <w:bCs/>
                <w:color w:val="000000"/>
                <w:sz w:val="18"/>
                <w:szCs w:val="18"/>
                <w:lang w:eastAsia="es-CO"/>
              </w:rPr>
            </w:pPr>
            <w:r w:rsidRPr="0009028A">
              <w:rPr>
                <w:rFonts w:ascii="Arial" w:eastAsia="Times New Roman" w:hAnsi="Arial" w:cs="Arial"/>
                <w:color w:val="000000"/>
                <w:sz w:val="18"/>
                <w:szCs w:val="18"/>
                <w:lang w:eastAsia="es-CO"/>
              </w:rPr>
              <w:t>20.144.556</w:t>
            </w:r>
          </w:p>
        </w:tc>
      </w:tr>
      <w:tr w:rsidR="003919A1" w:rsidRPr="0009028A" w14:paraId="7F6F0E80" w14:textId="77777777" w:rsidTr="009F281E">
        <w:trPr>
          <w:trHeight w:val="246"/>
          <w:jc w:val="center"/>
        </w:trPr>
        <w:tc>
          <w:tcPr>
            <w:tcW w:w="2670" w:type="pct"/>
            <w:shd w:val="clear" w:color="auto" w:fill="auto"/>
            <w:vAlign w:val="center"/>
            <w:hideMark/>
          </w:tcPr>
          <w:p w14:paraId="159E39C0" w14:textId="77777777" w:rsidR="003919A1" w:rsidRPr="0009028A" w:rsidRDefault="003919A1" w:rsidP="0077750A">
            <w:pPr>
              <w:spacing w:after="0" w:line="276" w:lineRule="auto"/>
              <w:jc w:val="both"/>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Número promedio ponderado de acciones ordinarias para propósitos de las ganancias por acción básicas</w:t>
            </w:r>
          </w:p>
        </w:tc>
        <w:tc>
          <w:tcPr>
            <w:tcW w:w="1259" w:type="pct"/>
            <w:shd w:val="clear" w:color="auto" w:fill="auto"/>
            <w:vAlign w:val="center"/>
          </w:tcPr>
          <w:p w14:paraId="721A28AE" w14:textId="77777777" w:rsidR="003919A1" w:rsidRPr="0009028A" w:rsidRDefault="00D04A6E" w:rsidP="0077750A">
            <w:pPr>
              <w:spacing w:after="0" w:line="240" w:lineRule="auto"/>
              <w:jc w:val="right"/>
              <w:rPr>
                <w:rFonts w:ascii="Arial" w:eastAsia="Times New Roman" w:hAnsi="Arial" w:cs="Arial"/>
                <w:sz w:val="18"/>
                <w:szCs w:val="18"/>
                <w:lang w:eastAsia="es-CO"/>
              </w:rPr>
            </w:pPr>
            <w:r w:rsidRPr="0009028A">
              <w:rPr>
                <w:rFonts w:ascii="Arial" w:eastAsia="Times New Roman" w:hAnsi="Arial" w:cs="Arial"/>
                <w:sz w:val="18"/>
                <w:szCs w:val="18"/>
                <w:lang w:eastAsia="es-CO"/>
              </w:rPr>
              <w:t>196.046.822</w:t>
            </w:r>
          </w:p>
        </w:tc>
        <w:tc>
          <w:tcPr>
            <w:tcW w:w="1071" w:type="pct"/>
            <w:shd w:val="clear" w:color="auto" w:fill="auto"/>
            <w:vAlign w:val="center"/>
          </w:tcPr>
          <w:p w14:paraId="7097824F" w14:textId="77777777" w:rsidR="003919A1" w:rsidRPr="0009028A" w:rsidRDefault="00D04A6E" w:rsidP="0077750A">
            <w:pPr>
              <w:spacing w:after="0" w:line="240" w:lineRule="auto"/>
              <w:jc w:val="right"/>
              <w:rPr>
                <w:rFonts w:ascii="Arial" w:eastAsia="Times New Roman" w:hAnsi="Arial" w:cs="Arial"/>
                <w:sz w:val="18"/>
                <w:szCs w:val="18"/>
                <w:lang w:eastAsia="es-CO"/>
              </w:rPr>
            </w:pPr>
            <w:r w:rsidRPr="0009028A">
              <w:rPr>
                <w:rFonts w:ascii="Arial" w:eastAsia="Times New Roman" w:hAnsi="Arial" w:cs="Arial"/>
                <w:sz w:val="18"/>
                <w:szCs w:val="18"/>
                <w:lang w:eastAsia="es-CO"/>
              </w:rPr>
              <w:t>196.046.822</w:t>
            </w:r>
          </w:p>
        </w:tc>
      </w:tr>
    </w:tbl>
    <w:p w14:paraId="628C43CD" w14:textId="77777777" w:rsidR="008B5836" w:rsidRPr="0009028A" w:rsidRDefault="008B5836" w:rsidP="008B5836">
      <w:pPr>
        <w:spacing w:after="0" w:line="276" w:lineRule="auto"/>
        <w:rPr>
          <w:rFonts w:ascii="Arial" w:hAnsi="Arial" w:cs="Arial"/>
          <w:b/>
          <w:sz w:val="20"/>
          <w:szCs w:val="20"/>
        </w:rPr>
      </w:pPr>
    </w:p>
    <w:p w14:paraId="3A1200B1" w14:textId="3C959ED0" w:rsidR="008B5836" w:rsidRPr="0009028A" w:rsidRDefault="009A1E90" w:rsidP="006A52FA">
      <w:pPr>
        <w:pStyle w:val="Ttulo2"/>
        <w:spacing w:afterAutospacing="0"/>
        <w:rPr>
          <w:rFonts w:ascii="Arial" w:hAnsi="Arial" w:cs="Arial"/>
        </w:rPr>
      </w:pPr>
      <w:bookmarkStart w:id="352" w:name="_Toc506991960"/>
      <w:bookmarkStart w:id="353" w:name="_Toc8735124"/>
      <w:bookmarkStart w:id="354" w:name="_Hlk506981606"/>
      <w:r w:rsidRPr="0009028A">
        <w:rPr>
          <w:rFonts w:ascii="Arial" w:hAnsi="Arial" w:cs="Arial"/>
        </w:rPr>
        <w:t>2</w:t>
      </w:r>
      <w:r w:rsidR="00964E83">
        <w:rPr>
          <w:rFonts w:ascii="Arial" w:hAnsi="Arial" w:cs="Arial"/>
        </w:rPr>
        <w:t>4</w:t>
      </w:r>
      <w:r w:rsidR="008B5836" w:rsidRPr="0009028A">
        <w:rPr>
          <w:rFonts w:ascii="Arial" w:hAnsi="Arial" w:cs="Arial"/>
        </w:rPr>
        <w:t>.2 Ganancias por acción diluida</w:t>
      </w:r>
      <w:bookmarkEnd w:id="352"/>
      <w:bookmarkEnd w:id="353"/>
      <w:r w:rsidR="008B5836" w:rsidRPr="0009028A">
        <w:rPr>
          <w:rFonts w:ascii="Arial" w:hAnsi="Arial" w:cs="Arial"/>
        </w:rPr>
        <w:t xml:space="preserve"> </w:t>
      </w:r>
    </w:p>
    <w:bookmarkEnd w:id="354"/>
    <w:p w14:paraId="5FB14B62" w14:textId="77777777" w:rsidR="008B5836" w:rsidRPr="0009028A" w:rsidRDefault="008B5836" w:rsidP="008B5836">
      <w:pPr>
        <w:spacing w:after="0" w:line="276" w:lineRule="auto"/>
        <w:rPr>
          <w:rFonts w:ascii="Arial" w:hAnsi="Arial" w:cs="Arial"/>
          <w:sz w:val="20"/>
          <w:szCs w:val="20"/>
        </w:rPr>
      </w:pPr>
    </w:p>
    <w:p w14:paraId="2FA5DA93" w14:textId="77777777" w:rsidR="008B5836" w:rsidRPr="0009028A" w:rsidRDefault="008B5836" w:rsidP="008B5836">
      <w:pPr>
        <w:spacing w:after="0" w:line="276" w:lineRule="auto"/>
        <w:jc w:val="both"/>
        <w:rPr>
          <w:rFonts w:ascii="Arial" w:hAnsi="Arial" w:cs="Arial"/>
          <w:sz w:val="20"/>
          <w:szCs w:val="20"/>
        </w:rPr>
      </w:pPr>
      <w:r w:rsidRPr="0009028A">
        <w:rPr>
          <w:rFonts w:ascii="Arial" w:hAnsi="Arial" w:cs="Arial"/>
          <w:sz w:val="20"/>
          <w:szCs w:val="20"/>
        </w:rPr>
        <w:t>Las ganancias utilizadas en el cálculo de las ganancias por acción diluidas son las siguientes:</w:t>
      </w:r>
    </w:p>
    <w:tbl>
      <w:tblPr>
        <w:tblW w:w="5000" w:type="pct"/>
        <w:jc w:val="center"/>
        <w:tblCellMar>
          <w:left w:w="70" w:type="dxa"/>
          <w:right w:w="70" w:type="dxa"/>
        </w:tblCellMar>
        <w:tblLook w:val="04A0" w:firstRow="1" w:lastRow="0" w:firstColumn="1" w:lastColumn="0" w:noHBand="0" w:noVBand="1"/>
      </w:tblPr>
      <w:tblGrid>
        <w:gridCol w:w="5298"/>
        <w:gridCol w:w="2498"/>
        <w:gridCol w:w="2125"/>
      </w:tblGrid>
      <w:tr w:rsidR="003919A1" w:rsidRPr="0009028A" w14:paraId="5CFE013F" w14:textId="77777777" w:rsidTr="009F281E">
        <w:trPr>
          <w:trHeight w:val="246"/>
          <w:jc w:val="center"/>
        </w:trPr>
        <w:tc>
          <w:tcPr>
            <w:tcW w:w="2670" w:type="pct"/>
            <w:shd w:val="clear" w:color="auto" w:fill="auto"/>
            <w:vAlign w:val="center"/>
          </w:tcPr>
          <w:p w14:paraId="23D97424" w14:textId="77777777" w:rsidR="003919A1" w:rsidRPr="0009028A" w:rsidRDefault="003919A1" w:rsidP="00AE7B82">
            <w:pPr>
              <w:spacing w:after="0" w:line="240" w:lineRule="auto"/>
              <w:rPr>
                <w:rFonts w:ascii="Arial" w:eastAsia="Times New Roman" w:hAnsi="Arial" w:cs="Arial"/>
                <w:color w:val="000000"/>
                <w:lang w:eastAsia="es-CO"/>
              </w:rPr>
            </w:pPr>
          </w:p>
        </w:tc>
        <w:tc>
          <w:tcPr>
            <w:tcW w:w="2330" w:type="pct"/>
            <w:gridSpan w:val="2"/>
            <w:shd w:val="clear" w:color="auto" w:fill="auto"/>
            <w:vAlign w:val="center"/>
          </w:tcPr>
          <w:p w14:paraId="68493EE0" w14:textId="77777777" w:rsidR="003919A1" w:rsidRPr="0009028A" w:rsidRDefault="003919A1" w:rsidP="00AE7B82">
            <w:pPr>
              <w:spacing w:after="0" w:line="240" w:lineRule="auto"/>
              <w:jc w:val="center"/>
              <w:rPr>
                <w:rFonts w:ascii="Arial" w:eastAsia="Times New Roman" w:hAnsi="Arial" w:cs="Arial"/>
                <w:b/>
                <w:bCs/>
                <w:sz w:val="18"/>
                <w:szCs w:val="18"/>
                <w:lang w:eastAsia="es-CO"/>
              </w:rPr>
            </w:pPr>
          </w:p>
        </w:tc>
      </w:tr>
      <w:tr w:rsidR="009F281E" w:rsidRPr="0009028A" w14:paraId="2C876691" w14:textId="77777777" w:rsidTr="001E447C">
        <w:trPr>
          <w:trHeight w:val="89"/>
          <w:jc w:val="center"/>
        </w:trPr>
        <w:tc>
          <w:tcPr>
            <w:tcW w:w="2670" w:type="pct"/>
            <w:shd w:val="clear" w:color="auto" w:fill="auto"/>
            <w:vAlign w:val="center"/>
            <w:hideMark/>
          </w:tcPr>
          <w:p w14:paraId="1782C0FB" w14:textId="1728CB9B" w:rsidR="009F281E" w:rsidRPr="0009028A" w:rsidRDefault="009F281E" w:rsidP="001E447C">
            <w:pPr>
              <w:spacing w:after="0" w:line="240" w:lineRule="auto"/>
              <w:jc w:val="center"/>
              <w:rPr>
                <w:rFonts w:ascii="Arial" w:eastAsia="Times New Roman" w:hAnsi="Arial" w:cs="Arial"/>
                <w:color w:val="000000"/>
                <w:lang w:eastAsia="es-CO"/>
              </w:rPr>
            </w:pPr>
          </w:p>
        </w:tc>
        <w:tc>
          <w:tcPr>
            <w:tcW w:w="1259" w:type="pct"/>
            <w:shd w:val="clear" w:color="auto" w:fill="auto"/>
            <w:vAlign w:val="center"/>
            <w:hideMark/>
          </w:tcPr>
          <w:p w14:paraId="0E3210AA" w14:textId="77777777" w:rsidR="009F281E" w:rsidRPr="0009028A" w:rsidRDefault="009F281E" w:rsidP="001E447C">
            <w:pPr>
              <w:spacing w:after="0" w:line="240" w:lineRule="auto"/>
              <w:jc w:val="center"/>
              <w:rPr>
                <w:rFonts w:ascii="Arial" w:eastAsia="Times New Roman" w:hAnsi="Arial" w:cs="Arial"/>
                <w:b/>
                <w:bCs/>
                <w:sz w:val="18"/>
                <w:szCs w:val="18"/>
                <w:lang w:eastAsia="es-CO"/>
              </w:rPr>
            </w:pPr>
            <w:r w:rsidRPr="0009028A">
              <w:rPr>
                <w:rFonts w:ascii="Arial" w:eastAsia="Times New Roman" w:hAnsi="Arial" w:cs="Arial"/>
                <w:b/>
                <w:bCs/>
                <w:color w:val="103475"/>
                <w:sz w:val="18"/>
                <w:szCs w:val="18"/>
                <w:lang w:val="es-ES" w:eastAsia="es-ES"/>
              </w:rPr>
              <w:t>2019</w:t>
            </w:r>
          </w:p>
        </w:tc>
        <w:tc>
          <w:tcPr>
            <w:tcW w:w="1071" w:type="pct"/>
            <w:shd w:val="clear" w:color="auto" w:fill="auto"/>
            <w:vAlign w:val="center"/>
          </w:tcPr>
          <w:p w14:paraId="31B5F511" w14:textId="77777777" w:rsidR="009F281E" w:rsidRPr="0009028A" w:rsidRDefault="009F281E" w:rsidP="001E447C">
            <w:pPr>
              <w:spacing w:after="0" w:line="240" w:lineRule="auto"/>
              <w:jc w:val="center"/>
              <w:rPr>
                <w:rFonts w:ascii="Arial" w:eastAsia="Times New Roman" w:hAnsi="Arial" w:cs="Arial"/>
                <w:b/>
                <w:bCs/>
                <w:sz w:val="18"/>
                <w:szCs w:val="18"/>
                <w:lang w:eastAsia="es-CO"/>
              </w:rPr>
            </w:pPr>
            <w:r w:rsidRPr="0009028A">
              <w:rPr>
                <w:rFonts w:ascii="Arial" w:eastAsia="Times New Roman" w:hAnsi="Arial" w:cs="Arial"/>
                <w:b/>
                <w:bCs/>
                <w:color w:val="103475"/>
                <w:sz w:val="18"/>
                <w:szCs w:val="18"/>
                <w:lang w:val="es-ES" w:eastAsia="es-ES"/>
              </w:rPr>
              <w:t>2018</w:t>
            </w:r>
          </w:p>
        </w:tc>
      </w:tr>
      <w:tr w:rsidR="003919A1" w:rsidRPr="0009028A" w14:paraId="100CF8C1" w14:textId="77777777" w:rsidTr="009F281E">
        <w:trPr>
          <w:trHeight w:val="246"/>
          <w:jc w:val="center"/>
        </w:trPr>
        <w:tc>
          <w:tcPr>
            <w:tcW w:w="2670" w:type="pct"/>
            <w:shd w:val="clear" w:color="auto" w:fill="auto"/>
            <w:vAlign w:val="bottom"/>
            <w:hideMark/>
          </w:tcPr>
          <w:p w14:paraId="617696E6" w14:textId="77777777" w:rsidR="003919A1" w:rsidRPr="0009028A" w:rsidRDefault="003919A1" w:rsidP="00824760">
            <w:pPr>
              <w:spacing w:after="0" w:line="276"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Ganancias usadas en el cálculo de las ganancias por acción básicas totales</w:t>
            </w:r>
          </w:p>
        </w:tc>
        <w:tc>
          <w:tcPr>
            <w:tcW w:w="1259" w:type="pct"/>
            <w:shd w:val="clear" w:color="auto" w:fill="auto"/>
            <w:vAlign w:val="center"/>
            <w:hideMark/>
          </w:tcPr>
          <w:p w14:paraId="1D87E7AC" w14:textId="77777777" w:rsidR="003919A1" w:rsidRPr="0009028A" w:rsidRDefault="00D04A6E" w:rsidP="00824760">
            <w:pPr>
              <w:spacing w:after="0" w:line="240" w:lineRule="auto"/>
              <w:jc w:val="right"/>
              <w:rPr>
                <w:rFonts w:ascii="Arial" w:hAnsi="Arial" w:cs="Arial"/>
                <w:color w:val="000000"/>
                <w:sz w:val="18"/>
                <w:szCs w:val="18"/>
              </w:rPr>
            </w:pPr>
            <w:r w:rsidRPr="0009028A">
              <w:rPr>
                <w:rFonts w:ascii="Arial" w:hAnsi="Arial" w:cs="Arial"/>
                <w:color w:val="000000"/>
                <w:sz w:val="18"/>
                <w:szCs w:val="18"/>
              </w:rPr>
              <w:t>25.810.575</w:t>
            </w:r>
          </w:p>
        </w:tc>
        <w:tc>
          <w:tcPr>
            <w:tcW w:w="1071" w:type="pct"/>
            <w:shd w:val="clear" w:color="auto" w:fill="auto"/>
            <w:vAlign w:val="center"/>
          </w:tcPr>
          <w:p w14:paraId="01CF7D77" w14:textId="77777777" w:rsidR="003919A1" w:rsidRPr="0009028A" w:rsidRDefault="00D04A6E" w:rsidP="00824760">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20.144.556</w:t>
            </w:r>
          </w:p>
        </w:tc>
      </w:tr>
      <w:tr w:rsidR="003919A1" w:rsidRPr="0009028A" w14:paraId="26C58797" w14:textId="77777777" w:rsidTr="009F281E">
        <w:trPr>
          <w:trHeight w:val="246"/>
          <w:jc w:val="center"/>
        </w:trPr>
        <w:tc>
          <w:tcPr>
            <w:tcW w:w="2670" w:type="pct"/>
            <w:shd w:val="clear" w:color="auto" w:fill="auto"/>
            <w:vAlign w:val="bottom"/>
          </w:tcPr>
          <w:p w14:paraId="5CAFB245" w14:textId="77777777" w:rsidR="003919A1" w:rsidRPr="0009028A" w:rsidRDefault="003919A1" w:rsidP="00824760">
            <w:pPr>
              <w:spacing w:after="0" w:line="276"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Ganancias usadas en el cálculo de ganancias por acción diluidas</w:t>
            </w:r>
          </w:p>
        </w:tc>
        <w:tc>
          <w:tcPr>
            <w:tcW w:w="1259" w:type="pct"/>
            <w:shd w:val="clear" w:color="auto" w:fill="auto"/>
            <w:vAlign w:val="center"/>
          </w:tcPr>
          <w:p w14:paraId="5B56EDB6" w14:textId="77777777" w:rsidR="003919A1" w:rsidRPr="0009028A" w:rsidRDefault="00D04A6E" w:rsidP="00824760">
            <w:pPr>
              <w:spacing w:after="0" w:line="240" w:lineRule="auto"/>
              <w:jc w:val="right"/>
              <w:rPr>
                <w:rFonts w:ascii="Arial" w:hAnsi="Arial" w:cs="Arial"/>
                <w:color w:val="000000"/>
                <w:sz w:val="18"/>
                <w:szCs w:val="18"/>
              </w:rPr>
            </w:pPr>
            <w:r w:rsidRPr="0009028A">
              <w:rPr>
                <w:rFonts w:ascii="Arial" w:hAnsi="Arial" w:cs="Arial"/>
                <w:color w:val="000000"/>
                <w:sz w:val="18"/>
                <w:szCs w:val="18"/>
              </w:rPr>
              <w:t>25.810.575</w:t>
            </w:r>
          </w:p>
        </w:tc>
        <w:tc>
          <w:tcPr>
            <w:tcW w:w="1071" w:type="pct"/>
            <w:shd w:val="clear" w:color="auto" w:fill="auto"/>
            <w:vAlign w:val="center"/>
          </w:tcPr>
          <w:p w14:paraId="30EA477E" w14:textId="77777777" w:rsidR="003919A1" w:rsidRPr="0009028A" w:rsidRDefault="00D04A6E" w:rsidP="00824760">
            <w:pPr>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20.144.556</w:t>
            </w:r>
          </w:p>
        </w:tc>
      </w:tr>
      <w:tr w:rsidR="003919A1" w:rsidRPr="0009028A" w14:paraId="710B66AC" w14:textId="77777777" w:rsidTr="009F281E">
        <w:trPr>
          <w:trHeight w:val="246"/>
          <w:jc w:val="center"/>
        </w:trPr>
        <w:tc>
          <w:tcPr>
            <w:tcW w:w="2670" w:type="pct"/>
            <w:shd w:val="clear" w:color="auto" w:fill="auto"/>
            <w:vAlign w:val="bottom"/>
            <w:hideMark/>
          </w:tcPr>
          <w:p w14:paraId="02EF6508" w14:textId="77777777" w:rsidR="003919A1" w:rsidRPr="0009028A" w:rsidRDefault="003919A1" w:rsidP="00824760">
            <w:pPr>
              <w:spacing w:after="0" w:line="276"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Ganancias usadas en el cálculo de ganancias por acción diluidas provenientes de operaciones que continúan</w:t>
            </w:r>
          </w:p>
        </w:tc>
        <w:tc>
          <w:tcPr>
            <w:tcW w:w="1259" w:type="pct"/>
            <w:shd w:val="clear" w:color="auto" w:fill="auto"/>
            <w:vAlign w:val="center"/>
            <w:hideMark/>
          </w:tcPr>
          <w:p w14:paraId="350387B9" w14:textId="77777777" w:rsidR="003919A1" w:rsidRPr="0009028A" w:rsidRDefault="00D04A6E" w:rsidP="00824760">
            <w:pPr>
              <w:spacing w:after="0" w:line="240" w:lineRule="auto"/>
              <w:jc w:val="right"/>
              <w:rPr>
                <w:rFonts w:ascii="Arial" w:hAnsi="Arial" w:cs="Arial"/>
                <w:color w:val="000000"/>
                <w:sz w:val="18"/>
                <w:szCs w:val="18"/>
              </w:rPr>
            </w:pPr>
            <w:r w:rsidRPr="0009028A">
              <w:rPr>
                <w:rFonts w:ascii="Arial" w:hAnsi="Arial" w:cs="Arial"/>
                <w:color w:val="000000"/>
                <w:sz w:val="18"/>
                <w:szCs w:val="18"/>
              </w:rPr>
              <w:t>25.810.575</w:t>
            </w:r>
          </w:p>
        </w:tc>
        <w:tc>
          <w:tcPr>
            <w:tcW w:w="1071" w:type="pct"/>
            <w:shd w:val="clear" w:color="auto" w:fill="auto"/>
            <w:vAlign w:val="center"/>
          </w:tcPr>
          <w:p w14:paraId="637A974E" w14:textId="77777777" w:rsidR="003919A1" w:rsidRPr="0009028A" w:rsidRDefault="00D04A6E" w:rsidP="00824760">
            <w:pPr>
              <w:spacing w:after="0" w:line="240" w:lineRule="auto"/>
              <w:jc w:val="right"/>
              <w:rPr>
                <w:rFonts w:ascii="Arial" w:eastAsia="Times New Roman" w:hAnsi="Arial" w:cs="Arial"/>
                <w:b/>
                <w:bCs/>
                <w:color w:val="000000"/>
                <w:sz w:val="18"/>
                <w:szCs w:val="18"/>
                <w:lang w:eastAsia="es-CO"/>
              </w:rPr>
            </w:pPr>
            <w:r w:rsidRPr="0009028A">
              <w:rPr>
                <w:rFonts w:ascii="Arial" w:eastAsia="Times New Roman" w:hAnsi="Arial" w:cs="Arial"/>
                <w:color w:val="000000"/>
                <w:sz w:val="18"/>
                <w:szCs w:val="18"/>
                <w:lang w:eastAsia="es-CO"/>
              </w:rPr>
              <w:t>20.144.556</w:t>
            </w:r>
          </w:p>
        </w:tc>
      </w:tr>
    </w:tbl>
    <w:p w14:paraId="5D6EBE6E" w14:textId="77777777" w:rsidR="008B5836" w:rsidRPr="0009028A" w:rsidRDefault="008B5836" w:rsidP="008B5836">
      <w:pPr>
        <w:spacing w:after="0" w:line="276" w:lineRule="auto"/>
        <w:rPr>
          <w:rFonts w:ascii="Arial" w:hAnsi="Arial" w:cs="Arial"/>
          <w:sz w:val="20"/>
          <w:szCs w:val="20"/>
        </w:rPr>
      </w:pPr>
    </w:p>
    <w:p w14:paraId="7C8C7C2A" w14:textId="77777777" w:rsidR="008B5836" w:rsidRPr="0009028A" w:rsidRDefault="008B5836" w:rsidP="008B5836">
      <w:pPr>
        <w:spacing w:after="0" w:line="276" w:lineRule="auto"/>
        <w:rPr>
          <w:rFonts w:ascii="Arial" w:hAnsi="Arial" w:cs="Arial"/>
          <w:sz w:val="20"/>
          <w:szCs w:val="20"/>
        </w:rPr>
      </w:pPr>
    </w:p>
    <w:p w14:paraId="34846147" w14:textId="77777777" w:rsidR="008B5836" w:rsidRPr="0009028A" w:rsidRDefault="008B5836" w:rsidP="008B5836">
      <w:pPr>
        <w:spacing w:after="0" w:line="276" w:lineRule="auto"/>
        <w:jc w:val="both"/>
        <w:rPr>
          <w:rFonts w:ascii="Arial" w:hAnsi="Arial" w:cs="Arial"/>
          <w:sz w:val="20"/>
          <w:szCs w:val="20"/>
        </w:rPr>
      </w:pPr>
      <w:r w:rsidRPr="0009028A">
        <w:rPr>
          <w:rFonts w:ascii="Arial" w:hAnsi="Arial" w:cs="Arial"/>
          <w:sz w:val="20"/>
          <w:szCs w:val="20"/>
        </w:rPr>
        <w:t>El número promedio ponderado de acciones ordinarias para propósitos de las ganancias por acción diluidas se concilian con el número promedio ponderado de acciones ordinarias usadas en el cálculo de las ganancias por acción básicas de la siguiente manera:</w:t>
      </w:r>
    </w:p>
    <w:tbl>
      <w:tblPr>
        <w:tblW w:w="5000" w:type="pct"/>
        <w:jc w:val="center"/>
        <w:tblCellMar>
          <w:left w:w="70" w:type="dxa"/>
          <w:right w:w="70" w:type="dxa"/>
        </w:tblCellMar>
        <w:tblLook w:val="04A0" w:firstRow="1" w:lastRow="0" w:firstColumn="1" w:lastColumn="0" w:noHBand="0" w:noVBand="1"/>
      </w:tblPr>
      <w:tblGrid>
        <w:gridCol w:w="5298"/>
        <w:gridCol w:w="2498"/>
        <w:gridCol w:w="2125"/>
      </w:tblGrid>
      <w:tr w:rsidR="003919A1" w:rsidRPr="0009028A" w14:paraId="6BF2FF3F" w14:textId="77777777" w:rsidTr="009F281E">
        <w:trPr>
          <w:trHeight w:val="246"/>
          <w:jc w:val="center"/>
        </w:trPr>
        <w:tc>
          <w:tcPr>
            <w:tcW w:w="2670" w:type="pct"/>
            <w:shd w:val="clear" w:color="auto" w:fill="auto"/>
            <w:vAlign w:val="center"/>
          </w:tcPr>
          <w:p w14:paraId="5594AABF" w14:textId="77777777" w:rsidR="003919A1" w:rsidRPr="0009028A" w:rsidRDefault="003919A1" w:rsidP="00AE7B82">
            <w:pPr>
              <w:spacing w:after="0" w:line="240" w:lineRule="auto"/>
              <w:rPr>
                <w:rFonts w:ascii="Arial" w:eastAsia="Times New Roman" w:hAnsi="Arial" w:cs="Arial"/>
                <w:color w:val="000000"/>
                <w:lang w:eastAsia="es-CO"/>
              </w:rPr>
            </w:pPr>
          </w:p>
        </w:tc>
        <w:tc>
          <w:tcPr>
            <w:tcW w:w="2330" w:type="pct"/>
            <w:gridSpan w:val="2"/>
            <w:shd w:val="clear" w:color="auto" w:fill="auto"/>
            <w:vAlign w:val="center"/>
          </w:tcPr>
          <w:p w14:paraId="436745F1" w14:textId="77777777" w:rsidR="003919A1" w:rsidRPr="0009028A" w:rsidRDefault="003919A1" w:rsidP="00AE7B82">
            <w:pPr>
              <w:spacing w:after="0" w:line="240" w:lineRule="auto"/>
              <w:jc w:val="center"/>
              <w:rPr>
                <w:rFonts w:ascii="Arial" w:eastAsia="Times New Roman" w:hAnsi="Arial" w:cs="Arial"/>
                <w:b/>
                <w:bCs/>
                <w:sz w:val="18"/>
                <w:szCs w:val="18"/>
                <w:lang w:eastAsia="es-CO"/>
              </w:rPr>
            </w:pPr>
          </w:p>
        </w:tc>
      </w:tr>
      <w:tr w:rsidR="009F281E" w:rsidRPr="0009028A" w14:paraId="7FF7C151" w14:textId="77777777" w:rsidTr="009F281E">
        <w:trPr>
          <w:trHeight w:val="89"/>
          <w:jc w:val="center"/>
        </w:trPr>
        <w:tc>
          <w:tcPr>
            <w:tcW w:w="2670" w:type="pct"/>
            <w:shd w:val="clear" w:color="auto" w:fill="auto"/>
            <w:vAlign w:val="center"/>
            <w:hideMark/>
          </w:tcPr>
          <w:p w14:paraId="643705C7" w14:textId="77777777" w:rsidR="009F281E" w:rsidRPr="0009028A" w:rsidRDefault="009F281E" w:rsidP="009F281E">
            <w:pPr>
              <w:spacing w:after="0" w:line="240" w:lineRule="auto"/>
              <w:rPr>
                <w:rFonts w:ascii="Arial" w:eastAsia="Times New Roman" w:hAnsi="Arial" w:cs="Arial"/>
                <w:color w:val="000000"/>
                <w:lang w:eastAsia="es-CO"/>
              </w:rPr>
            </w:pPr>
            <w:r w:rsidRPr="0009028A">
              <w:rPr>
                <w:rFonts w:ascii="Arial" w:eastAsia="Times New Roman" w:hAnsi="Arial" w:cs="Arial"/>
                <w:color w:val="000000"/>
                <w:lang w:eastAsia="es-CO"/>
              </w:rPr>
              <w:t> </w:t>
            </w:r>
          </w:p>
        </w:tc>
        <w:tc>
          <w:tcPr>
            <w:tcW w:w="1259" w:type="pct"/>
            <w:shd w:val="clear" w:color="auto" w:fill="auto"/>
            <w:vAlign w:val="center"/>
            <w:hideMark/>
          </w:tcPr>
          <w:p w14:paraId="2DE580BB" w14:textId="77777777" w:rsidR="009F281E" w:rsidRPr="0009028A" w:rsidRDefault="009F281E" w:rsidP="00F01816">
            <w:pPr>
              <w:spacing w:after="0" w:line="240" w:lineRule="auto"/>
              <w:jc w:val="right"/>
              <w:rPr>
                <w:rFonts w:ascii="Arial" w:eastAsia="Times New Roman" w:hAnsi="Arial" w:cs="Arial"/>
                <w:b/>
                <w:bCs/>
                <w:sz w:val="18"/>
                <w:szCs w:val="18"/>
                <w:lang w:eastAsia="es-CO"/>
              </w:rPr>
            </w:pPr>
            <w:r w:rsidRPr="0009028A">
              <w:rPr>
                <w:rFonts w:ascii="Arial" w:eastAsia="Times New Roman" w:hAnsi="Arial" w:cs="Arial"/>
                <w:b/>
                <w:bCs/>
                <w:color w:val="103475"/>
                <w:sz w:val="18"/>
                <w:szCs w:val="18"/>
                <w:lang w:val="es-ES" w:eastAsia="es-ES"/>
              </w:rPr>
              <w:t>2019</w:t>
            </w:r>
          </w:p>
        </w:tc>
        <w:tc>
          <w:tcPr>
            <w:tcW w:w="1071" w:type="pct"/>
            <w:shd w:val="clear" w:color="auto" w:fill="auto"/>
            <w:vAlign w:val="center"/>
          </w:tcPr>
          <w:p w14:paraId="58884CD1" w14:textId="77777777" w:rsidR="009F281E" w:rsidRPr="0009028A" w:rsidRDefault="009F281E" w:rsidP="00F01816">
            <w:pPr>
              <w:spacing w:after="0" w:line="240" w:lineRule="auto"/>
              <w:jc w:val="right"/>
              <w:rPr>
                <w:rFonts w:ascii="Arial" w:eastAsia="Times New Roman" w:hAnsi="Arial" w:cs="Arial"/>
                <w:b/>
                <w:bCs/>
                <w:sz w:val="18"/>
                <w:szCs w:val="18"/>
                <w:lang w:eastAsia="es-CO"/>
              </w:rPr>
            </w:pPr>
            <w:r w:rsidRPr="0009028A">
              <w:rPr>
                <w:rFonts w:ascii="Arial" w:eastAsia="Times New Roman" w:hAnsi="Arial" w:cs="Arial"/>
                <w:b/>
                <w:bCs/>
                <w:color w:val="103475"/>
                <w:sz w:val="18"/>
                <w:szCs w:val="18"/>
                <w:lang w:val="es-ES" w:eastAsia="es-ES"/>
              </w:rPr>
              <w:t>2018</w:t>
            </w:r>
          </w:p>
        </w:tc>
      </w:tr>
      <w:tr w:rsidR="003919A1" w:rsidRPr="0009028A" w14:paraId="4B75E7FB" w14:textId="77777777" w:rsidTr="009F281E">
        <w:trPr>
          <w:trHeight w:val="246"/>
          <w:jc w:val="center"/>
        </w:trPr>
        <w:tc>
          <w:tcPr>
            <w:tcW w:w="2670" w:type="pct"/>
            <w:shd w:val="clear" w:color="auto" w:fill="auto"/>
            <w:vAlign w:val="bottom"/>
            <w:hideMark/>
          </w:tcPr>
          <w:p w14:paraId="5EC046FF" w14:textId="77777777" w:rsidR="003919A1" w:rsidRPr="0009028A" w:rsidRDefault="003919A1" w:rsidP="00C440B6">
            <w:pPr>
              <w:spacing w:after="0" w:line="276"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Número promedio ponderado de acciones ordinarias usadas en el cálculo de las ganancias por acción básicas</w:t>
            </w:r>
          </w:p>
        </w:tc>
        <w:tc>
          <w:tcPr>
            <w:tcW w:w="1259" w:type="pct"/>
            <w:shd w:val="clear" w:color="auto" w:fill="auto"/>
            <w:vAlign w:val="center"/>
            <w:hideMark/>
          </w:tcPr>
          <w:p w14:paraId="1170872C" w14:textId="77777777" w:rsidR="003919A1" w:rsidRPr="0009028A" w:rsidRDefault="00D04A6E" w:rsidP="00C440B6">
            <w:pPr>
              <w:spacing w:after="0" w:line="240" w:lineRule="auto"/>
              <w:jc w:val="right"/>
              <w:rPr>
                <w:rFonts w:ascii="Arial" w:eastAsia="Times New Roman" w:hAnsi="Arial" w:cs="Arial"/>
                <w:sz w:val="18"/>
                <w:szCs w:val="18"/>
                <w:lang w:eastAsia="es-CO"/>
              </w:rPr>
            </w:pPr>
            <w:r w:rsidRPr="0009028A">
              <w:rPr>
                <w:rFonts w:ascii="Arial" w:eastAsia="Times New Roman" w:hAnsi="Arial" w:cs="Arial"/>
                <w:sz w:val="18"/>
                <w:szCs w:val="18"/>
                <w:lang w:eastAsia="es-CO"/>
              </w:rPr>
              <w:t>196.046.822</w:t>
            </w:r>
          </w:p>
        </w:tc>
        <w:tc>
          <w:tcPr>
            <w:tcW w:w="1071" w:type="pct"/>
            <w:shd w:val="clear" w:color="auto" w:fill="auto"/>
            <w:vAlign w:val="center"/>
          </w:tcPr>
          <w:p w14:paraId="24FE50FE" w14:textId="77777777" w:rsidR="003919A1" w:rsidRPr="0009028A" w:rsidRDefault="00D04A6E" w:rsidP="00C440B6">
            <w:pPr>
              <w:spacing w:after="0" w:line="240" w:lineRule="auto"/>
              <w:jc w:val="right"/>
              <w:rPr>
                <w:rFonts w:ascii="Arial" w:eastAsia="Times New Roman" w:hAnsi="Arial" w:cs="Arial"/>
                <w:sz w:val="18"/>
                <w:szCs w:val="18"/>
                <w:lang w:eastAsia="es-CO"/>
              </w:rPr>
            </w:pPr>
            <w:r w:rsidRPr="0009028A">
              <w:rPr>
                <w:rFonts w:ascii="Arial" w:eastAsia="Times New Roman" w:hAnsi="Arial" w:cs="Arial"/>
                <w:sz w:val="18"/>
                <w:szCs w:val="18"/>
                <w:lang w:eastAsia="es-CO"/>
              </w:rPr>
              <w:t>196.046.822</w:t>
            </w:r>
          </w:p>
        </w:tc>
      </w:tr>
      <w:tr w:rsidR="003919A1" w:rsidRPr="0009028A" w14:paraId="795B9413" w14:textId="77777777" w:rsidTr="009F281E">
        <w:trPr>
          <w:trHeight w:val="246"/>
          <w:jc w:val="center"/>
        </w:trPr>
        <w:tc>
          <w:tcPr>
            <w:tcW w:w="2670" w:type="pct"/>
            <w:shd w:val="clear" w:color="auto" w:fill="auto"/>
            <w:vAlign w:val="bottom"/>
            <w:hideMark/>
          </w:tcPr>
          <w:p w14:paraId="05515B82" w14:textId="77777777" w:rsidR="003919A1" w:rsidRPr="0009028A" w:rsidRDefault="003919A1" w:rsidP="00C440B6">
            <w:pPr>
              <w:spacing w:after="0" w:line="276"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Número promedio ponderado de acciones ordinarias usadas en el cálculo de ganancia por acción diluida</w:t>
            </w:r>
          </w:p>
        </w:tc>
        <w:tc>
          <w:tcPr>
            <w:tcW w:w="1259" w:type="pct"/>
            <w:shd w:val="clear" w:color="auto" w:fill="auto"/>
            <w:vAlign w:val="center"/>
            <w:hideMark/>
          </w:tcPr>
          <w:p w14:paraId="1D303D1B" w14:textId="77777777" w:rsidR="003919A1" w:rsidRPr="0009028A" w:rsidRDefault="00D04A6E" w:rsidP="00C440B6">
            <w:pPr>
              <w:spacing w:after="0" w:line="240" w:lineRule="auto"/>
              <w:jc w:val="right"/>
              <w:rPr>
                <w:rFonts w:ascii="Arial" w:eastAsia="Times New Roman" w:hAnsi="Arial" w:cs="Arial"/>
                <w:sz w:val="18"/>
                <w:szCs w:val="18"/>
                <w:lang w:eastAsia="es-CO"/>
              </w:rPr>
            </w:pPr>
            <w:r w:rsidRPr="0009028A">
              <w:rPr>
                <w:rFonts w:ascii="Arial" w:eastAsia="Times New Roman" w:hAnsi="Arial" w:cs="Arial"/>
                <w:sz w:val="18"/>
                <w:szCs w:val="18"/>
                <w:lang w:eastAsia="es-CO"/>
              </w:rPr>
              <w:t>196.046.822</w:t>
            </w:r>
          </w:p>
        </w:tc>
        <w:tc>
          <w:tcPr>
            <w:tcW w:w="1071" w:type="pct"/>
            <w:shd w:val="clear" w:color="auto" w:fill="auto"/>
            <w:vAlign w:val="center"/>
          </w:tcPr>
          <w:p w14:paraId="5EA4F518" w14:textId="77777777" w:rsidR="003919A1" w:rsidRPr="0009028A" w:rsidRDefault="00D04A6E" w:rsidP="00C440B6">
            <w:pPr>
              <w:spacing w:after="0" w:line="240" w:lineRule="auto"/>
              <w:jc w:val="right"/>
              <w:rPr>
                <w:rFonts w:ascii="Arial" w:eastAsia="Times New Roman" w:hAnsi="Arial" w:cs="Arial"/>
                <w:sz w:val="18"/>
                <w:szCs w:val="18"/>
                <w:lang w:eastAsia="es-CO"/>
              </w:rPr>
            </w:pPr>
            <w:r w:rsidRPr="0009028A">
              <w:rPr>
                <w:rFonts w:ascii="Arial" w:eastAsia="Times New Roman" w:hAnsi="Arial" w:cs="Arial"/>
                <w:sz w:val="18"/>
                <w:szCs w:val="18"/>
                <w:lang w:eastAsia="es-CO"/>
              </w:rPr>
              <w:t>196.046.822</w:t>
            </w:r>
          </w:p>
        </w:tc>
      </w:tr>
      <w:bookmarkEnd w:id="348"/>
    </w:tbl>
    <w:p w14:paraId="1DE0B054" w14:textId="77777777" w:rsidR="00A01FEB" w:rsidRPr="0009028A" w:rsidRDefault="00A01FEB" w:rsidP="00A01FEB">
      <w:pPr>
        <w:rPr>
          <w:rFonts w:ascii="Arial" w:hAnsi="Arial" w:cs="Arial"/>
        </w:rPr>
      </w:pPr>
    </w:p>
    <w:p w14:paraId="20B62BDA" w14:textId="77777777" w:rsidR="008012BB" w:rsidRDefault="008012BB" w:rsidP="00D100F1">
      <w:pPr>
        <w:pStyle w:val="Ttulo1"/>
        <w:sectPr w:rsidR="008012BB" w:rsidSect="00B702E0">
          <w:footerReference w:type="default" r:id="rId14"/>
          <w:footerReference w:type="first" r:id="rId15"/>
          <w:pgSz w:w="12240" w:h="15840"/>
          <w:pgMar w:top="1418" w:right="1327" w:bottom="1418" w:left="992" w:header="709" w:footer="709" w:gutter="0"/>
          <w:cols w:space="708"/>
          <w:titlePg/>
          <w:docGrid w:linePitch="360"/>
        </w:sectPr>
      </w:pPr>
    </w:p>
    <w:p w14:paraId="317B2D65" w14:textId="1D8CDACF" w:rsidR="004438FE" w:rsidRPr="0088627B" w:rsidRDefault="004438FE" w:rsidP="0088627B">
      <w:pPr>
        <w:pStyle w:val="Ttulo1"/>
      </w:pPr>
      <w:bookmarkStart w:id="355" w:name="_Toc8735125"/>
      <w:r w:rsidRPr="0009028A">
        <w:t>Nota 2</w:t>
      </w:r>
      <w:r w:rsidR="00964E83">
        <w:t>5</w:t>
      </w:r>
      <w:r w:rsidRPr="0009028A">
        <w:t>: Partes relacionadas</w:t>
      </w:r>
      <w:bookmarkEnd w:id="355"/>
    </w:p>
    <w:p w14:paraId="5D894D96" w14:textId="77777777" w:rsidR="00BC2977" w:rsidRPr="0009028A" w:rsidRDefault="00F9264F" w:rsidP="00BC2977">
      <w:pPr>
        <w:spacing w:after="0"/>
        <w:rPr>
          <w:rFonts w:ascii="Arial" w:hAnsi="Arial" w:cs="Arial"/>
          <w:sz w:val="20"/>
        </w:rPr>
      </w:pPr>
      <w:r w:rsidRPr="0009028A">
        <w:rPr>
          <w:rFonts w:ascii="Arial" w:hAnsi="Arial" w:cs="Arial"/>
          <w:sz w:val="20"/>
        </w:rPr>
        <w:t xml:space="preserve">Las partes relacionadas </w:t>
      </w:r>
      <w:r w:rsidR="00687D73" w:rsidRPr="0009028A">
        <w:rPr>
          <w:rFonts w:ascii="Arial" w:hAnsi="Arial" w:cs="Arial"/>
          <w:sz w:val="20"/>
        </w:rPr>
        <w:t xml:space="preserve">Ingresos y gastos </w:t>
      </w:r>
      <w:r w:rsidR="00E4708E" w:rsidRPr="0009028A">
        <w:rPr>
          <w:rFonts w:ascii="Arial" w:hAnsi="Arial" w:cs="Arial"/>
          <w:sz w:val="20"/>
        </w:rPr>
        <w:t xml:space="preserve">a </w:t>
      </w:r>
      <w:r w:rsidR="0016511E" w:rsidRPr="0009028A">
        <w:rPr>
          <w:rFonts w:ascii="Arial" w:hAnsi="Arial" w:cs="Arial"/>
          <w:sz w:val="20"/>
        </w:rPr>
        <w:t xml:space="preserve">marzo </w:t>
      </w:r>
      <w:r w:rsidR="00BC2977" w:rsidRPr="0009028A">
        <w:rPr>
          <w:rFonts w:ascii="Arial" w:hAnsi="Arial" w:cs="Arial"/>
          <w:sz w:val="20"/>
        </w:rPr>
        <w:t>comprenden:</w:t>
      </w:r>
    </w:p>
    <w:p w14:paraId="777261C9" w14:textId="77777777" w:rsidR="00BC2977" w:rsidRPr="0009028A" w:rsidRDefault="00BC2977" w:rsidP="00711005">
      <w:pPr>
        <w:spacing w:after="0"/>
        <w:rPr>
          <w:rFonts w:ascii="Arial" w:hAnsi="Arial" w:cs="Arial"/>
        </w:rPr>
      </w:pPr>
    </w:p>
    <w:tbl>
      <w:tblPr>
        <w:tblW w:w="5081" w:type="pct"/>
        <w:tblCellMar>
          <w:left w:w="70" w:type="dxa"/>
          <w:right w:w="70" w:type="dxa"/>
        </w:tblCellMar>
        <w:tblLook w:val="04A0" w:firstRow="1" w:lastRow="0" w:firstColumn="1" w:lastColumn="0" w:noHBand="0" w:noVBand="1"/>
      </w:tblPr>
      <w:tblGrid>
        <w:gridCol w:w="1528"/>
        <w:gridCol w:w="1031"/>
        <w:gridCol w:w="1033"/>
        <w:gridCol w:w="608"/>
        <w:gridCol w:w="766"/>
        <w:gridCol w:w="1031"/>
        <w:gridCol w:w="1033"/>
        <w:gridCol w:w="608"/>
        <w:gridCol w:w="1031"/>
        <w:gridCol w:w="1031"/>
        <w:gridCol w:w="1139"/>
        <w:gridCol w:w="1242"/>
        <w:gridCol w:w="1134"/>
      </w:tblGrid>
      <w:tr w:rsidR="00841693" w:rsidRPr="0009028A" w14:paraId="4D73DBE6" w14:textId="77777777" w:rsidTr="008012BB">
        <w:trPr>
          <w:trHeight w:val="227"/>
        </w:trPr>
        <w:tc>
          <w:tcPr>
            <w:tcW w:w="578" w:type="pct"/>
            <w:shd w:val="clear" w:color="auto" w:fill="auto"/>
            <w:vAlign w:val="center"/>
            <w:hideMark/>
          </w:tcPr>
          <w:p w14:paraId="7A1E443E" w14:textId="77777777" w:rsidR="00841693" w:rsidRPr="0009028A" w:rsidRDefault="00841693" w:rsidP="00092BBA">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Transacciones con partes relacionadas - Ingresos y gastos</w:t>
            </w:r>
          </w:p>
        </w:tc>
        <w:tc>
          <w:tcPr>
            <w:tcW w:w="781" w:type="pct"/>
            <w:gridSpan w:val="2"/>
            <w:shd w:val="clear" w:color="auto" w:fill="auto"/>
            <w:vAlign w:val="center"/>
            <w:hideMark/>
          </w:tcPr>
          <w:p w14:paraId="762CF1D6" w14:textId="77777777" w:rsidR="00841693" w:rsidRPr="0009028A" w:rsidRDefault="00841693" w:rsidP="00092BBA">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Inversiones en asociadas</w:t>
            </w:r>
          </w:p>
        </w:tc>
        <w:tc>
          <w:tcPr>
            <w:tcW w:w="520" w:type="pct"/>
            <w:gridSpan w:val="2"/>
            <w:shd w:val="clear" w:color="auto" w:fill="auto"/>
            <w:vAlign w:val="center"/>
            <w:hideMark/>
          </w:tcPr>
          <w:p w14:paraId="35468D90" w14:textId="77777777" w:rsidR="00841693" w:rsidRPr="0009028A" w:rsidRDefault="00841693" w:rsidP="00092BBA">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Inversiones en negocios conjuntos</w:t>
            </w:r>
          </w:p>
        </w:tc>
        <w:tc>
          <w:tcPr>
            <w:tcW w:w="781" w:type="pct"/>
            <w:gridSpan w:val="2"/>
            <w:shd w:val="clear" w:color="auto" w:fill="auto"/>
            <w:vAlign w:val="center"/>
            <w:hideMark/>
          </w:tcPr>
          <w:p w14:paraId="6EB199A9" w14:textId="77777777" w:rsidR="00841693" w:rsidRPr="0009028A" w:rsidRDefault="00841693" w:rsidP="00092BBA">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Inversiones en subsidiarias</w:t>
            </w:r>
          </w:p>
        </w:tc>
        <w:tc>
          <w:tcPr>
            <w:tcW w:w="620" w:type="pct"/>
            <w:gridSpan w:val="2"/>
            <w:shd w:val="clear" w:color="auto" w:fill="auto"/>
            <w:vAlign w:val="center"/>
            <w:hideMark/>
          </w:tcPr>
          <w:p w14:paraId="2E60EC1F" w14:textId="77777777" w:rsidR="00841693" w:rsidRPr="0009028A" w:rsidRDefault="00331B10" w:rsidP="00092BBA">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Casa matriz</w:t>
            </w:r>
          </w:p>
        </w:tc>
        <w:tc>
          <w:tcPr>
            <w:tcW w:w="821" w:type="pct"/>
            <w:gridSpan w:val="2"/>
            <w:shd w:val="clear" w:color="auto" w:fill="auto"/>
            <w:vAlign w:val="center"/>
            <w:hideMark/>
          </w:tcPr>
          <w:p w14:paraId="574F2153" w14:textId="77777777" w:rsidR="00841693" w:rsidRPr="0009028A" w:rsidRDefault="00331B10" w:rsidP="00092BBA">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Otras partes relacionadas</w:t>
            </w:r>
          </w:p>
        </w:tc>
        <w:tc>
          <w:tcPr>
            <w:tcW w:w="901" w:type="pct"/>
            <w:gridSpan w:val="2"/>
            <w:shd w:val="clear" w:color="auto" w:fill="auto"/>
            <w:vAlign w:val="center"/>
            <w:hideMark/>
          </w:tcPr>
          <w:p w14:paraId="11BE529C" w14:textId="77777777" w:rsidR="00841693" w:rsidRPr="0009028A" w:rsidRDefault="00841693" w:rsidP="00092BBA">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Total general</w:t>
            </w:r>
          </w:p>
        </w:tc>
      </w:tr>
      <w:tr w:rsidR="00EE7D26" w:rsidRPr="0009028A" w14:paraId="6C1ABD17" w14:textId="77777777" w:rsidTr="008012BB">
        <w:trPr>
          <w:trHeight w:val="227"/>
        </w:trPr>
        <w:tc>
          <w:tcPr>
            <w:tcW w:w="578" w:type="pct"/>
            <w:shd w:val="clear" w:color="auto" w:fill="auto"/>
            <w:vAlign w:val="center"/>
            <w:hideMark/>
          </w:tcPr>
          <w:p w14:paraId="70C7ED5B" w14:textId="77777777" w:rsidR="00841693" w:rsidRPr="0009028A" w:rsidRDefault="00841693" w:rsidP="00065C93">
            <w:pPr>
              <w:spacing w:after="0" w:line="240" w:lineRule="auto"/>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 </w:t>
            </w:r>
          </w:p>
        </w:tc>
        <w:tc>
          <w:tcPr>
            <w:tcW w:w="390" w:type="pct"/>
            <w:shd w:val="clear" w:color="auto" w:fill="auto"/>
            <w:vAlign w:val="center"/>
            <w:hideMark/>
          </w:tcPr>
          <w:p w14:paraId="40E99DFD" w14:textId="77777777" w:rsidR="00841693" w:rsidRPr="0009028A" w:rsidRDefault="00841693" w:rsidP="00065C93">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201</w:t>
            </w:r>
            <w:r w:rsidR="003919A1" w:rsidRPr="0009028A">
              <w:rPr>
                <w:rFonts w:ascii="Arial" w:eastAsia="Times New Roman" w:hAnsi="Arial" w:cs="Arial"/>
                <w:b/>
                <w:bCs/>
                <w:color w:val="103475"/>
                <w:sz w:val="16"/>
                <w:szCs w:val="16"/>
                <w:lang w:eastAsia="es-CO"/>
              </w:rPr>
              <w:t>9</w:t>
            </w:r>
          </w:p>
        </w:tc>
        <w:tc>
          <w:tcPr>
            <w:tcW w:w="390" w:type="pct"/>
            <w:shd w:val="clear" w:color="auto" w:fill="auto"/>
            <w:vAlign w:val="center"/>
            <w:hideMark/>
          </w:tcPr>
          <w:p w14:paraId="5D5EDC55" w14:textId="77777777" w:rsidR="00841693" w:rsidRPr="0009028A" w:rsidRDefault="00841693" w:rsidP="00065C93">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201</w:t>
            </w:r>
            <w:r w:rsidR="003919A1" w:rsidRPr="0009028A">
              <w:rPr>
                <w:rFonts w:ascii="Arial" w:eastAsia="Times New Roman" w:hAnsi="Arial" w:cs="Arial"/>
                <w:b/>
                <w:bCs/>
                <w:color w:val="103475"/>
                <w:sz w:val="16"/>
                <w:szCs w:val="16"/>
                <w:lang w:eastAsia="es-CO"/>
              </w:rPr>
              <w:t>8</w:t>
            </w:r>
          </w:p>
        </w:tc>
        <w:tc>
          <w:tcPr>
            <w:tcW w:w="230" w:type="pct"/>
            <w:shd w:val="clear" w:color="auto" w:fill="auto"/>
            <w:vAlign w:val="center"/>
            <w:hideMark/>
          </w:tcPr>
          <w:p w14:paraId="1B379886" w14:textId="77777777" w:rsidR="00841693" w:rsidRPr="0009028A" w:rsidRDefault="00841693" w:rsidP="00065C93">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201</w:t>
            </w:r>
            <w:r w:rsidR="003919A1" w:rsidRPr="0009028A">
              <w:rPr>
                <w:rFonts w:ascii="Arial" w:eastAsia="Times New Roman" w:hAnsi="Arial" w:cs="Arial"/>
                <w:b/>
                <w:bCs/>
                <w:color w:val="103475"/>
                <w:sz w:val="16"/>
                <w:szCs w:val="16"/>
                <w:lang w:eastAsia="es-CO"/>
              </w:rPr>
              <w:t>9</w:t>
            </w:r>
          </w:p>
        </w:tc>
        <w:tc>
          <w:tcPr>
            <w:tcW w:w="290" w:type="pct"/>
            <w:shd w:val="clear" w:color="auto" w:fill="auto"/>
            <w:vAlign w:val="center"/>
            <w:hideMark/>
          </w:tcPr>
          <w:p w14:paraId="3EE318E2" w14:textId="77777777" w:rsidR="00841693" w:rsidRPr="0009028A" w:rsidRDefault="00841693" w:rsidP="00065C93">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201</w:t>
            </w:r>
            <w:r w:rsidR="003919A1" w:rsidRPr="0009028A">
              <w:rPr>
                <w:rFonts w:ascii="Arial" w:eastAsia="Times New Roman" w:hAnsi="Arial" w:cs="Arial"/>
                <w:b/>
                <w:bCs/>
                <w:color w:val="103475"/>
                <w:sz w:val="16"/>
                <w:szCs w:val="16"/>
                <w:lang w:eastAsia="es-CO"/>
              </w:rPr>
              <w:t>8</w:t>
            </w:r>
          </w:p>
        </w:tc>
        <w:tc>
          <w:tcPr>
            <w:tcW w:w="390" w:type="pct"/>
            <w:shd w:val="clear" w:color="auto" w:fill="auto"/>
            <w:vAlign w:val="center"/>
            <w:hideMark/>
          </w:tcPr>
          <w:p w14:paraId="293E6587" w14:textId="77777777" w:rsidR="00841693" w:rsidRPr="0009028A" w:rsidRDefault="00841693" w:rsidP="00065C93">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201</w:t>
            </w:r>
            <w:r w:rsidR="003919A1" w:rsidRPr="0009028A">
              <w:rPr>
                <w:rFonts w:ascii="Arial" w:eastAsia="Times New Roman" w:hAnsi="Arial" w:cs="Arial"/>
                <w:b/>
                <w:bCs/>
                <w:color w:val="103475"/>
                <w:sz w:val="16"/>
                <w:szCs w:val="16"/>
                <w:lang w:eastAsia="es-CO"/>
              </w:rPr>
              <w:t>9</w:t>
            </w:r>
          </w:p>
        </w:tc>
        <w:tc>
          <w:tcPr>
            <w:tcW w:w="390" w:type="pct"/>
            <w:shd w:val="clear" w:color="auto" w:fill="auto"/>
            <w:vAlign w:val="center"/>
            <w:hideMark/>
          </w:tcPr>
          <w:p w14:paraId="59C9B433" w14:textId="77777777" w:rsidR="00841693" w:rsidRPr="0009028A" w:rsidRDefault="00841693" w:rsidP="00065C93">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201</w:t>
            </w:r>
            <w:r w:rsidR="003919A1" w:rsidRPr="0009028A">
              <w:rPr>
                <w:rFonts w:ascii="Arial" w:eastAsia="Times New Roman" w:hAnsi="Arial" w:cs="Arial"/>
                <w:b/>
                <w:bCs/>
                <w:color w:val="103475"/>
                <w:sz w:val="16"/>
                <w:szCs w:val="16"/>
                <w:lang w:eastAsia="es-CO"/>
              </w:rPr>
              <w:t>8</w:t>
            </w:r>
          </w:p>
        </w:tc>
        <w:tc>
          <w:tcPr>
            <w:tcW w:w="230" w:type="pct"/>
            <w:shd w:val="clear" w:color="auto" w:fill="auto"/>
            <w:vAlign w:val="center"/>
            <w:hideMark/>
          </w:tcPr>
          <w:p w14:paraId="2A12DF4C" w14:textId="77777777" w:rsidR="00841693" w:rsidRPr="0009028A" w:rsidRDefault="00841693" w:rsidP="00065C93">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201</w:t>
            </w:r>
            <w:r w:rsidR="003919A1" w:rsidRPr="0009028A">
              <w:rPr>
                <w:rFonts w:ascii="Arial" w:eastAsia="Times New Roman" w:hAnsi="Arial" w:cs="Arial"/>
                <w:b/>
                <w:bCs/>
                <w:color w:val="103475"/>
                <w:sz w:val="16"/>
                <w:szCs w:val="16"/>
                <w:lang w:eastAsia="es-CO"/>
              </w:rPr>
              <w:t>9</w:t>
            </w:r>
          </w:p>
        </w:tc>
        <w:tc>
          <w:tcPr>
            <w:tcW w:w="390" w:type="pct"/>
            <w:shd w:val="clear" w:color="auto" w:fill="auto"/>
            <w:vAlign w:val="center"/>
            <w:hideMark/>
          </w:tcPr>
          <w:p w14:paraId="310D2720" w14:textId="77777777" w:rsidR="00841693" w:rsidRPr="0009028A" w:rsidRDefault="00841693" w:rsidP="00065C93">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201</w:t>
            </w:r>
            <w:r w:rsidR="003919A1" w:rsidRPr="0009028A">
              <w:rPr>
                <w:rFonts w:ascii="Arial" w:eastAsia="Times New Roman" w:hAnsi="Arial" w:cs="Arial"/>
                <w:b/>
                <w:bCs/>
                <w:color w:val="103475"/>
                <w:sz w:val="16"/>
                <w:szCs w:val="16"/>
                <w:lang w:eastAsia="es-CO"/>
              </w:rPr>
              <w:t>8</w:t>
            </w:r>
          </w:p>
        </w:tc>
        <w:tc>
          <w:tcPr>
            <w:tcW w:w="390" w:type="pct"/>
            <w:shd w:val="clear" w:color="auto" w:fill="auto"/>
            <w:vAlign w:val="center"/>
            <w:hideMark/>
          </w:tcPr>
          <w:p w14:paraId="60A2B929" w14:textId="77777777" w:rsidR="00841693" w:rsidRPr="0009028A" w:rsidRDefault="00841693" w:rsidP="00065C93">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201</w:t>
            </w:r>
            <w:r w:rsidR="003919A1" w:rsidRPr="0009028A">
              <w:rPr>
                <w:rFonts w:ascii="Arial" w:eastAsia="Times New Roman" w:hAnsi="Arial" w:cs="Arial"/>
                <w:b/>
                <w:bCs/>
                <w:color w:val="103475"/>
                <w:sz w:val="16"/>
                <w:szCs w:val="16"/>
                <w:lang w:eastAsia="es-CO"/>
              </w:rPr>
              <w:t>9</w:t>
            </w:r>
          </w:p>
        </w:tc>
        <w:tc>
          <w:tcPr>
            <w:tcW w:w="430" w:type="pct"/>
            <w:shd w:val="clear" w:color="auto" w:fill="auto"/>
            <w:vAlign w:val="center"/>
            <w:hideMark/>
          </w:tcPr>
          <w:p w14:paraId="5DA63F1F" w14:textId="77777777" w:rsidR="00841693" w:rsidRPr="0009028A" w:rsidRDefault="00841693" w:rsidP="00065C93">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201</w:t>
            </w:r>
            <w:r w:rsidR="003919A1" w:rsidRPr="0009028A">
              <w:rPr>
                <w:rFonts w:ascii="Arial" w:eastAsia="Times New Roman" w:hAnsi="Arial" w:cs="Arial"/>
                <w:b/>
                <w:bCs/>
                <w:color w:val="103475"/>
                <w:sz w:val="16"/>
                <w:szCs w:val="16"/>
                <w:lang w:eastAsia="es-CO"/>
              </w:rPr>
              <w:t>8</w:t>
            </w:r>
          </w:p>
        </w:tc>
        <w:tc>
          <w:tcPr>
            <w:tcW w:w="470" w:type="pct"/>
            <w:shd w:val="clear" w:color="auto" w:fill="auto"/>
            <w:vAlign w:val="center"/>
            <w:hideMark/>
          </w:tcPr>
          <w:p w14:paraId="4DD07150" w14:textId="77777777" w:rsidR="00841693" w:rsidRPr="0009028A" w:rsidRDefault="00841693" w:rsidP="00065C93">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201</w:t>
            </w:r>
            <w:r w:rsidR="003919A1" w:rsidRPr="0009028A">
              <w:rPr>
                <w:rFonts w:ascii="Arial" w:eastAsia="Times New Roman" w:hAnsi="Arial" w:cs="Arial"/>
                <w:b/>
                <w:bCs/>
                <w:color w:val="103475"/>
                <w:sz w:val="16"/>
                <w:szCs w:val="16"/>
                <w:lang w:eastAsia="es-CO"/>
              </w:rPr>
              <w:t>9</w:t>
            </w:r>
          </w:p>
        </w:tc>
        <w:tc>
          <w:tcPr>
            <w:tcW w:w="430" w:type="pct"/>
            <w:shd w:val="clear" w:color="auto" w:fill="auto"/>
            <w:vAlign w:val="center"/>
            <w:hideMark/>
          </w:tcPr>
          <w:p w14:paraId="5097D6DD" w14:textId="77777777" w:rsidR="00841693" w:rsidRPr="0009028A" w:rsidRDefault="00841693" w:rsidP="00065C93">
            <w:pPr>
              <w:spacing w:after="0" w:line="240" w:lineRule="auto"/>
              <w:jc w:val="center"/>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201</w:t>
            </w:r>
            <w:r w:rsidR="003919A1" w:rsidRPr="0009028A">
              <w:rPr>
                <w:rFonts w:ascii="Arial" w:eastAsia="Times New Roman" w:hAnsi="Arial" w:cs="Arial"/>
                <w:b/>
                <w:bCs/>
                <w:color w:val="103475"/>
                <w:sz w:val="16"/>
                <w:szCs w:val="16"/>
                <w:lang w:eastAsia="es-CO"/>
              </w:rPr>
              <w:t>8</w:t>
            </w:r>
          </w:p>
        </w:tc>
      </w:tr>
      <w:tr w:rsidR="00EE7D26" w:rsidRPr="0009028A" w14:paraId="24609DB2" w14:textId="77777777" w:rsidTr="008012BB">
        <w:trPr>
          <w:trHeight w:val="227"/>
        </w:trPr>
        <w:tc>
          <w:tcPr>
            <w:tcW w:w="578" w:type="pct"/>
            <w:shd w:val="clear" w:color="auto" w:fill="auto"/>
            <w:vAlign w:val="center"/>
            <w:hideMark/>
          </w:tcPr>
          <w:p w14:paraId="58D50F45" w14:textId="77777777" w:rsidR="00EE7D26" w:rsidRPr="0009028A" w:rsidRDefault="00E011DB" w:rsidP="00EE7D26">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Ingresos</w:t>
            </w:r>
            <w:r w:rsidR="00EE7D26" w:rsidRPr="0009028A">
              <w:rPr>
                <w:rFonts w:ascii="Arial" w:eastAsia="Times New Roman" w:hAnsi="Arial" w:cs="Arial"/>
                <w:color w:val="000000"/>
                <w:sz w:val="16"/>
                <w:szCs w:val="16"/>
                <w:lang w:eastAsia="es-CO"/>
              </w:rPr>
              <w:t xml:space="preserve"> por venta de bienes y prestación de servicios</w:t>
            </w:r>
          </w:p>
        </w:tc>
        <w:tc>
          <w:tcPr>
            <w:tcW w:w="390" w:type="pct"/>
            <w:shd w:val="clear" w:color="auto" w:fill="auto"/>
            <w:noWrap/>
            <w:vAlign w:val="center"/>
          </w:tcPr>
          <w:p w14:paraId="00B7A3E9" w14:textId="77777777" w:rsidR="00EE7D26" w:rsidRPr="0009028A" w:rsidRDefault="00D04A6E" w:rsidP="00A01FEB">
            <w:pPr>
              <w:spacing w:after="0" w:line="240" w:lineRule="auto"/>
              <w:jc w:val="right"/>
              <w:rPr>
                <w:rFonts w:ascii="Arial" w:hAnsi="Arial" w:cs="Arial"/>
                <w:color w:val="000000"/>
                <w:sz w:val="16"/>
                <w:szCs w:val="16"/>
                <w:u w:val="single"/>
              </w:rPr>
            </w:pPr>
            <w:r w:rsidRPr="0009028A">
              <w:rPr>
                <w:rFonts w:ascii="Arial" w:hAnsi="Arial" w:cs="Arial"/>
                <w:color w:val="000000"/>
                <w:sz w:val="16"/>
                <w:szCs w:val="16"/>
                <w:u w:val="single"/>
              </w:rPr>
              <w:t>5.047.616</w:t>
            </w:r>
          </w:p>
        </w:tc>
        <w:tc>
          <w:tcPr>
            <w:tcW w:w="390" w:type="pct"/>
            <w:shd w:val="clear" w:color="auto" w:fill="auto"/>
            <w:vAlign w:val="center"/>
          </w:tcPr>
          <w:p w14:paraId="2017CCF5" w14:textId="77777777" w:rsidR="00EE7D26" w:rsidRPr="0009028A" w:rsidRDefault="00331B10" w:rsidP="00A01FEB">
            <w:pPr>
              <w:spacing w:after="0" w:line="240" w:lineRule="auto"/>
              <w:jc w:val="right"/>
              <w:rPr>
                <w:rFonts w:ascii="Arial" w:eastAsia="Times New Roman" w:hAnsi="Arial" w:cs="Arial"/>
                <w:sz w:val="16"/>
                <w:szCs w:val="16"/>
                <w:u w:val="single"/>
                <w:lang w:eastAsia="es-CO"/>
              </w:rPr>
            </w:pPr>
            <w:r w:rsidRPr="0009028A">
              <w:rPr>
                <w:rFonts w:ascii="Arial" w:eastAsia="Times New Roman" w:hAnsi="Arial" w:cs="Arial"/>
                <w:sz w:val="16"/>
                <w:szCs w:val="16"/>
                <w:u w:val="single"/>
                <w:lang w:eastAsia="es-CO"/>
              </w:rPr>
              <w:t>5.617.130</w:t>
            </w:r>
          </w:p>
        </w:tc>
        <w:tc>
          <w:tcPr>
            <w:tcW w:w="230" w:type="pct"/>
            <w:shd w:val="clear" w:color="auto" w:fill="auto"/>
            <w:vAlign w:val="center"/>
          </w:tcPr>
          <w:p w14:paraId="4C1E8608" w14:textId="70904835" w:rsidR="00EE7D26" w:rsidRPr="0009028A" w:rsidRDefault="00EE7D26" w:rsidP="00A01FEB">
            <w:pPr>
              <w:spacing w:after="0" w:line="240" w:lineRule="auto"/>
              <w:jc w:val="right"/>
              <w:rPr>
                <w:rFonts w:ascii="Arial" w:eastAsia="Times New Roman" w:hAnsi="Arial" w:cs="Arial"/>
                <w:sz w:val="16"/>
                <w:szCs w:val="16"/>
                <w:u w:val="single"/>
                <w:lang w:eastAsia="es-CO"/>
              </w:rPr>
            </w:pPr>
            <w:r w:rsidRPr="0009028A">
              <w:rPr>
                <w:rFonts w:ascii="Arial" w:eastAsia="Times New Roman" w:hAnsi="Arial" w:cs="Arial"/>
                <w:color w:val="000000"/>
                <w:sz w:val="16"/>
                <w:szCs w:val="16"/>
                <w:u w:val="single"/>
                <w:lang w:eastAsia="es-CO"/>
              </w:rPr>
              <w:t>-</w:t>
            </w:r>
          </w:p>
        </w:tc>
        <w:tc>
          <w:tcPr>
            <w:tcW w:w="290" w:type="pct"/>
            <w:shd w:val="clear" w:color="auto" w:fill="auto"/>
            <w:vAlign w:val="center"/>
          </w:tcPr>
          <w:p w14:paraId="4A08BAA2" w14:textId="77777777" w:rsidR="00EE7D26" w:rsidRPr="0009028A" w:rsidRDefault="00331B10" w:rsidP="00A01FEB">
            <w:pPr>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color w:val="000000"/>
                <w:sz w:val="16"/>
                <w:szCs w:val="16"/>
                <w:u w:val="single"/>
                <w:lang w:eastAsia="es-CO"/>
              </w:rPr>
              <w:t>78.448</w:t>
            </w:r>
          </w:p>
        </w:tc>
        <w:tc>
          <w:tcPr>
            <w:tcW w:w="390" w:type="pct"/>
            <w:shd w:val="clear" w:color="auto" w:fill="auto"/>
            <w:vAlign w:val="center"/>
          </w:tcPr>
          <w:p w14:paraId="4BECB337" w14:textId="77777777" w:rsidR="00EE7D26" w:rsidRPr="0009028A" w:rsidRDefault="00331B10" w:rsidP="00A01FEB">
            <w:pPr>
              <w:spacing w:after="0" w:line="240" w:lineRule="auto"/>
              <w:jc w:val="right"/>
              <w:rPr>
                <w:rFonts w:ascii="Arial" w:hAnsi="Arial" w:cs="Arial"/>
                <w:color w:val="000000"/>
                <w:sz w:val="16"/>
                <w:szCs w:val="16"/>
                <w:u w:val="single"/>
              </w:rPr>
            </w:pPr>
            <w:r w:rsidRPr="0009028A">
              <w:rPr>
                <w:rFonts w:ascii="Arial" w:hAnsi="Arial" w:cs="Arial"/>
                <w:color w:val="000000"/>
                <w:sz w:val="16"/>
                <w:szCs w:val="16"/>
                <w:u w:val="single"/>
              </w:rPr>
              <w:t>1.920.347</w:t>
            </w:r>
          </w:p>
        </w:tc>
        <w:tc>
          <w:tcPr>
            <w:tcW w:w="390" w:type="pct"/>
            <w:shd w:val="clear" w:color="auto" w:fill="auto"/>
            <w:vAlign w:val="center"/>
          </w:tcPr>
          <w:p w14:paraId="52A42111" w14:textId="77777777" w:rsidR="00EE7D26" w:rsidRPr="0009028A" w:rsidRDefault="00331B10" w:rsidP="00A01FEB">
            <w:pPr>
              <w:spacing w:after="0" w:line="240" w:lineRule="auto"/>
              <w:jc w:val="right"/>
              <w:rPr>
                <w:rFonts w:ascii="Arial" w:hAnsi="Arial" w:cs="Arial"/>
                <w:color w:val="000000"/>
                <w:sz w:val="16"/>
                <w:szCs w:val="16"/>
                <w:u w:val="single"/>
              </w:rPr>
            </w:pPr>
            <w:r w:rsidRPr="0009028A">
              <w:rPr>
                <w:rFonts w:ascii="Arial" w:hAnsi="Arial" w:cs="Arial"/>
                <w:color w:val="000000"/>
                <w:sz w:val="16"/>
                <w:szCs w:val="16"/>
                <w:u w:val="single"/>
              </w:rPr>
              <w:t>1.685.213</w:t>
            </w:r>
          </w:p>
        </w:tc>
        <w:tc>
          <w:tcPr>
            <w:tcW w:w="230" w:type="pct"/>
            <w:shd w:val="clear" w:color="auto" w:fill="auto"/>
            <w:vAlign w:val="center"/>
          </w:tcPr>
          <w:p w14:paraId="7D956C14" w14:textId="77777777" w:rsidR="00EE7D26" w:rsidRPr="0009028A" w:rsidRDefault="00EE7D26" w:rsidP="00A01FEB">
            <w:pPr>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color w:val="000000"/>
                <w:sz w:val="16"/>
                <w:szCs w:val="16"/>
                <w:u w:val="single"/>
                <w:lang w:eastAsia="es-CO"/>
              </w:rPr>
              <w:t>-</w:t>
            </w:r>
          </w:p>
        </w:tc>
        <w:tc>
          <w:tcPr>
            <w:tcW w:w="390" w:type="pct"/>
            <w:shd w:val="clear" w:color="auto" w:fill="auto"/>
            <w:vAlign w:val="center"/>
          </w:tcPr>
          <w:p w14:paraId="68603279" w14:textId="77777777" w:rsidR="00EE7D26" w:rsidRPr="0009028A" w:rsidRDefault="00EE7D26" w:rsidP="00A01FEB">
            <w:pPr>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color w:val="000000"/>
                <w:sz w:val="16"/>
                <w:szCs w:val="16"/>
                <w:u w:val="single"/>
                <w:lang w:eastAsia="es-CO"/>
              </w:rPr>
              <w:t>-</w:t>
            </w:r>
          </w:p>
        </w:tc>
        <w:tc>
          <w:tcPr>
            <w:tcW w:w="390" w:type="pct"/>
            <w:shd w:val="clear" w:color="auto" w:fill="auto"/>
            <w:vAlign w:val="center"/>
          </w:tcPr>
          <w:p w14:paraId="4D7D4BDC" w14:textId="77777777" w:rsidR="00EE7D26" w:rsidRPr="0009028A" w:rsidRDefault="00EE7D26" w:rsidP="00A01FEB">
            <w:pPr>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color w:val="000000"/>
                <w:sz w:val="16"/>
                <w:szCs w:val="16"/>
                <w:u w:val="single"/>
                <w:lang w:eastAsia="es-CO"/>
              </w:rPr>
              <w:t>-</w:t>
            </w:r>
          </w:p>
        </w:tc>
        <w:tc>
          <w:tcPr>
            <w:tcW w:w="430" w:type="pct"/>
            <w:shd w:val="clear" w:color="auto" w:fill="auto"/>
            <w:vAlign w:val="center"/>
          </w:tcPr>
          <w:p w14:paraId="5AD41315" w14:textId="77777777" w:rsidR="00EE7D26" w:rsidRPr="0009028A" w:rsidRDefault="00331B10" w:rsidP="00A01FEB">
            <w:pPr>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color w:val="000000"/>
                <w:sz w:val="16"/>
                <w:szCs w:val="16"/>
                <w:u w:val="single"/>
                <w:lang w:eastAsia="es-CO"/>
              </w:rPr>
              <w:t>24.436.936</w:t>
            </w:r>
          </w:p>
        </w:tc>
        <w:tc>
          <w:tcPr>
            <w:tcW w:w="470" w:type="pct"/>
            <w:shd w:val="clear" w:color="auto" w:fill="auto"/>
            <w:vAlign w:val="center"/>
          </w:tcPr>
          <w:p w14:paraId="14ECF681" w14:textId="77777777" w:rsidR="00EE7D26" w:rsidRPr="0009028A" w:rsidRDefault="00331B10" w:rsidP="00A01FEB">
            <w:pPr>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color w:val="000000"/>
                <w:sz w:val="16"/>
                <w:szCs w:val="16"/>
                <w:u w:val="single"/>
                <w:lang w:eastAsia="es-CO"/>
              </w:rPr>
              <w:t>6.967.963</w:t>
            </w:r>
          </w:p>
        </w:tc>
        <w:tc>
          <w:tcPr>
            <w:tcW w:w="430" w:type="pct"/>
            <w:shd w:val="clear" w:color="auto" w:fill="auto"/>
            <w:vAlign w:val="center"/>
          </w:tcPr>
          <w:p w14:paraId="61B97F97" w14:textId="77777777" w:rsidR="00EE7D26" w:rsidRPr="0009028A" w:rsidRDefault="00331B10" w:rsidP="00A01FEB">
            <w:pPr>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color w:val="000000"/>
                <w:sz w:val="16"/>
                <w:szCs w:val="16"/>
                <w:u w:val="single"/>
                <w:lang w:eastAsia="es-CO"/>
              </w:rPr>
              <w:t>31.817.727</w:t>
            </w:r>
          </w:p>
        </w:tc>
      </w:tr>
      <w:tr w:rsidR="00EE7D26" w:rsidRPr="0009028A" w14:paraId="5DE6B4EE" w14:textId="77777777" w:rsidTr="008012BB">
        <w:trPr>
          <w:trHeight w:val="227"/>
        </w:trPr>
        <w:tc>
          <w:tcPr>
            <w:tcW w:w="578" w:type="pct"/>
            <w:shd w:val="clear" w:color="auto" w:fill="auto"/>
            <w:vAlign w:val="center"/>
            <w:hideMark/>
          </w:tcPr>
          <w:p w14:paraId="298E8756" w14:textId="77777777" w:rsidR="00841693" w:rsidRPr="0009028A" w:rsidRDefault="00841693" w:rsidP="00841693">
            <w:pPr>
              <w:spacing w:after="0" w:line="240" w:lineRule="auto"/>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Total ingresos</w:t>
            </w:r>
          </w:p>
        </w:tc>
        <w:tc>
          <w:tcPr>
            <w:tcW w:w="390" w:type="pct"/>
            <w:shd w:val="clear" w:color="auto" w:fill="auto"/>
            <w:vAlign w:val="center"/>
          </w:tcPr>
          <w:p w14:paraId="5BEAC7A1" w14:textId="77777777" w:rsidR="00841693" w:rsidRPr="0009028A" w:rsidRDefault="00D04A6E" w:rsidP="00A01FEB">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5.047.616</w:t>
            </w:r>
          </w:p>
        </w:tc>
        <w:tc>
          <w:tcPr>
            <w:tcW w:w="390" w:type="pct"/>
            <w:shd w:val="clear" w:color="auto" w:fill="auto"/>
            <w:vAlign w:val="center"/>
          </w:tcPr>
          <w:p w14:paraId="58F96013" w14:textId="77777777" w:rsidR="00841693" w:rsidRPr="0009028A" w:rsidRDefault="00331B10" w:rsidP="00A01FEB">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5.617.130</w:t>
            </w:r>
          </w:p>
        </w:tc>
        <w:tc>
          <w:tcPr>
            <w:tcW w:w="230" w:type="pct"/>
            <w:shd w:val="clear" w:color="auto" w:fill="auto"/>
            <w:vAlign w:val="center"/>
          </w:tcPr>
          <w:p w14:paraId="71E7AB04" w14:textId="77777777" w:rsidR="00841693" w:rsidRPr="0009028A" w:rsidRDefault="00331B10" w:rsidP="00A01FEB">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w:t>
            </w:r>
          </w:p>
        </w:tc>
        <w:tc>
          <w:tcPr>
            <w:tcW w:w="290" w:type="pct"/>
            <w:shd w:val="clear" w:color="auto" w:fill="auto"/>
            <w:vAlign w:val="center"/>
          </w:tcPr>
          <w:p w14:paraId="5F98AACB" w14:textId="77777777" w:rsidR="00841693" w:rsidRPr="0009028A" w:rsidRDefault="00331B10" w:rsidP="00A01FEB">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78.448</w:t>
            </w:r>
          </w:p>
        </w:tc>
        <w:tc>
          <w:tcPr>
            <w:tcW w:w="390" w:type="pct"/>
            <w:shd w:val="clear" w:color="auto" w:fill="auto"/>
            <w:vAlign w:val="center"/>
          </w:tcPr>
          <w:p w14:paraId="7EDD0EC6" w14:textId="77777777" w:rsidR="00841693" w:rsidRPr="0009028A" w:rsidRDefault="00331B10" w:rsidP="00A01FEB">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1.920.347</w:t>
            </w:r>
          </w:p>
        </w:tc>
        <w:tc>
          <w:tcPr>
            <w:tcW w:w="390" w:type="pct"/>
            <w:shd w:val="clear" w:color="auto" w:fill="auto"/>
            <w:vAlign w:val="center"/>
          </w:tcPr>
          <w:p w14:paraId="018CCAC1" w14:textId="77777777" w:rsidR="00841693" w:rsidRPr="0009028A" w:rsidRDefault="00054DFA" w:rsidP="00A01FEB">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1</w:t>
            </w:r>
            <w:r w:rsidR="00331B10" w:rsidRPr="0009028A">
              <w:rPr>
                <w:rFonts w:ascii="Arial" w:eastAsia="Times New Roman" w:hAnsi="Arial" w:cs="Arial"/>
                <w:b/>
                <w:bCs/>
                <w:color w:val="103475"/>
                <w:sz w:val="16"/>
                <w:szCs w:val="16"/>
                <w:lang w:eastAsia="es-CO"/>
              </w:rPr>
              <w:t>.685.213</w:t>
            </w:r>
          </w:p>
        </w:tc>
        <w:tc>
          <w:tcPr>
            <w:tcW w:w="230" w:type="pct"/>
            <w:shd w:val="clear" w:color="auto" w:fill="auto"/>
            <w:vAlign w:val="center"/>
          </w:tcPr>
          <w:p w14:paraId="114AF54E" w14:textId="77777777" w:rsidR="00841693" w:rsidRPr="0009028A" w:rsidRDefault="00841693" w:rsidP="00A01FEB">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w:t>
            </w:r>
          </w:p>
        </w:tc>
        <w:tc>
          <w:tcPr>
            <w:tcW w:w="390" w:type="pct"/>
            <w:shd w:val="clear" w:color="auto" w:fill="auto"/>
            <w:vAlign w:val="center"/>
          </w:tcPr>
          <w:p w14:paraId="03B164BE" w14:textId="77777777" w:rsidR="00841693" w:rsidRPr="0009028A" w:rsidRDefault="00841693" w:rsidP="00A01FEB">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w:t>
            </w:r>
          </w:p>
        </w:tc>
        <w:tc>
          <w:tcPr>
            <w:tcW w:w="390" w:type="pct"/>
            <w:shd w:val="clear" w:color="auto" w:fill="auto"/>
            <w:vAlign w:val="center"/>
          </w:tcPr>
          <w:p w14:paraId="47727CDD" w14:textId="77777777" w:rsidR="00841693" w:rsidRPr="0009028A" w:rsidRDefault="00331B10" w:rsidP="00A01FEB">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w:t>
            </w:r>
          </w:p>
        </w:tc>
        <w:tc>
          <w:tcPr>
            <w:tcW w:w="430" w:type="pct"/>
            <w:shd w:val="clear" w:color="auto" w:fill="auto"/>
            <w:vAlign w:val="center"/>
          </w:tcPr>
          <w:p w14:paraId="0E2D1673" w14:textId="77777777" w:rsidR="00841693" w:rsidRPr="0009028A" w:rsidRDefault="00331B10" w:rsidP="00A01FEB">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24.436.936</w:t>
            </w:r>
          </w:p>
        </w:tc>
        <w:tc>
          <w:tcPr>
            <w:tcW w:w="470" w:type="pct"/>
            <w:shd w:val="clear" w:color="auto" w:fill="auto"/>
            <w:vAlign w:val="center"/>
          </w:tcPr>
          <w:p w14:paraId="72C2E1A3" w14:textId="77777777" w:rsidR="00841693" w:rsidRPr="0009028A" w:rsidRDefault="00331B10" w:rsidP="00A01FEB">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6.967.963</w:t>
            </w:r>
          </w:p>
        </w:tc>
        <w:tc>
          <w:tcPr>
            <w:tcW w:w="430" w:type="pct"/>
            <w:shd w:val="clear" w:color="auto" w:fill="auto"/>
            <w:vAlign w:val="center"/>
          </w:tcPr>
          <w:p w14:paraId="39571C55" w14:textId="77777777" w:rsidR="00841693" w:rsidRPr="0009028A" w:rsidRDefault="00331B10" w:rsidP="00A01FEB">
            <w:pPr>
              <w:spacing w:after="0" w:line="240" w:lineRule="auto"/>
              <w:jc w:val="right"/>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31.817.727</w:t>
            </w:r>
          </w:p>
        </w:tc>
      </w:tr>
      <w:tr w:rsidR="00D710B5" w:rsidRPr="0009028A" w14:paraId="44DD2504" w14:textId="77777777" w:rsidTr="008012BB">
        <w:trPr>
          <w:trHeight w:val="227"/>
        </w:trPr>
        <w:tc>
          <w:tcPr>
            <w:tcW w:w="578" w:type="pct"/>
            <w:shd w:val="clear" w:color="auto" w:fill="auto"/>
            <w:vAlign w:val="center"/>
            <w:hideMark/>
          </w:tcPr>
          <w:p w14:paraId="76B7F64F" w14:textId="77777777" w:rsidR="00D710B5" w:rsidRPr="0009028A" w:rsidRDefault="00D710B5" w:rsidP="00D710B5">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Servicios recibidos</w:t>
            </w:r>
          </w:p>
        </w:tc>
        <w:tc>
          <w:tcPr>
            <w:tcW w:w="390" w:type="pct"/>
            <w:shd w:val="clear" w:color="auto" w:fill="auto"/>
            <w:noWrap/>
            <w:vAlign w:val="center"/>
          </w:tcPr>
          <w:p w14:paraId="0A712B77" w14:textId="77777777" w:rsidR="00D710B5" w:rsidRPr="0009028A" w:rsidRDefault="00331B10" w:rsidP="00A01FEB">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13.601</w:t>
            </w:r>
          </w:p>
        </w:tc>
        <w:tc>
          <w:tcPr>
            <w:tcW w:w="390" w:type="pct"/>
            <w:shd w:val="clear" w:color="auto" w:fill="auto"/>
            <w:vAlign w:val="center"/>
          </w:tcPr>
          <w:p w14:paraId="329D23F6" w14:textId="77777777" w:rsidR="00D710B5" w:rsidRPr="0009028A" w:rsidRDefault="00331B10" w:rsidP="00A01FEB">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w:t>
            </w:r>
          </w:p>
        </w:tc>
        <w:tc>
          <w:tcPr>
            <w:tcW w:w="230" w:type="pct"/>
            <w:shd w:val="clear" w:color="auto" w:fill="auto"/>
            <w:vAlign w:val="center"/>
          </w:tcPr>
          <w:p w14:paraId="517962E4" w14:textId="77777777" w:rsidR="00D710B5" w:rsidRPr="0009028A" w:rsidRDefault="00D710B5" w:rsidP="00A01FEB">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sz w:val="16"/>
                <w:szCs w:val="16"/>
                <w:lang w:eastAsia="es-CO"/>
              </w:rPr>
              <w:t>-</w:t>
            </w:r>
          </w:p>
        </w:tc>
        <w:tc>
          <w:tcPr>
            <w:tcW w:w="290" w:type="pct"/>
            <w:shd w:val="clear" w:color="auto" w:fill="auto"/>
            <w:vAlign w:val="center"/>
          </w:tcPr>
          <w:p w14:paraId="38D3AC74" w14:textId="77777777" w:rsidR="00D710B5" w:rsidRPr="0009028A" w:rsidRDefault="00331B10" w:rsidP="00A01FEB">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273</w:t>
            </w:r>
          </w:p>
        </w:tc>
        <w:tc>
          <w:tcPr>
            <w:tcW w:w="390" w:type="pct"/>
            <w:shd w:val="clear" w:color="auto" w:fill="auto"/>
            <w:vAlign w:val="center"/>
          </w:tcPr>
          <w:p w14:paraId="2B8BC000" w14:textId="77777777" w:rsidR="00D710B5" w:rsidRPr="0009028A" w:rsidRDefault="00331B10" w:rsidP="00A01FEB">
            <w:pPr>
              <w:spacing w:after="0" w:line="240" w:lineRule="auto"/>
              <w:jc w:val="right"/>
              <w:rPr>
                <w:rFonts w:ascii="Arial" w:eastAsia="Times New Roman" w:hAnsi="Arial" w:cs="Arial"/>
                <w:sz w:val="16"/>
                <w:szCs w:val="16"/>
                <w:lang w:eastAsia="es-CO"/>
              </w:rPr>
            </w:pPr>
            <w:r w:rsidRPr="0009028A">
              <w:rPr>
                <w:rFonts w:ascii="Arial" w:eastAsia="Times New Roman" w:hAnsi="Arial" w:cs="Arial"/>
                <w:sz w:val="16"/>
                <w:szCs w:val="16"/>
                <w:lang w:eastAsia="es-CO"/>
              </w:rPr>
              <w:t>824.703</w:t>
            </w:r>
          </w:p>
        </w:tc>
        <w:tc>
          <w:tcPr>
            <w:tcW w:w="390" w:type="pct"/>
            <w:shd w:val="clear" w:color="auto" w:fill="auto"/>
            <w:vAlign w:val="center"/>
          </w:tcPr>
          <w:p w14:paraId="2B517C05" w14:textId="77777777" w:rsidR="00D710B5" w:rsidRPr="0009028A" w:rsidRDefault="00331B10" w:rsidP="00A01FEB">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6.437.668</w:t>
            </w:r>
          </w:p>
        </w:tc>
        <w:tc>
          <w:tcPr>
            <w:tcW w:w="230" w:type="pct"/>
            <w:shd w:val="clear" w:color="auto" w:fill="auto"/>
            <w:vAlign w:val="center"/>
          </w:tcPr>
          <w:p w14:paraId="700F923F" w14:textId="77777777" w:rsidR="00D710B5" w:rsidRPr="0009028A" w:rsidRDefault="00331B10" w:rsidP="00A01FEB">
            <w:pPr>
              <w:spacing w:after="0" w:line="240" w:lineRule="auto"/>
              <w:jc w:val="right"/>
              <w:rPr>
                <w:rFonts w:ascii="Arial" w:eastAsia="Times New Roman" w:hAnsi="Arial" w:cs="Arial"/>
                <w:sz w:val="16"/>
                <w:szCs w:val="16"/>
                <w:lang w:eastAsia="es-CO"/>
              </w:rPr>
            </w:pPr>
            <w:r w:rsidRPr="0009028A">
              <w:rPr>
                <w:rFonts w:ascii="Arial" w:eastAsia="Times New Roman" w:hAnsi="Arial" w:cs="Arial"/>
                <w:sz w:val="16"/>
                <w:szCs w:val="16"/>
                <w:lang w:eastAsia="es-CO"/>
              </w:rPr>
              <w:t>-</w:t>
            </w:r>
          </w:p>
        </w:tc>
        <w:tc>
          <w:tcPr>
            <w:tcW w:w="390" w:type="pct"/>
            <w:shd w:val="clear" w:color="auto" w:fill="auto"/>
            <w:vAlign w:val="center"/>
          </w:tcPr>
          <w:p w14:paraId="206A7133" w14:textId="77777777" w:rsidR="00D710B5" w:rsidRPr="0009028A" w:rsidRDefault="00331B10" w:rsidP="00A01FEB">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1.432.843</w:t>
            </w:r>
          </w:p>
        </w:tc>
        <w:tc>
          <w:tcPr>
            <w:tcW w:w="390" w:type="pct"/>
            <w:shd w:val="clear" w:color="auto" w:fill="auto"/>
            <w:vAlign w:val="center"/>
          </w:tcPr>
          <w:p w14:paraId="2E85842D" w14:textId="77777777" w:rsidR="00D710B5" w:rsidRPr="0009028A" w:rsidRDefault="00331B10" w:rsidP="00A01FEB">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1.330.861</w:t>
            </w:r>
          </w:p>
        </w:tc>
        <w:tc>
          <w:tcPr>
            <w:tcW w:w="430" w:type="pct"/>
            <w:shd w:val="clear" w:color="auto" w:fill="auto"/>
            <w:vAlign w:val="center"/>
          </w:tcPr>
          <w:p w14:paraId="532C733C" w14:textId="77777777" w:rsidR="00D710B5" w:rsidRPr="0009028A" w:rsidRDefault="00331B10" w:rsidP="00A01FEB">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24.420.527</w:t>
            </w:r>
          </w:p>
        </w:tc>
        <w:tc>
          <w:tcPr>
            <w:tcW w:w="470" w:type="pct"/>
            <w:shd w:val="clear" w:color="auto" w:fill="auto"/>
            <w:vAlign w:val="center"/>
          </w:tcPr>
          <w:p w14:paraId="6B4DAA2C" w14:textId="77777777" w:rsidR="00D710B5" w:rsidRPr="0009028A" w:rsidRDefault="00331B10" w:rsidP="00A01FEB">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2.169.165</w:t>
            </w:r>
          </w:p>
        </w:tc>
        <w:tc>
          <w:tcPr>
            <w:tcW w:w="430" w:type="pct"/>
            <w:shd w:val="clear" w:color="auto" w:fill="auto"/>
            <w:vAlign w:val="center"/>
          </w:tcPr>
          <w:p w14:paraId="1D8650F9" w14:textId="77777777" w:rsidR="00D710B5" w:rsidRPr="0009028A" w:rsidRDefault="00331B10" w:rsidP="00A01FEB">
            <w:pPr>
              <w:spacing w:after="0" w:line="240" w:lineRule="auto"/>
              <w:jc w:val="right"/>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32.291.311</w:t>
            </w:r>
          </w:p>
        </w:tc>
      </w:tr>
      <w:tr w:rsidR="00D710B5" w:rsidRPr="0009028A" w14:paraId="3D64397E" w14:textId="77777777" w:rsidTr="008012BB">
        <w:trPr>
          <w:trHeight w:val="227"/>
        </w:trPr>
        <w:tc>
          <w:tcPr>
            <w:tcW w:w="578" w:type="pct"/>
            <w:shd w:val="clear" w:color="auto" w:fill="auto"/>
            <w:vAlign w:val="center"/>
            <w:hideMark/>
          </w:tcPr>
          <w:p w14:paraId="72E1EC02" w14:textId="77777777" w:rsidR="00D710B5" w:rsidRPr="0009028A" w:rsidRDefault="00D710B5" w:rsidP="00D710B5">
            <w:pPr>
              <w:spacing w:after="0" w:line="240" w:lineRule="auto"/>
              <w:rPr>
                <w:rFonts w:ascii="Arial" w:eastAsia="Times New Roman" w:hAnsi="Arial" w:cs="Arial"/>
                <w:color w:val="000000"/>
                <w:sz w:val="16"/>
                <w:szCs w:val="16"/>
                <w:lang w:eastAsia="es-CO"/>
              </w:rPr>
            </w:pPr>
            <w:r w:rsidRPr="0009028A">
              <w:rPr>
                <w:rFonts w:ascii="Arial" w:eastAsia="Times New Roman" w:hAnsi="Arial" w:cs="Arial"/>
                <w:color w:val="000000"/>
                <w:sz w:val="16"/>
                <w:szCs w:val="16"/>
                <w:lang w:eastAsia="es-CO"/>
              </w:rPr>
              <w:t>Arrendamientos como arrendatario</w:t>
            </w:r>
          </w:p>
        </w:tc>
        <w:tc>
          <w:tcPr>
            <w:tcW w:w="390" w:type="pct"/>
            <w:shd w:val="clear" w:color="auto" w:fill="auto"/>
            <w:vAlign w:val="center"/>
          </w:tcPr>
          <w:p w14:paraId="6027F599" w14:textId="4366C6CF" w:rsidR="00D710B5" w:rsidRPr="0009028A" w:rsidRDefault="00331B10" w:rsidP="00A01FEB">
            <w:pPr>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color w:val="000000"/>
                <w:sz w:val="16"/>
                <w:szCs w:val="16"/>
                <w:u w:val="single"/>
                <w:lang w:eastAsia="es-CO"/>
              </w:rPr>
              <w:t>-</w:t>
            </w:r>
          </w:p>
        </w:tc>
        <w:tc>
          <w:tcPr>
            <w:tcW w:w="390" w:type="pct"/>
            <w:shd w:val="clear" w:color="auto" w:fill="auto"/>
            <w:vAlign w:val="center"/>
          </w:tcPr>
          <w:p w14:paraId="7805C592" w14:textId="5263C04E" w:rsidR="00D710B5" w:rsidRPr="0009028A" w:rsidRDefault="00331B10" w:rsidP="00A01FEB">
            <w:pPr>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color w:val="000000"/>
                <w:sz w:val="16"/>
                <w:szCs w:val="16"/>
                <w:u w:val="single"/>
                <w:lang w:eastAsia="es-CO"/>
              </w:rPr>
              <w:t>-</w:t>
            </w:r>
          </w:p>
        </w:tc>
        <w:tc>
          <w:tcPr>
            <w:tcW w:w="230" w:type="pct"/>
            <w:shd w:val="clear" w:color="auto" w:fill="auto"/>
            <w:vAlign w:val="center"/>
          </w:tcPr>
          <w:p w14:paraId="10796DD3" w14:textId="5FF025DA" w:rsidR="00D710B5" w:rsidRPr="0009028A" w:rsidRDefault="00D710B5" w:rsidP="00A01FEB">
            <w:pPr>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sz w:val="16"/>
                <w:szCs w:val="16"/>
                <w:u w:val="single"/>
                <w:lang w:eastAsia="es-CO"/>
              </w:rPr>
              <w:t>-</w:t>
            </w:r>
          </w:p>
        </w:tc>
        <w:tc>
          <w:tcPr>
            <w:tcW w:w="290" w:type="pct"/>
            <w:shd w:val="clear" w:color="auto" w:fill="auto"/>
            <w:vAlign w:val="center"/>
          </w:tcPr>
          <w:p w14:paraId="1D76EDD4" w14:textId="03193BFF" w:rsidR="00D710B5" w:rsidRPr="0009028A" w:rsidRDefault="00D710B5" w:rsidP="00A01FEB">
            <w:pPr>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color w:val="000000"/>
                <w:sz w:val="16"/>
                <w:szCs w:val="16"/>
                <w:u w:val="single"/>
                <w:lang w:eastAsia="es-CO"/>
              </w:rPr>
              <w:t>-</w:t>
            </w:r>
          </w:p>
        </w:tc>
        <w:tc>
          <w:tcPr>
            <w:tcW w:w="390" w:type="pct"/>
            <w:shd w:val="clear" w:color="auto" w:fill="auto"/>
            <w:vAlign w:val="center"/>
          </w:tcPr>
          <w:p w14:paraId="768E9E00" w14:textId="171C573D" w:rsidR="00D710B5" w:rsidRPr="0009028A" w:rsidRDefault="00D710B5" w:rsidP="00A01FEB">
            <w:pPr>
              <w:spacing w:after="0" w:line="240" w:lineRule="auto"/>
              <w:jc w:val="right"/>
              <w:rPr>
                <w:rFonts w:ascii="Arial" w:eastAsia="Times New Roman" w:hAnsi="Arial" w:cs="Arial"/>
                <w:sz w:val="16"/>
                <w:szCs w:val="16"/>
                <w:u w:val="single"/>
                <w:lang w:eastAsia="es-CO"/>
              </w:rPr>
            </w:pPr>
            <w:r w:rsidRPr="0009028A">
              <w:rPr>
                <w:rFonts w:ascii="Arial" w:eastAsia="Times New Roman" w:hAnsi="Arial" w:cs="Arial"/>
                <w:sz w:val="16"/>
                <w:szCs w:val="16"/>
                <w:u w:val="single"/>
                <w:lang w:eastAsia="es-CO"/>
              </w:rPr>
              <w:t>-</w:t>
            </w:r>
          </w:p>
        </w:tc>
        <w:tc>
          <w:tcPr>
            <w:tcW w:w="390" w:type="pct"/>
            <w:shd w:val="clear" w:color="auto" w:fill="auto"/>
            <w:vAlign w:val="center"/>
          </w:tcPr>
          <w:p w14:paraId="58506AD9" w14:textId="6DAF3A10" w:rsidR="00D710B5" w:rsidRPr="0009028A" w:rsidRDefault="00D710B5" w:rsidP="00A01FEB">
            <w:pPr>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color w:val="000000"/>
                <w:sz w:val="16"/>
                <w:szCs w:val="16"/>
                <w:u w:val="single"/>
                <w:lang w:eastAsia="es-CO"/>
              </w:rPr>
              <w:t>-</w:t>
            </w:r>
          </w:p>
        </w:tc>
        <w:tc>
          <w:tcPr>
            <w:tcW w:w="230" w:type="pct"/>
            <w:shd w:val="clear" w:color="auto" w:fill="auto"/>
            <w:vAlign w:val="center"/>
          </w:tcPr>
          <w:p w14:paraId="201FE29F" w14:textId="0A916EBE" w:rsidR="00D710B5" w:rsidRPr="0009028A" w:rsidRDefault="00D710B5" w:rsidP="00A01FEB">
            <w:pPr>
              <w:spacing w:after="0" w:line="240" w:lineRule="auto"/>
              <w:jc w:val="right"/>
              <w:rPr>
                <w:rFonts w:ascii="Arial" w:eastAsia="Times New Roman" w:hAnsi="Arial" w:cs="Arial"/>
                <w:sz w:val="16"/>
                <w:szCs w:val="16"/>
                <w:u w:val="single"/>
                <w:lang w:eastAsia="es-CO"/>
              </w:rPr>
            </w:pPr>
            <w:r w:rsidRPr="0009028A">
              <w:rPr>
                <w:rFonts w:ascii="Arial" w:eastAsia="Times New Roman" w:hAnsi="Arial" w:cs="Arial"/>
                <w:sz w:val="16"/>
                <w:szCs w:val="16"/>
                <w:u w:val="single"/>
                <w:lang w:eastAsia="es-CO"/>
              </w:rPr>
              <w:t>-</w:t>
            </w:r>
          </w:p>
        </w:tc>
        <w:tc>
          <w:tcPr>
            <w:tcW w:w="390" w:type="pct"/>
            <w:shd w:val="clear" w:color="auto" w:fill="auto"/>
            <w:vAlign w:val="center"/>
          </w:tcPr>
          <w:p w14:paraId="0245B4CC" w14:textId="7E9DB5C3" w:rsidR="00D710B5" w:rsidRPr="0009028A" w:rsidRDefault="00D710B5" w:rsidP="00A01FEB">
            <w:pPr>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color w:val="000000"/>
                <w:sz w:val="16"/>
                <w:szCs w:val="16"/>
                <w:u w:val="single"/>
                <w:lang w:eastAsia="es-CO"/>
              </w:rPr>
              <w:t>-</w:t>
            </w:r>
          </w:p>
        </w:tc>
        <w:tc>
          <w:tcPr>
            <w:tcW w:w="390" w:type="pct"/>
            <w:shd w:val="clear" w:color="auto" w:fill="auto"/>
            <w:vAlign w:val="center"/>
          </w:tcPr>
          <w:p w14:paraId="4735B114" w14:textId="1E8F0981" w:rsidR="00D710B5" w:rsidRPr="0009028A" w:rsidRDefault="00331B10" w:rsidP="00A01FEB">
            <w:pPr>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color w:val="000000"/>
                <w:sz w:val="16"/>
                <w:szCs w:val="16"/>
                <w:u w:val="single"/>
                <w:lang w:eastAsia="es-CO"/>
              </w:rPr>
              <w:t>565.851</w:t>
            </w:r>
          </w:p>
        </w:tc>
        <w:tc>
          <w:tcPr>
            <w:tcW w:w="430" w:type="pct"/>
            <w:shd w:val="clear" w:color="auto" w:fill="auto"/>
            <w:vAlign w:val="center"/>
          </w:tcPr>
          <w:p w14:paraId="71D7243B" w14:textId="68E92DAF" w:rsidR="00D710B5" w:rsidRPr="0009028A" w:rsidRDefault="00D710B5" w:rsidP="00A01FEB">
            <w:pPr>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color w:val="000000"/>
                <w:sz w:val="16"/>
                <w:szCs w:val="16"/>
                <w:u w:val="single"/>
                <w:lang w:eastAsia="es-CO"/>
              </w:rPr>
              <w:t>-</w:t>
            </w:r>
          </w:p>
        </w:tc>
        <w:tc>
          <w:tcPr>
            <w:tcW w:w="470" w:type="pct"/>
            <w:shd w:val="clear" w:color="auto" w:fill="auto"/>
            <w:vAlign w:val="center"/>
          </w:tcPr>
          <w:p w14:paraId="6595E5B7" w14:textId="207E4433" w:rsidR="00D710B5" w:rsidRPr="0009028A" w:rsidRDefault="00331B10" w:rsidP="00A01FEB">
            <w:pPr>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color w:val="000000"/>
                <w:sz w:val="16"/>
                <w:szCs w:val="16"/>
                <w:u w:val="single"/>
                <w:lang w:eastAsia="es-CO"/>
              </w:rPr>
              <w:t>565.851</w:t>
            </w:r>
          </w:p>
        </w:tc>
        <w:tc>
          <w:tcPr>
            <w:tcW w:w="430" w:type="pct"/>
            <w:shd w:val="clear" w:color="auto" w:fill="auto"/>
            <w:vAlign w:val="center"/>
          </w:tcPr>
          <w:p w14:paraId="429A881B" w14:textId="27E627BD" w:rsidR="00D710B5" w:rsidRPr="0009028A" w:rsidRDefault="00331B10" w:rsidP="00A01FEB">
            <w:pPr>
              <w:spacing w:after="0" w:line="240" w:lineRule="auto"/>
              <w:jc w:val="right"/>
              <w:rPr>
                <w:rFonts w:ascii="Arial" w:eastAsia="Times New Roman" w:hAnsi="Arial" w:cs="Arial"/>
                <w:color w:val="000000"/>
                <w:sz w:val="16"/>
                <w:szCs w:val="16"/>
                <w:u w:val="single"/>
                <w:lang w:eastAsia="es-CO"/>
              </w:rPr>
            </w:pPr>
            <w:r w:rsidRPr="0009028A">
              <w:rPr>
                <w:rFonts w:ascii="Arial" w:eastAsia="Times New Roman" w:hAnsi="Arial" w:cs="Arial"/>
                <w:color w:val="000000"/>
                <w:sz w:val="16"/>
                <w:szCs w:val="16"/>
                <w:u w:val="single"/>
                <w:lang w:eastAsia="es-CO"/>
              </w:rPr>
              <w:t>-</w:t>
            </w:r>
          </w:p>
        </w:tc>
      </w:tr>
      <w:tr w:rsidR="00EE7D26" w:rsidRPr="0009028A" w14:paraId="652B652F" w14:textId="77777777" w:rsidTr="008012BB">
        <w:trPr>
          <w:trHeight w:val="227"/>
        </w:trPr>
        <w:tc>
          <w:tcPr>
            <w:tcW w:w="578" w:type="pct"/>
            <w:shd w:val="clear" w:color="auto" w:fill="auto"/>
            <w:vAlign w:val="center"/>
            <w:hideMark/>
          </w:tcPr>
          <w:p w14:paraId="48FE6DC4" w14:textId="77777777" w:rsidR="00841693" w:rsidRPr="0009028A" w:rsidRDefault="00841693" w:rsidP="00841693">
            <w:pPr>
              <w:spacing w:after="0" w:line="240" w:lineRule="auto"/>
              <w:rPr>
                <w:rFonts w:ascii="Arial" w:eastAsia="Times New Roman" w:hAnsi="Arial" w:cs="Arial"/>
                <w:b/>
                <w:bCs/>
                <w:color w:val="103475"/>
                <w:sz w:val="16"/>
                <w:szCs w:val="16"/>
                <w:lang w:eastAsia="es-CO"/>
              </w:rPr>
            </w:pPr>
            <w:r w:rsidRPr="0009028A">
              <w:rPr>
                <w:rFonts w:ascii="Arial" w:eastAsia="Times New Roman" w:hAnsi="Arial" w:cs="Arial"/>
                <w:b/>
                <w:bCs/>
                <w:color w:val="103475"/>
                <w:sz w:val="16"/>
                <w:szCs w:val="16"/>
                <w:lang w:eastAsia="es-CO"/>
              </w:rPr>
              <w:t>Total gastos</w:t>
            </w:r>
          </w:p>
        </w:tc>
        <w:tc>
          <w:tcPr>
            <w:tcW w:w="390" w:type="pct"/>
            <w:shd w:val="clear" w:color="auto" w:fill="auto"/>
            <w:vAlign w:val="center"/>
          </w:tcPr>
          <w:p w14:paraId="63C5CD9F" w14:textId="438F3FBF" w:rsidR="00841693" w:rsidRPr="0009028A" w:rsidRDefault="00331B10" w:rsidP="00A01FEB">
            <w:pPr>
              <w:spacing w:after="0" w:line="240" w:lineRule="auto"/>
              <w:jc w:val="right"/>
              <w:rPr>
                <w:rFonts w:ascii="Arial" w:eastAsia="Times New Roman" w:hAnsi="Arial" w:cs="Arial"/>
                <w:b/>
                <w:bCs/>
                <w:color w:val="103475"/>
                <w:sz w:val="16"/>
                <w:szCs w:val="16"/>
                <w:u w:val="double"/>
                <w:lang w:eastAsia="es-CO"/>
              </w:rPr>
            </w:pPr>
            <w:r w:rsidRPr="0009028A">
              <w:rPr>
                <w:rFonts w:ascii="Arial" w:eastAsia="Times New Roman" w:hAnsi="Arial" w:cs="Arial"/>
                <w:b/>
                <w:bCs/>
                <w:color w:val="103475"/>
                <w:sz w:val="16"/>
                <w:szCs w:val="16"/>
                <w:u w:val="double"/>
                <w:lang w:eastAsia="es-CO"/>
              </w:rPr>
              <w:t>13.601</w:t>
            </w:r>
          </w:p>
        </w:tc>
        <w:tc>
          <w:tcPr>
            <w:tcW w:w="390" w:type="pct"/>
            <w:shd w:val="clear" w:color="auto" w:fill="auto"/>
            <w:vAlign w:val="center"/>
          </w:tcPr>
          <w:p w14:paraId="366E294D" w14:textId="7FA928D2" w:rsidR="00841693" w:rsidRPr="0009028A" w:rsidRDefault="00331B10" w:rsidP="00A01FEB">
            <w:pPr>
              <w:spacing w:after="0" w:line="240" w:lineRule="auto"/>
              <w:jc w:val="right"/>
              <w:rPr>
                <w:rFonts w:ascii="Arial" w:eastAsia="Times New Roman" w:hAnsi="Arial" w:cs="Arial"/>
                <w:b/>
                <w:bCs/>
                <w:color w:val="103475"/>
                <w:sz w:val="16"/>
                <w:szCs w:val="16"/>
                <w:u w:val="double"/>
                <w:lang w:eastAsia="es-CO"/>
              </w:rPr>
            </w:pPr>
            <w:r w:rsidRPr="0009028A">
              <w:rPr>
                <w:rFonts w:ascii="Arial" w:eastAsia="Times New Roman" w:hAnsi="Arial" w:cs="Arial"/>
                <w:b/>
                <w:bCs/>
                <w:color w:val="103475"/>
                <w:sz w:val="16"/>
                <w:szCs w:val="16"/>
                <w:u w:val="double"/>
                <w:lang w:eastAsia="es-CO"/>
              </w:rPr>
              <w:t>-</w:t>
            </w:r>
          </w:p>
        </w:tc>
        <w:tc>
          <w:tcPr>
            <w:tcW w:w="230" w:type="pct"/>
            <w:shd w:val="clear" w:color="auto" w:fill="auto"/>
            <w:vAlign w:val="center"/>
          </w:tcPr>
          <w:p w14:paraId="3B332EF6" w14:textId="2EBE7572" w:rsidR="00841693" w:rsidRPr="0009028A" w:rsidRDefault="00331B10" w:rsidP="00A01FEB">
            <w:pPr>
              <w:spacing w:after="0" w:line="240" w:lineRule="auto"/>
              <w:jc w:val="right"/>
              <w:rPr>
                <w:rFonts w:ascii="Arial" w:eastAsia="Times New Roman" w:hAnsi="Arial" w:cs="Arial"/>
                <w:b/>
                <w:bCs/>
                <w:color w:val="103475"/>
                <w:sz w:val="16"/>
                <w:szCs w:val="16"/>
                <w:u w:val="double"/>
                <w:lang w:eastAsia="es-CO"/>
              </w:rPr>
            </w:pPr>
            <w:r w:rsidRPr="0009028A">
              <w:rPr>
                <w:rFonts w:ascii="Arial" w:eastAsia="Times New Roman" w:hAnsi="Arial" w:cs="Arial"/>
                <w:b/>
                <w:bCs/>
                <w:color w:val="103475"/>
                <w:sz w:val="16"/>
                <w:szCs w:val="16"/>
                <w:u w:val="double"/>
                <w:lang w:eastAsia="es-CO"/>
              </w:rPr>
              <w:t>-</w:t>
            </w:r>
          </w:p>
        </w:tc>
        <w:tc>
          <w:tcPr>
            <w:tcW w:w="290" w:type="pct"/>
            <w:shd w:val="clear" w:color="auto" w:fill="auto"/>
            <w:vAlign w:val="center"/>
          </w:tcPr>
          <w:p w14:paraId="359D71DA" w14:textId="7FB7922A" w:rsidR="00841693" w:rsidRPr="0009028A" w:rsidRDefault="00331B10" w:rsidP="00A01FEB">
            <w:pPr>
              <w:spacing w:after="0" w:line="240" w:lineRule="auto"/>
              <w:jc w:val="right"/>
              <w:rPr>
                <w:rFonts w:ascii="Arial" w:eastAsia="Times New Roman" w:hAnsi="Arial" w:cs="Arial"/>
                <w:b/>
                <w:bCs/>
                <w:color w:val="103475"/>
                <w:sz w:val="16"/>
                <w:szCs w:val="16"/>
                <w:u w:val="double"/>
                <w:lang w:eastAsia="es-CO"/>
              </w:rPr>
            </w:pPr>
            <w:r w:rsidRPr="0009028A">
              <w:rPr>
                <w:rFonts w:ascii="Arial" w:eastAsia="Times New Roman" w:hAnsi="Arial" w:cs="Arial"/>
                <w:b/>
                <w:bCs/>
                <w:color w:val="103475"/>
                <w:sz w:val="16"/>
                <w:szCs w:val="16"/>
                <w:u w:val="double"/>
                <w:lang w:eastAsia="es-CO"/>
              </w:rPr>
              <w:t>273</w:t>
            </w:r>
          </w:p>
        </w:tc>
        <w:tc>
          <w:tcPr>
            <w:tcW w:w="390" w:type="pct"/>
            <w:shd w:val="clear" w:color="auto" w:fill="auto"/>
            <w:vAlign w:val="center"/>
          </w:tcPr>
          <w:p w14:paraId="742593E8" w14:textId="406F48DF" w:rsidR="00841693" w:rsidRPr="0009028A" w:rsidRDefault="00331B10" w:rsidP="00A01FEB">
            <w:pPr>
              <w:spacing w:after="0" w:line="240" w:lineRule="auto"/>
              <w:jc w:val="right"/>
              <w:rPr>
                <w:rFonts w:ascii="Arial" w:eastAsia="Times New Roman" w:hAnsi="Arial" w:cs="Arial"/>
                <w:b/>
                <w:bCs/>
                <w:color w:val="103475"/>
                <w:sz w:val="16"/>
                <w:szCs w:val="16"/>
                <w:u w:val="double"/>
                <w:lang w:eastAsia="es-CO"/>
              </w:rPr>
            </w:pPr>
            <w:r w:rsidRPr="0009028A">
              <w:rPr>
                <w:rFonts w:ascii="Arial" w:eastAsia="Times New Roman" w:hAnsi="Arial" w:cs="Arial"/>
                <w:b/>
                <w:bCs/>
                <w:color w:val="103475"/>
                <w:sz w:val="16"/>
                <w:szCs w:val="16"/>
                <w:u w:val="double"/>
                <w:lang w:eastAsia="es-CO"/>
              </w:rPr>
              <w:t>824.703</w:t>
            </w:r>
          </w:p>
        </w:tc>
        <w:tc>
          <w:tcPr>
            <w:tcW w:w="390" w:type="pct"/>
            <w:shd w:val="clear" w:color="auto" w:fill="auto"/>
            <w:vAlign w:val="center"/>
          </w:tcPr>
          <w:p w14:paraId="60A811B5" w14:textId="77777777" w:rsidR="00841693" w:rsidRPr="0009028A" w:rsidRDefault="00331B10" w:rsidP="00A01FEB">
            <w:pPr>
              <w:spacing w:after="0" w:line="240" w:lineRule="auto"/>
              <w:jc w:val="right"/>
              <w:rPr>
                <w:rFonts w:ascii="Arial" w:eastAsia="Times New Roman" w:hAnsi="Arial" w:cs="Arial"/>
                <w:b/>
                <w:bCs/>
                <w:color w:val="103475"/>
                <w:sz w:val="16"/>
                <w:szCs w:val="16"/>
                <w:u w:val="double"/>
                <w:lang w:eastAsia="es-CO"/>
              </w:rPr>
            </w:pPr>
            <w:r w:rsidRPr="0009028A">
              <w:rPr>
                <w:rFonts w:ascii="Arial" w:eastAsia="Times New Roman" w:hAnsi="Arial" w:cs="Arial"/>
                <w:b/>
                <w:bCs/>
                <w:color w:val="103475"/>
                <w:sz w:val="16"/>
                <w:szCs w:val="16"/>
                <w:u w:val="double"/>
                <w:lang w:eastAsia="es-CO"/>
              </w:rPr>
              <w:t>6.437.668</w:t>
            </w:r>
          </w:p>
        </w:tc>
        <w:tc>
          <w:tcPr>
            <w:tcW w:w="230" w:type="pct"/>
            <w:shd w:val="clear" w:color="auto" w:fill="auto"/>
            <w:vAlign w:val="center"/>
          </w:tcPr>
          <w:p w14:paraId="2ABC3249" w14:textId="56E9AA55" w:rsidR="00841693" w:rsidRPr="0009028A" w:rsidRDefault="00331B10" w:rsidP="00A01FEB">
            <w:pPr>
              <w:spacing w:after="0" w:line="240" w:lineRule="auto"/>
              <w:jc w:val="right"/>
              <w:rPr>
                <w:rFonts w:ascii="Arial" w:eastAsia="Times New Roman" w:hAnsi="Arial" w:cs="Arial"/>
                <w:b/>
                <w:bCs/>
                <w:color w:val="103475"/>
                <w:sz w:val="16"/>
                <w:szCs w:val="16"/>
                <w:u w:val="double"/>
                <w:lang w:eastAsia="es-CO"/>
              </w:rPr>
            </w:pPr>
            <w:r w:rsidRPr="0009028A">
              <w:rPr>
                <w:rFonts w:ascii="Arial" w:eastAsia="Times New Roman" w:hAnsi="Arial" w:cs="Arial"/>
                <w:b/>
                <w:bCs/>
                <w:color w:val="103475"/>
                <w:sz w:val="16"/>
                <w:szCs w:val="16"/>
                <w:u w:val="double"/>
                <w:lang w:eastAsia="es-CO"/>
              </w:rPr>
              <w:t>-</w:t>
            </w:r>
          </w:p>
        </w:tc>
        <w:tc>
          <w:tcPr>
            <w:tcW w:w="390" w:type="pct"/>
            <w:shd w:val="clear" w:color="auto" w:fill="auto"/>
            <w:vAlign w:val="center"/>
          </w:tcPr>
          <w:p w14:paraId="10E1D2B8" w14:textId="77777777" w:rsidR="00841693" w:rsidRPr="0009028A" w:rsidRDefault="00331B10" w:rsidP="00A01FEB">
            <w:pPr>
              <w:spacing w:after="0" w:line="240" w:lineRule="auto"/>
              <w:jc w:val="right"/>
              <w:rPr>
                <w:rFonts w:ascii="Arial" w:eastAsia="Times New Roman" w:hAnsi="Arial" w:cs="Arial"/>
                <w:b/>
                <w:bCs/>
                <w:color w:val="103475"/>
                <w:sz w:val="16"/>
                <w:szCs w:val="16"/>
                <w:u w:val="double"/>
                <w:lang w:eastAsia="es-CO"/>
              </w:rPr>
            </w:pPr>
            <w:r w:rsidRPr="0009028A">
              <w:rPr>
                <w:rFonts w:ascii="Arial" w:eastAsia="Times New Roman" w:hAnsi="Arial" w:cs="Arial"/>
                <w:b/>
                <w:bCs/>
                <w:color w:val="103475"/>
                <w:sz w:val="16"/>
                <w:szCs w:val="16"/>
                <w:u w:val="double"/>
                <w:lang w:eastAsia="es-CO"/>
              </w:rPr>
              <w:t>1.432.843</w:t>
            </w:r>
          </w:p>
        </w:tc>
        <w:tc>
          <w:tcPr>
            <w:tcW w:w="390" w:type="pct"/>
            <w:shd w:val="clear" w:color="auto" w:fill="auto"/>
            <w:vAlign w:val="center"/>
          </w:tcPr>
          <w:p w14:paraId="425D9929" w14:textId="77777777" w:rsidR="00841693" w:rsidRPr="0009028A" w:rsidRDefault="00331B10" w:rsidP="00A01FEB">
            <w:pPr>
              <w:spacing w:after="0" w:line="240" w:lineRule="auto"/>
              <w:jc w:val="right"/>
              <w:rPr>
                <w:rFonts w:ascii="Arial" w:eastAsia="Times New Roman" w:hAnsi="Arial" w:cs="Arial"/>
                <w:b/>
                <w:bCs/>
                <w:color w:val="103475"/>
                <w:sz w:val="16"/>
                <w:szCs w:val="16"/>
                <w:u w:val="double"/>
                <w:lang w:eastAsia="es-CO"/>
              </w:rPr>
            </w:pPr>
            <w:r w:rsidRPr="0009028A">
              <w:rPr>
                <w:rFonts w:ascii="Arial" w:eastAsia="Times New Roman" w:hAnsi="Arial" w:cs="Arial"/>
                <w:b/>
                <w:bCs/>
                <w:color w:val="103475"/>
                <w:sz w:val="16"/>
                <w:szCs w:val="16"/>
                <w:u w:val="double"/>
                <w:lang w:eastAsia="es-CO"/>
              </w:rPr>
              <w:t>1.896.712</w:t>
            </w:r>
          </w:p>
        </w:tc>
        <w:tc>
          <w:tcPr>
            <w:tcW w:w="430" w:type="pct"/>
            <w:shd w:val="clear" w:color="auto" w:fill="auto"/>
            <w:vAlign w:val="center"/>
          </w:tcPr>
          <w:p w14:paraId="1BC99C34" w14:textId="77777777" w:rsidR="00841693" w:rsidRPr="0009028A" w:rsidRDefault="00331B10" w:rsidP="00A01FEB">
            <w:pPr>
              <w:spacing w:after="0" w:line="240" w:lineRule="auto"/>
              <w:jc w:val="right"/>
              <w:rPr>
                <w:rFonts w:ascii="Arial" w:eastAsia="Times New Roman" w:hAnsi="Arial" w:cs="Arial"/>
                <w:b/>
                <w:bCs/>
                <w:color w:val="103475"/>
                <w:sz w:val="16"/>
                <w:szCs w:val="16"/>
                <w:u w:val="double"/>
                <w:lang w:eastAsia="es-CO"/>
              </w:rPr>
            </w:pPr>
            <w:r w:rsidRPr="0009028A">
              <w:rPr>
                <w:rFonts w:ascii="Arial" w:eastAsia="Times New Roman" w:hAnsi="Arial" w:cs="Arial"/>
                <w:b/>
                <w:bCs/>
                <w:color w:val="103475"/>
                <w:sz w:val="16"/>
                <w:szCs w:val="16"/>
                <w:u w:val="double"/>
                <w:lang w:eastAsia="es-CO"/>
              </w:rPr>
              <w:t>24.420.527</w:t>
            </w:r>
          </w:p>
        </w:tc>
        <w:tc>
          <w:tcPr>
            <w:tcW w:w="470" w:type="pct"/>
            <w:shd w:val="clear" w:color="auto" w:fill="auto"/>
            <w:vAlign w:val="center"/>
          </w:tcPr>
          <w:p w14:paraId="207A365B" w14:textId="77777777" w:rsidR="00841693" w:rsidRPr="0009028A" w:rsidRDefault="00331B10" w:rsidP="00A01FEB">
            <w:pPr>
              <w:spacing w:after="0" w:line="240" w:lineRule="auto"/>
              <w:jc w:val="right"/>
              <w:rPr>
                <w:rFonts w:ascii="Arial" w:eastAsia="Times New Roman" w:hAnsi="Arial" w:cs="Arial"/>
                <w:b/>
                <w:bCs/>
                <w:color w:val="103475"/>
                <w:sz w:val="16"/>
                <w:szCs w:val="16"/>
                <w:u w:val="double"/>
                <w:lang w:eastAsia="es-CO"/>
              </w:rPr>
            </w:pPr>
            <w:r w:rsidRPr="0009028A">
              <w:rPr>
                <w:rFonts w:ascii="Arial" w:eastAsia="Times New Roman" w:hAnsi="Arial" w:cs="Arial"/>
                <w:b/>
                <w:bCs/>
                <w:color w:val="103475"/>
                <w:sz w:val="16"/>
                <w:szCs w:val="16"/>
                <w:u w:val="double"/>
                <w:lang w:eastAsia="es-CO"/>
              </w:rPr>
              <w:t>2.735.016</w:t>
            </w:r>
          </w:p>
        </w:tc>
        <w:tc>
          <w:tcPr>
            <w:tcW w:w="430" w:type="pct"/>
            <w:shd w:val="clear" w:color="auto" w:fill="auto"/>
            <w:vAlign w:val="center"/>
          </w:tcPr>
          <w:p w14:paraId="0B841522" w14:textId="77777777" w:rsidR="00841693" w:rsidRPr="0009028A" w:rsidRDefault="00331B10" w:rsidP="00A01FEB">
            <w:pPr>
              <w:spacing w:after="0" w:line="240" w:lineRule="auto"/>
              <w:jc w:val="right"/>
              <w:rPr>
                <w:rFonts w:ascii="Arial" w:eastAsia="Times New Roman" w:hAnsi="Arial" w:cs="Arial"/>
                <w:b/>
                <w:bCs/>
                <w:color w:val="103475"/>
                <w:sz w:val="16"/>
                <w:szCs w:val="16"/>
                <w:u w:val="double"/>
                <w:lang w:eastAsia="es-CO"/>
              </w:rPr>
            </w:pPr>
            <w:r w:rsidRPr="0009028A">
              <w:rPr>
                <w:rFonts w:ascii="Arial" w:eastAsia="Times New Roman" w:hAnsi="Arial" w:cs="Arial"/>
                <w:b/>
                <w:bCs/>
                <w:color w:val="103475"/>
                <w:sz w:val="16"/>
                <w:szCs w:val="16"/>
                <w:u w:val="double"/>
                <w:lang w:eastAsia="es-CO"/>
              </w:rPr>
              <w:t>32.29</w:t>
            </w:r>
            <w:r w:rsidR="0016511E" w:rsidRPr="0009028A">
              <w:rPr>
                <w:rFonts w:ascii="Arial" w:eastAsia="Times New Roman" w:hAnsi="Arial" w:cs="Arial"/>
                <w:b/>
                <w:bCs/>
                <w:color w:val="103475"/>
                <w:sz w:val="16"/>
                <w:szCs w:val="16"/>
                <w:u w:val="double"/>
                <w:lang w:eastAsia="es-CO"/>
              </w:rPr>
              <w:t>1</w:t>
            </w:r>
            <w:r w:rsidRPr="0009028A">
              <w:rPr>
                <w:rFonts w:ascii="Arial" w:eastAsia="Times New Roman" w:hAnsi="Arial" w:cs="Arial"/>
                <w:b/>
                <w:bCs/>
                <w:color w:val="103475"/>
                <w:sz w:val="16"/>
                <w:szCs w:val="16"/>
                <w:u w:val="double"/>
                <w:lang w:eastAsia="es-CO"/>
              </w:rPr>
              <w:t>.311</w:t>
            </w:r>
          </w:p>
        </w:tc>
      </w:tr>
    </w:tbl>
    <w:p w14:paraId="4CD59FE1" w14:textId="77777777" w:rsidR="00711005" w:rsidRPr="0009028A" w:rsidRDefault="00711005" w:rsidP="002C22EC">
      <w:pPr>
        <w:spacing w:after="0"/>
        <w:rPr>
          <w:rFonts w:ascii="Arial" w:hAnsi="Arial" w:cs="Arial"/>
          <w:sz w:val="12"/>
          <w:szCs w:val="12"/>
        </w:rPr>
      </w:pPr>
    </w:p>
    <w:p w14:paraId="3A63527B" w14:textId="77777777" w:rsidR="002C22EC" w:rsidRPr="0009028A" w:rsidRDefault="002C22EC" w:rsidP="003E6D64">
      <w:pPr>
        <w:spacing w:after="0"/>
        <w:jc w:val="both"/>
        <w:rPr>
          <w:rFonts w:ascii="Arial" w:hAnsi="Arial" w:cs="Arial"/>
          <w:sz w:val="20"/>
        </w:rPr>
      </w:pPr>
      <w:r w:rsidRPr="0009028A">
        <w:rPr>
          <w:rFonts w:ascii="Arial" w:hAnsi="Arial" w:cs="Arial"/>
          <w:sz w:val="20"/>
        </w:rPr>
        <w:t xml:space="preserve">Las partes relacionadas </w:t>
      </w:r>
      <w:r w:rsidR="00061DEF" w:rsidRPr="0009028A">
        <w:rPr>
          <w:rFonts w:ascii="Arial" w:hAnsi="Arial" w:cs="Arial"/>
          <w:sz w:val="20"/>
        </w:rPr>
        <w:t>c</w:t>
      </w:r>
      <w:r w:rsidRPr="0009028A">
        <w:rPr>
          <w:rFonts w:ascii="Arial" w:hAnsi="Arial" w:cs="Arial"/>
          <w:sz w:val="20"/>
        </w:rPr>
        <w:t xml:space="preserve">uentas </w:t>
      </w:r>
      <w:r w:rsidR="00687D73" w:rsidRPr="0009028A">
        <w:rPr>
          <w:rFonts w:ascii="Arial" w:hAnsi="Arial" w:cs="Arial"/>
          <w:sz w:val="20"/>
        </w:rPr>
        <w:t xml:space="preserve">por cobrar y cuentas por pagar </w:t>
      </w:r>
      <w:r w:rsidRPr="0009028A">
        <w:rPr>
          <w:rFonts w:ascii="Arial" w:hAnsi="Arial" w:cs="Arial"/>
          <w:sz w:val="20"/>
        </w:rPr>
        <w:t xml:space="preserve">a </w:t>
      </w:r>
      <w:r w:rsidR="003919A1" w:rsidRPr="0009028A">
        <w:rPr>
          <w:rFonts w:ascii="Arial" w:hAnsi="Arial" w:cs="Arial"/>
          <w:sz w:val="20"/>
        </w:rPr>
        <w:t>marzo</w:t>
      </w:r>
      <w:r w:rsidR="00E4708E" w:rsidRPr="0009028A">
        <w:rPr>
          <w:rFonts w:ascii="Arial" w:hAnsi="Arial" w:cs="Arial"/>
          <w:sz w:val="20"/>
        </w:rPr>
        <w:t xml:space="preserve"> 3</w:t>
      </w:r>
      <w:r w:rsidR="003919A1" w:rsidRPr="0009028A">
        <w:rPr>
          <w:rFonts w:ascii="Arial" w:hAnsi="Arial" w:cs="Arial"/>
          <w:sz w:val="20"/>
        </w:rPr>
        <w:t>1 de 2019</w:t>
      </w:r>
      <w:r w:rsidR="00687D73" w:rsidRPr="0009028A">
        <w:rPr>
          <w:rFonts w:ascii="Arial" w:hAnsi="Arial" w:cs="Arial"/>
          <w:sz w:val="20"/>
        </w:rPr>
        <w:t xml:space="preserve"> y diciembre 31 de 201</w:t>
      </w:r>
      <w:r w:rsidR="003919A1" w:rsidRPr="0009028A">
        <w:rPr>
          <w:rFonts w:ascii="Arial" w:hAnsi="Arial" w:cs="Arial"/>
          <w:sz w:val="20"/>
        </w:rPr>
        <w:t>8</w:t>
      </w:r>
      <w:r w:rsidRPr="0009028A">
        <w:rPr>
          <w:rFonts w:ascii="Arial" w:hAnsi="Arial" w:cs="Arial"/>
          <w:sz w:val="20"/>
        </w:rPr>
        <w:t xml:space="preserve"> comprenden:</w:t>
      </w:r>
    </w:p>
    <w:p w14:paraId="0F600710" w14:textId="77777777" w:rsidR="004438FE" w:rsidRPr="0009028A" w:rsidRDefault="004438FE" w:rsidP="00221507">
      <w:pPr>
        <w:spacing w:after="0"/>
        <w:ind w:right="-2"/>
        <w:jc w:val="both"/>
        <w:rPr>
          <w:rFonts w:ascii="Arial" w:hAnsi="Arial" w:cs="Arial"/>
          <w:sz w:val="20"/>
          <w:szCs w:val="20"/>
          <w:lang w:val="es-AR"/>
        </w:rPr>
      </w:pPr>
    </w:p>
    <w:tbl>
      <w:tblPr>
        <w:tblW w:w="5569" w:type="pct"/>
        <w:tblInd w:w="-284" w:type="dxa"/>
        <w:tblLayout w:type="fixed"/>
        <w:tblCellMar>
          <w:left w:w="70" w:type="dxa"/>
          <w:right w:w="70" w:type="dxa"/>
        </w:tblCellMar>
        <w:tblLook w:val="04A0" w:firstRow="1" w:lastRow="0" w:firstColumn="1" w:lastColumn="0" w:noHBand="0" w:noVBand="1"/>
      </w:tblPr>
      <w:tblGrid>
        <w:gridCol w:w="1797"/>
        <w:gridCol w:w="989"/>
        <w:gridCol w:w="1116"/>
        <w:gridCol w:w="924"/>
        <w:gridCol w:w="996"/>
        <w:gridCol w:w="994"/>
        <w:gridCol w:w="1237"/>
        <w:gridCol w:w="994"/>
        <w:gridCol w:w="996"/>
        <w:gridCol w:w="921"/>
        <w:gridCol w:w="994"/>
        <w:gridCol w:w="1249"/>
        <w:gridCol w:w="1277"/>
      </w:tblGrid>
      <w:tr w:rsidR="00DD56AF" w:rsidRPr="008012BB" w14:paraId="479D7BCC" w14:textId="77777777" w:rsidTr="008012BB">
        <w:trPr>
          <w:trHeight w:val="227"/>
        </w:trPr>
        <w:tc>
          <w:tcPr>
            <w:tcW w:w="620" w:type="pct"/>
            <w:shd w:val="clear" w:color="auto" w:fill="auto"/>
            <w:vAlign w:val="center"/>
            <w:hideMark/>
          </w:tcPr>
          <w:p w14:paraId="71FBA423" w14:textId="77777777" w:rsidR="00431FA7" w:rsidRPr="008012BB" w:rsidRDefault="00431FA7" w:rsidP="00092BBA">
            <w:pPr>
              <w:spacing w:after="0" w:line="240" w:lineRule="auto"/>
              <w:jc w:val="center"/>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Transacciones con partes relacionadas - Cuentas por cobrar y cuentas por pagar</w:t>
            </w:r>
          </w:p>
        </w:tc>
        <w:tc>
          <w:tcPr>
            <w:tcW w:w="726" w:type="pct"/>
            <w:gridSpan w:val="2"/>
            <w:shd w:val="clear" w:color="auto" w:fill="auto"/>
            <w:vAlign w:val="center"/>
            <w:hideMark/>
          </w:tcPr>
          <w:p w14:paraId="5DD4BCD0" w14:textId="77777777" w:rsidR="00431FA7" w:rsidRPr="008012BB" w:rsidRDefault="00431FA7" w:rsidP="00092BBA">
            <w:pPr>
              <w:spacing w:after="0" w:line="240" w:lineRule="auto"/>
              <w:jc w:val="center"/>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Inversiones en asociadas</w:t>
            </w:r>
          </w:p>
        </w:tc>
        <w:tc>
          <w:tcPr>
            <w:tcW w:w="663" w:type="pct"/>
            <w:gridSpan w:val="2"/>
            <w:shd w:val="clear" w:color="auto" w:fill="auto"/>
            <w:vAlign w:val="center"/>
            <w:hideMark/>
          </w:tcPr>
          <w:p w14:paraId="455C5932" w14:textId="77777777" w:rsidR="00431FA7" w:rsidRPr="008012BB" w:rsidRDefault="00431FA7" w:rsidP="00092BBA">
            <w:pPr>
              <w:spacing w:after="0" w:line="240" w:lineRule="auto"/>
              <w:jc w:val="center"/>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Inversiones en negocios conjuntos</w:t>
            </w:r>
          </w:p>
        </w:tc>
        <w:tc>
          <w:tcPr>
            <w:tcW w:w="770" w:type="pct"/>
            <w:gridSpan w:val="2"/>
            <w:shd w:val="clear" w:color="auto" w:fill="auto"/>
            <w:vAlign w:val="center"/>
          </w:tcPr>
          <w:p w14:paraId="02D6A0A5" w14:textId="77777777" w:rsidR="00431FA7" w:rsidRPr="008012BB" w:rsidRDefault="00431FA7" w:rsidP="00092BBA">
            <w:pPr>
              <w:spacing w:after="0" w:line="240" w:lineRule="auto"/>
              <w:jc w:val="center"/>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Inversiones en subsidiarias</w:t>
            </w:r>
          </w:p>
        </w:tc>
        <w:tc>
          <w:tcPr>
            <w:tcW w:w="687" w:type="pct"/>
            <w:gridSpan w:val="2"/>
            <w:shd w:val="clear" w:color="auto" w:fill="auto"/>
            <w:vAlign w:val="center"/>
          </w:tcPr>
          <w:p w14:paraId="7EDD865F" w14:textId="77777777" w:rsidR="00431FA7" w:rsidRPr="008012BB" w:rsidRDefault="00431FA7" w:rsidP="00092BBA">
            <w:pPr>
              <w:spacing w:after="0" w:line="240" w:lineRule="auto"/>
              <w:jc w:val="center"/>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Casa matriz</w:t>
            </w:r>
          </w:p>
        </w:tc>
        <w:tc>
          <w:tcPr>
            <w:tcW w:w="661" w:type="pct"/>
            <w:gridSpan w:val="2"/>
            <w:shd w:val="clear" w:color="auto" w:fill="auto"/>
            <w:vAlign w:val="center"/>
          </w:tcPr>
          <w:p w14:paraId="1378DFB4" w14:textId="77777777" w:rsidR="00431FA7" w:rsidRPr="008012BB" w:rsidRDefault="00431FA7" w:rsidP="00092BBA">
            <w:pPr>
              <w:spacing w:after="0" w:line="240" w:lineRule="auto"/>
              <w:jc w:val="center"/>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Otras partes relacionadas</w:t>
            </w:r>
          </w:p>
        </w:tc>
        <w:tc>
          <w:tcPr>
            <w:tcW w:w="872" w:type="pct"/>
            <w:gridSpan w:val="2"/>
            <w:shd w:val="clear" w:color="auto" w:fill="auto"/>
            <w:vAlign w:val="center"/>
          </w:tcPr>
          <w:p w14:paraId="1F2ACA3E" w14:textId="77777777" w:rsidR="00431FA7" w:rsidRPr="008012BB" w:rsidRDefault="00431FA7" w:rsidP="00092BBA">
            <w:pPr>
              <w:spacing w:after="0" w:line="240" w:lineRule="auto"/>
              <w:jc w:val="center"/>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Total general</w:t>
            </w:r>
          </w:p>
        </w:tc>
      </w:tr>
      <w:tr w:rsidR="00DD56AF" w:rsidRPr="008012BB" w14:paraId="2A2326D9" w14:textId="77777777" w:rsidTr="008012BB">
        <w:trPr>
          <w:trHeight w:val="227"/>
        </w:trPr>
        <w:tc>
          <w:tcPr>
            <w:tcW w:w="620" w:type="pct"/>
            <w:shd w:val="clear" w:color="auto" w:fill="auto"/>
            <w:vAlign w:val="center"/>
            <w:hideMark/>
          </w:tcPr>
          <w:p w14:paraId="7FA321B0" w14:textId="77777777" w:rsidR="00431FA7" w:rsidRPr="008012BB" w:rsidRDefault="00431FA7" w:rsidP="00431FA7">
            <w:pPr>
              <w:spacing w:after="0" w:line="240" w:lineRule="auto"/>
              <w:jc w:val="center"/>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 </w:t>
            </w:r>
          </w:p>
        </w:tc>
        <w:tc>
          <w:tcPr>
            <w:tcW w:w="341" w:type="pct"/>
            <w:shd w:val="clear" w:color="auto" w:fill="auto"/>
            <w:vAlign w:val="center"/>
            <w:hideMark/>
          </w:tcPr>
          <w:p w14:paraId="30506250" w14:textId="77777777" w:rsidR="00431FA7" w:rsidRPr="008012BB" w:rsidRDefault="00431FA7" w:rsidP="00431FA7">
            <w:pPr>
              <w:spacing w:after="0" w:line="240" w:lineRule="auto"/>
              <w:jc w:val="center"/>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2019</w:t>
            </w:r>
          </w:p>
        </w:tc>
        <w:tc>
          <w:tcPr>
            <w:tcW w:w="385" w:type="pct"/>
            <w:shd w:val="clear" w:color="auto" w:fill="auto"/>
            <w:vAlign w:val="center"/>
            <w:hideMark/>
          </w:tcPr>
          <w:p w14:paraId="16D856D4" w14:textId="77777777" w:rsidR="00431FA7" w:rsidRPr="008012BB" w:rsidRDefault="00431FA7" w:rsidP="00431FA7">
            <w:pPr>
              <w:spacing w:after="0" w:line="240" w:lineRule="auto"/>
              <w:jc w:val="center"/>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2018</w:t>
            </w:r>
          </w:p>
        </w:tc>
        <w:tc>
          <w:tcPr>
            <w:tcW w:w="319" w:type="pct"/>
            <w:shd w:val="clear" w:color="auto" w:fill="auto"/>
            <w:vAlign w:val="center"/>
            <w:hideMark/>
          </w:tcPr>
          <w:p w14:paraId="0487CC99" w14:textId="77777777" w:rsidR="00431FA7" w:rsidRPr="008012BB" w:rsidRDefault="00431FA7" w:rsidP="00431FA7">
            <w:pPr>
              <w:spacing w:after="0" w:line="240" w:lineRule="auto"/>
              <w:jc w:val="center"/>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2019</w:t>
            </w:r>
          </w:p>
        </w:tc>
        <w:tc>
          <w:tcPr>
            <w:tcW w:w="344" w:type="pct"/>
            <w:shd w:val="clear" w:color="auto" w:fill="auto"/>
            <w:vAlign w:val="center"/>
          </w:tcPr>
          <w:p w14:paraId="68C0CB4B" w14:textId="77777777" w:rsidR="00431FA7" w:rsidRPr="008012BB" w:rsidRDefault="00431FA7" w:rsidP="00431FA7">
            <w:pPr>
              <w:spacing w:after="0" w:line="240" w:lineRule="auto"/>
              <w:jc w:val="center"/>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2018</w:t>
            </w:r>
          </w:p>
        </w:tc>
        <w:tc>
          <w:tcPr>
            <w:tcW w:w="343" w:type="pct"/>
            <w:shd w:val="clear" w:color="auto" w:fill="auto"/>
            <w:vAlign w:val="center"/>
          </w:tcPr>
          <w:p w14:paraId="4743E18D" w14:textId="77777777" w:rsidR="00431FA7" w:rsidRPr="008012BB" w:rsidRDefault="00431FA7" w:rsidP="00431FA7">
            <w:pPr>
              <w:spacing w:after="0" w:line="240" w:lineRule="auto"/>
              <w:jc w:val="center"/>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2019</w:t>
            </w:r>
          </w:p>
        </w:tc>
        <w:tc>
          <w:tcPr>
            <w:tcW w:w="427" w:type="pct"/>
            <w:shd w:val="clear" w:color="auto" w:fill="auto"/>
            <w:vAlign w:val="center"/>
            <w:hideMark/>
          </w:tcPr>
          <w:p w14:paraId="1230A7E1" w14:textId="77777777" w:rsidR="00431FA7" w:rsidRPr="008012BB" w:rsidRDefault="00431FA7" w:rsidP="00431FA7">
            <w:pPr>
              <w:spacing w:after="0" w:line="240" w:lineRule="auto"/>
              <w:jc w:val="center"/>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2018</w:t>
            </w:r>
          </w:p>
        </w:tc>
        <w:tc>
          <w:tcPr>
            <w:tcW w:w="343" w:type="pct"/>
            <w:shd w:val="clear" w:color="auto" w:fill="auto"/>
            <w:vAlign w:val="center"/>
          </w:tcPr>
          <w:p w14:paraId="6FA52B6B" w14:textId="77777777" w:rsidR="00431FA7" w:rsidRPr="008012BB" w:rsidRDefault="00431FA7" w:rsidP="00431FA7">
            <w:pPr>
              <w:spacing w:after="0" w:line="240" w:lineRule="auto"/>
              <w:jc w:val="center"/>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2019</w:t>
            </w:r>
          </w:p>
        </w:tc>
        <w:tc>
          <w:tcPr>
            <w:tcW w:w="344" w:type="pct"/>
            <w:shd w:val="clear" w:color="auto" w:fill="auto"/>
            <w:vAlign w:val="center"/>
          </w:tcPr>
          <w:p w14:paraId="2E7F890E" w14:textId="77777777" w:rsidR="00431FA7" w:rsidRPr="008012BB" w:rsidRDefault="00431FA7" w:rsidP="00431FA7">
            <w:pPr>
              <w:spacing w:after="0" w:line="240" w:lineRule="auto"/>
              <w:jc w:val="center"/>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2018</w:t>
            </w:r>
          </w:p>
        </w:tc>
        <w:tc>
          <w:tcPr>
            <w:tcW w:w="318" w:type="pct"/>
            <w:shd w:val="clear" w:color="auto" w:fill="auto"/>
            <w:vAlign w:val="center"/>
          </w:tcPr>
          <w:p w14:paraId="6DB9A830" w14:textId="77777777" w:rsidR="00431FA7" w:rsidRPr="008012BB" w:rsidRDefault="00431FA7" w:rsidP="00431FA7">
            <w:pPr>
              <w:spacing w:after="0" w:line="240" w:lineRule="auto"/>
              <w:jc w:val="center"/>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2019</w:t>
            </w:r>
          </w:p>
        </w:tc>
        <w:tc>
          <w:tcPr>
            <w:tcW w:w="343" w:type="pct"/>
            <w:shd w:val="clear" w:color="auto" w:fill="auto"/>
            <w:vAlign w:val="center"/>
          </w:tcPr>
          <w:p w14:paraId="06762BEF" w14:textId="77777777" w:rsidR="00431FA7" w:rsidRPr="008012BB" w:rsidRDefault="00431FA7" w:rsidP="00431FA7">
            <w:pPr>
              <w:spacing w:after="0" w:line="240" w:lineRule="auto"/>
              <w:jc w:val="center"/>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2018</w:t>
            </w:r>
          </w:p>
        </w:tc>
        <w:tc>
          <w:tcPr>
            <w:tcW w:w="431" w:type="pct"/>
            <w:shd w:val="clear" w:color="auto" w:fill="auto"/>
            <w:vAlign w:val="center"/>
          </w:tcPr>
          <w:p w14:paraId="7E8011EA" w14:textId="77777777" w:rsidR="00431FA7" w:rsidRPr="008012BB" w:rsidRDefault="00431FA7" w:rsidP="00431FA7">
            <w:pPr>
              <w:spacing w:after="0" w:line="240" w:lineRule="auto"/>
              <w:jc w:val="center"/>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2019</w:t>
            </w:r>
          </w:p>
        </w:tc>
        <w:tc>
          <w:tcPr>
            <w:tcW w:w="441" w:type="pct"/>
            <w:shd w:val="clear" w:color="auto" w:fill="auto"/>
            <w:vAlign w:val="center"/>
          </w:tcPr>
          <w:p w14:paraId="123C30A7" w14:textId="77777777" w:rsidR="00431FA7" w:rsidRPr="008012BB" w:rsidRDefault="00431FA7" w:rsidP="00431FA7">
            <w:pPr>
              <w:spacing w:after="0" w:line="240" w:lineRule="auto"/>
              <w:jc w:val="center"/>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2018</w:t>
            </w:r>
          </w:p>
        </w:tc>
      </w:tr>
      <w:tr w:rsidR="00DD56AF" w:rsidRPr="008012BB" w14:paraId="670914DF" w14:textId="77777777" w:rsidTr="008012BB">
        <w:trPr>
          <w:trHeight w:val="227"/>
        </w:trPr>
        <w:tc>
          <w:tcPr>
            <w:tcW w:w="620" w:type="pct"/>
            <w:shd w:val="clear" w:color="auto" w:fill="auto"/>
            <w:vAlign w:val="center"/>
          </w:tcPr>
          <w:p w14:paraId="219624CE" w14:textId="77777777" w:rsidR="0016511E" w:rsidRPr="008012BB" w:rsidRDefault="0016511E" w:rsidP="0016511E">
            <w:pPr>
              <w:spacing w:after="0" w:line="240" w:lineRule="auto"/>
              <w:rPr>
                <w:rFonts w:ascii="Arial" w:eastAsia="Times New Roman" w:hAnsi="Arial" w:cs="Arial"/>
                <w:b/>
                <w:bCs/>
                <w:color w:val="103475"/>
                <w:sz w:val="16"/>
                <w:szCs w:val="16"/>
                <w:lang w:eastAsia="es-CO"/>
              </w:rPr>
            </w:pPr>
            <w:r w:rsidRPr="008012BB">
              <w:rPr>
                <w:rFonts w:ascii="Arial" w:eastAsia="Times New Roman" w:hAnsi="Arial" w:cs="Arial"/>
                <w:color w:val="000000"/>
                <w:sz w:val="16"/>
                <w:szCs w:val="16"/>
                <w:lang w:eastAsia="es-CO"/>
              </w:rPr>
              <w:t>Cuentas corrientes comerciales</w:t>
            </w:r>
          </w:p>
        </w:tc>
        <w:tc>
          <w:tcPr>
            <w:tcW w:w="341" w:type="pct"/>
            <w:shd w:val="clear" w:color="auto" w:fill="auto"/>
            <w:vAlign w:val="center"/>
          </w:tcPr>
          <w:p w14:paraId="180EC1BD" w14:textId="77777777" w:rsidR="0016511E" w:rsidRPr="008012BB" w:rsidRDefault="00500123"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w:t>
            </w:r>
          </w:p>
        </w:tc>
        <w:tc>
          <w:tcPr>
            <w:tcW w:w="385" w:type="pct"/>
            <w:shd w:val="clear" w:color="auto" w:fill="auto"/>
            <w:vAlign w:val="center"/>
          </w:tcPr>
          <w:p w14:paraId="092B2D68" w14:textId="77777777" w:rsidR="0016511E" w:rsidRPr="008012BB" w:rsidRDefault="00500123"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w:t>
            </w:r>
          </w:p>
        </w:tc>
        <w:tc>
          <w:tcPr>
            <w:tcW w:w="319" w:type="pct"/>
            <w:shd w:val="clear" w:color="auto" w:fill="auto"/>
            <w:vAlign w:val="center"/>
          </w:tcPr>
          <w:p w14:paraId="587995AB" w14:textId="77777777" w:rsidR="0016511E" w:rsidRPr="008012BB" w:rsidRDefault="00500123"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w:t>
            </w:r>
          </w:p>
        </w:tc>
        <w:tc>
          <w:tcPr>
            <w:tcW w:w="344" w:type="pct"/>
            <w:shd w:val="clear" w:color="auto" w:fill="auto"/>
            <w:vAlign w:val="center"/>
          </w:tcPr>
          <w:p w14:paraId="4B6FA560" w14:textId="77777777" w:rsidR="0016511E" w:rsidRPr="008012BB" w:rsidRDefault="00500123"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w:t>
            </w:r>
          </w:p>
        </w:tc>
        <w:tc>
          <w:tcPr>
            <w:tcW w:w="343" w:type="pct"/>
            <w:shd w:val="clear" w:color="auto" w:fill="auto"/>
            <w:vAlign w:val="center"/>
          </w:tcPr>
          <w:p w14:paraId="15282F11" w14:textId="77777777" w:rsidR="0016511E" w:rsidRPr="008012BB" w:rsidRDefault="004A1F99"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11.486.877</w:t>
            </w:r>
          </w:p>
        </w:tc>
        <w:tc>
          <w:tcPr>
            <w:tcW w:w="427" w:type="pct"/>
            <w:shd w:val="clear" w:color="auto" w:fill="auto"/>
            <w:vAlign w:val="center"/>
          </w:tcPr>
          <w:p w14:paraId="41A254D3" w14:textId="77777777" w:rsidR="0016511E" w:rsidRPr="008012BB" w:rsidRDefault="00500123"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10.038.629</w:t>
            </w:r>
          </w:p>
        </w:tc>
        <w:tc>
          <w:tcPr>
            <w:tcW w:w="343" w:type="pct"/>
            <w:shd w:val="clear" w:color="auto" w:fill="auto"/>
            <w:vAlign w:val="center"/>
          </w:tcPr>
          <w:p w14:paraId="0B9CFE98" w14:textId="77777777" w:rsidR="0016511E" w:rsidRPr="008012BB" w:rsidRDefault="00500123"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w:t>
            </w:r>
          </w:p>
        </w:tc>
        <w:tc>
          <w:tcPr>
            <w:tcW w:w="344" w:type="pct"/>
            <w:shd w:val="clear" w:color="auto" w:fill="auto"/>
            <w:vAlign w:val="center"/>
          </w:tcPr>
          <w:p w14:paraId="20DFBBD4" w14:textId="77777777" w:rsidR="0016511E" w:rsidRPr="008012BB" w:rsidRDefault="00500123"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143.882</w:t>
            </w:r>
          </w:p>
        </w:tc>
        <w:tc>
          <w:tcPr>
            <w:tcW w:w="318" w:type="pct"/>
            <w:shd w:val="clear" w:color="auto" w:fill="auto"/>
            <w:vAlign w:val="center"/>
          </w:tcPr>
          <w:p w14:paraId="423566BE" w14:textId="77777777" w:rsidR="0016511E" w:rsidRPr="008012BB" w:rsidRDefault="00500123"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w:t>
            </w:r>
          </w:p>
        </w:tc>
        <w:tc>
          <w:tcPr>
            <w:tcW w:w="343" w:type="pct"/>
            <w:shd w:val="clear" w:color="auto" w:fill="auto"/>
            <w:vAlign w:val="center"/>
          </w:tcPr>
          <w:p w14:paraId="15B35FBE" w14:textId="77777777" w:rsidR="0016511E" w:rsidRPr="008012BB" w:rsidRDefault="00500123"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329.962</w:t>
            </w:r>
          </w:p>
        </w:tc>
        <w:tc>
          <w:tcPr>
            <w:tcW w:w="431" w:type="pct"/>
            <w:shd w:val="clear" w:color="auto" w:fill="auto"/>
            <w:vAlign w:val="center"/>
          </w:tcPr>
          <w:p w14:paraId="1D6CB1E6" w14:textId="77777777" w:rsidR="0016511E" w:rsidRPr="008012BB" w:rsidRDefault="004A1F99"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11.486.877</w:t>
            </w:r>
          </w:p>
        </w:tc>
        <w:tc>
          <w:tcPr>
            <w:tcW w:w="441" w:type="pct"/>
            <w:shd w:val="clear" w:color="auto" w:fill="auto"/>
            <w:vAlign w:val="center"/>
          </w:tcPr>
          <w:p w14:paraId="6DF18F08" w14:textId="77777777" w:rsidR="0016511E" w:rsidRPr="008012BB" w:rsidRDefault="00500123"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10.512.473</w:t>
            </w:r>
          </w:p>
        </w:tc>
      </w:tr>
      <w:tr w:rsidR="00DD56AF" w:rsidRPr="008012BB" w14:paraId="45038304" w14:textId="77777777" w:rsidTr="008012BB">
        <w:trPr>
          <w:trHeight w:val="227"/>
        </w:trPr>
        <w:tc>
          <w:tcPr>
            <w:tcW w:w="620" w:type="pct"/>
            <w:shd w:val="clear" w:color="auto" w:fill="auto"/>
            <w:vAlign w:val="center"/>
            <w:hideMark/>
          </w:tcPr>
          <w:p w14:paraId="6272AFA9" w14:textId="77777777" w:rsidR="00431FA7" w:rsidRPr="008012BB" w:rsidRDefault="00431FA7" w:rsidP="00431FA7">
            <w:pPr>
              <w:spacing w:after="0" w:line="240" w:lineRule="auto"/>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Préstamos</w:t>
            </w:r>
          </w:p>
        </w:tc>
        <w:tc>
          <w:tcPr>
            <w:tcW w:w="341" w:type="pct"/>
            <w:shd w:val="clear" w:color="auto" w:fill="auto"/>
            <w:noWrap/>
            <w:vAlign w:val="center"/>
          </w:tcPr>
          <w:p w14:paraId="64C9E1E0" w14:textId="77777777" w:rsidR="00431FA7" w:rsidRPr="008012BB" w:rsidRDefault="00431FA7"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23.500.756</w:t>
            </w:r>
          </w:p>
        </w:tc>
        <w:tc>
          <w:tcPr>
            <w:tcW w:w="385" w:type="pct"/>
            <w:shd w:val="clear" w:color="auto" w:fill="auto"/>
            <w:vAlign w:val="center"/>
          </w:tcPr>
          <w:p w14:paraId="2FEB3567" w14:textId="77777777" w:rsidR="00431FA7" w:rsidRPr="008012BB" w:rsidRDefault="0016511E"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19.356.593</w:t>
            </w:r>
          </w:p>
        </w:tc>
        <w:tc>
          <w:tcPr>
            <w:tcW w:w="319" w:type="pct"/>
            <w:shd w:val="clear" w:color="auto" w:fill="auto"/>
            <w:vAlign w:val="center"/>
          </w:tcPr>
          <w:p w14:paraId="6D6C80E3" w14:textId="77777777" w:rsidR="00431FA7" w:rsidRPr="008012BB" w:rsidRDefault="00431FA7"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w:t>
            </w:r>
          </w:p>
        </w:tc>
        <w:tc>
          <w:tcPr>
            <w:tcW w:w="344" w:type="pct"/>
            <w:shd w:val="clear" w:color="auto" w:fill="auto"/>
            <w:vAlign w:val="center"/>
          </w:tcPr>
          <w:p w14:paraId="769987D0" w14:textId="77777777" w:rsidR="00431FA7" w:rsidRPr="008012BB" w:rsidRDefault="0016511E"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365.597</w:t>
            </w:r>
          </w:p>
        </w:tc>
        <w:tc>
          <w:tcPr>
            <w:tcW w:w="343" w:type="pct"/>
            <w:shd w:val="clear" w:color="auto" w:fill="auto"/>
            <w:vAlign w:val="center"/>
          </w:tcPr>
          <w:p w14:paraId="7AFC206F" w14:textId="77777777" w:rsidR="00431FA7" w:rsidRPr="008012BB" w:rsidRDefault="004A1F99"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4.804.624</w:t>
            </w:r>
          </w:p>
        </w:tc>
        <w:tc>
          <w:tcPr>
            <w:tcW w:w="427" w:type="pct"/>
            <w:shd w:val="clear" w:color="auto" w:fill="auto"/>
            <w:vAlign w:val="center"/>
          </w:tcPr>
          <w:p w14:paraId="3575357D" w14:textId="77777777" w:rsidR="00431FA7" w:rsidRPr="008012BB" w:rsidRDefault="0016511E"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2.753.546</w:t>
            </w:r>
          </w:p>
        </w:tc>
        <w:tc>
          <w:tcPr>
            <w:tcW w:w="343" w:type="pct"/>
            <w:shd w:val="clear" w:color="auto" w:fill="auto"/>
            <w:vAlign w:val="center"/>
          </w:tcPr>
          <w:p w14:paraId="6C91DD4A" w14:textId="77777777" w:rsidR="00431FA7" w:rsidRPr="008012BB" w:rsidRDefault="00431FA7"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w:t>
            </w:r>
          </w:p>
        </w:tc>
        <w:tc>
          <w:tcPr>
            <w:tcW w:w="344" w:type="pct"/>
            <w:shd w:val="clear" w:color="auto" w:fill="auto"/>
            <w:vAlign w:val="center"/>
          </w:tcPr>
          <w:p w14:paraId="32E35AC4" w14:textId="77777777" w:rsidR="00431FA7" w:rsidRPr="008012BB" w:rsidRDefault="00431FA7"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w:t>
            </w:r>
          </w:p>
        </w:tc>
        <w:tc>
          <w:tcPr>
            <w:tcW w:w="318" w:type="pct"/>
            <w:shd w:val="clear" w:color="auto" w:fill="auto"/>
            <w:vAlign w:val="center"/>
          </w:tcPr>
          <w:p w14:paraId="571DE6D8" w14:textId="77777777" w:rsidR="00431FA7" w:rsidRPr="008012BB" w:rsidRDefault="00372FF1" w:rsidP="00A01FEB">
            <w:pPr>
              <w:spacing w:after="0" w:line="240" w:lineRule="auto"/>
              <w:jc w:val="right"/>
              <w:rPr>
                <w:rFonts w:ascii="Arial" w:eastAsia="Times New Roman" w:hAnsi="Arial" w:cs="Arial"/>
                <w:sz w:val="16"/>
                <w:szCs w:val="16"/>
                <w:lang w:eastAsia="es-CO"/>
              </w:rPr>
            </w:pPr>
            <w:r w:rsidRPr="008012BB">
              <w:rPr>
                <w:rFonts w:ascii="Arial" w:eastAsia="Times New Roman" w:hAnsi="Arial" w:cs="Arial"/>
                <w:sz w:val="16"/>
                <w:szCs w:val="16"/>
                <w:lang w:eastAsia="es-CO"/>
              </w:rPr>
              <w:t>237.328</w:t>
            </w:r>
          </w:p>
        </w:tc>
        <w:tc>
          <w:tcPr>
            <w:tcW w:w="343" w:type="pct"/>
            <w:shd w:val="clear" w:color="auto" w:fill="auto"/>
            <w:vAlign w:val="center"/>
          </w:tcPr>
          <w:p w14:paraId="312DDDE9" w14:textId="77777777" w:rsidR="00431FA7" w:rsidRPr="008012BB" w:rsidRDefault="00431FA7" w:rsidP="00A01FEB">
            <w:pPr>
              <w:spacing w:after="0" w:line="240" w:lineRule="auto"/>
              <w:jc w:val="right"/>
              <w:rPr>
                <w:rFonts w:ascii="Arial" w:eastAsia="Times New Roman" w:hAnsi="Arial" w:cs="Arial"/>
                <w:sz w:val="16"/>
                <w:szCs w:val="16"/>
                <w:lang w:eastAsia="es-CO"/>
              </w:rPr>
            </w:pPr>
            <w:r w:rsidRPr="008012BB">
              <w:rPr>
                <w:rFonts w:ascii="Arial" w:eastAsia="Times New Roman" w:hAnsi="Arial" w:cs="Arial"/>
                <w:sz w:val="16"/>
                <w:szCs w:val="16"/>
                <w:lang w:eastAsia="es-CO"/>
              </w:rPr>
              <w:t>-</w:t>
            </w:r>
          </w:p>
        </w:tc>
        <w:tc>
          <w:tcPr>
            <w:tcW w:w="431" w:type="pct"/>
            <w:shd w:val="clear" w:color="auto" w:fill="auto"/>
            <w:vAlign w:val="center"/>
          </w:tcPr>
          <w:p w14:paraId="47A70DA2" w14:textId="77777777" w:rsidR="00431FA7" w:rsidRPr="008012BB" w:rsidRDefault="004A1F99" w:rsidP="00A01FEB">
            <w:pPr>
              <w:spacing w:after="0" w:line="240" w:lineRule="auto"/>
              <w:jc w:val="right"/>
              <w:rPr>
                <w:rFonts w:ascii="Arial" w:hAnsi="Arial" w:cs="Arial"/>
                <w:color w:val="000000"/>
                <w:sz w:val="16"/>
                <w:szCs w:val="16"/>
              </w:rPr>
            </w:pPr>
            <w:r w:rsidRPr="008012BB">
              <w:rPr>
                <w:rFonts w:ascii="Arial" w:hAnsi="Arial" w:cs="Arial"/>
                <w:color w:val="000000"/>
                <w:sz w:val="16"/>
                <w:szCs w:val="16"/>
              </w:rPr>
              <w:t>28.542.708</w:t>
            </w:r>
          </w:p>
        </w:tc>
        <w:tc>
          <w:tcPr>
            <w:tcW w:w="441" w:type="pct"/>
            <w:shd w:val="clear" w:color="auto" w:fill="auto"/>
            <w:vAlign w:val="center"/>
          </w:tcPr>
          <w:p w14:paraId="6EC2DF75" w14:textId="77777777" w:rsidR="00431FA7" w:rsidRPr="008012BB" w:rsidRDefault="0016511E" w:rsidP="00A01FEB">
            <w:pPr>
              <w:spacing w:after="0" w:line="240" w:lineRule="auto"/>
              <w:jc w:val="right"/>
              <w:rPr>
                <w:rFonts w:ascii="Arial" w:eastAsia="Times New Roman" w:hAnsi="Arial" w:cs="Arial"/>
                <w:sz w:val="16"/>
                <w:szCs w:val="16"/>
                <w:lang w:eastAsia="es-CO"/>
              </w:rPr>
            </w:pPr>
            <w:r w:rsidRPr="008012BB">
              <w:rPr>
                <w:rFonts w:ascii="Arial" w:eastAsia="Times New Roman" w:hAnsi="Arial" w:cs="Arial"/>
                <w:sz w:val="16"/>
                <w:szCs w:val="16"/>
                <w:lang w:eastAsia="es-CO"/>
              </w:rPr>
              <w:t>22.475.736</w:t>
            </w:r>
          </w:p>
        </w:tc>
      </w:tr>
      <w:tr w:rsidR="00DD56AF" w:rsidRPr="008012BB" w14:paraId="5C56D852" w14:textId="77777777" w:rsidTr="008012BB">
        <w:trPr>
          <w:trHeight w:val="227"/>
        </w:trPr>
        <w:tc>
          <w:tcPr>
            <w:tcW w:w="620" w:type="pct"/>
            <w:shd w:val="clear" w:color="auto" w:fill="auto"/>
            <w:vAlign w:val="center"/>
          </w:tcPr>
          <w:p w14:paraId="32C5FF81" w14:textId="77777777" w:rsidR="004A1F99" w:rsidRPr="008012BB" w:rsidRDefault="004A1F99" w:rsidP="00431FA7">
            <w:pPr>
              <w:spacing w:after="0" w:line="240" w:lineRule="auto"/>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Dividendos</w:t>
            </w:r>
          </w:p>
        </w:tc>
        <w:tc>
          <w:tcPr>
            <w:tcW w:w="341" w:type="pct"/>
            <w:shd w:val="clear" w:color="auto" w:fill="auto"/>
            <w:noWrap/>
            <w:vAlign w:val="center"/>
          </w:tcPr>
          <w:p w14:paraId="70E7C38A" w14:textId="099137E4" w:rsidR="004A1F99" w:rsidRPr="008012BB" w:rsidRDefault="004A1F99" w:rsidP="00A01FEB">
            <w:pPr>
              <w:spacing w:after="0" w:line="240" w:lineRule="auto"/>
              <w:jc w:val="right"/>
              <w:rPr>
                <w:rFonts w:ascii="Arial" w:eastAsia="Times New Roman" w:hAnsi="Arial" w:cs="Arial"/>
                <w:color w:val="000000"/>
                <w:sz w:val="16"/>
                <w:szCs w:val="16"/>
                <w:u w:val="single"/>
                <w:lang w:eastAsia="es-CO"/>
              </w:rPr>
            </w:pPr>
            <w:r w:rsidRPr="008012BB">
              <w:rPr>
                <w:rFonts w:ascii="Arial" w:eastAsia="Times New Roman" w:hAnsi="Arial" w:cs="Arial"/>
                <w:color w:val="000000"/>
                <w:sz w:val="16"/>
                <w:szCs w:val="16"/>
                <w:u w:val="single"/>
                <w:lang w:eastAsia="es-CO"/>
              </w:rPr>
              <w:t>-</w:t>
            </w:r>
          </w:p>
        </w:tc>
        <w:tc>
          <w:tcPr>
            <w:tcW w:w="385" w:type="pct"/>
            <w:shd w:val="clear" w:color="auto" w:fill="auto"/>
            <w:vAlign w:val="center"/>
          </w:tcPr>
          <w:p w14:paraId="06457082" w14:textId="0C967BFC" w:rsidR="004A1F99" w:rsidRPr="008012BB" w:rsidRDefault="004A1F99" w:rsidP="00A01FEB">
            <w:pPr>
              <w:spacing w:after="0" w:line="240" w:lineRule="auto"/>
              <w:jc w:val="right"/>
              <w:rPr>
                <w:rFonts w:ascii="Arial" w:eastAsia="Times New Roman" w:hAnsi="Arial" w:cs="Arial"/>
                <w:color w:val="000000"/>
                <w:sz w:val="16"/>
                <w:szCs w:val="16"/>
                <w:u w:val="single"/>
                <w:lang w:eastAsia="es-CO"/>
              </w:rPr>
            </w:pPr>
            <w:r w:rsidRPr="008012BB">
              <w:rPr>
                <w:rFonts w:ascii="Arial" w:eastAsia="Times New Roman" w:hAnsi="Arial" w:cs="Arial"/>
                <w:color w:val="000000"/>
                <w:sz w:val="16"/>
                <w:szCs w:val="16"/>
                <w:u w:val="single"/>
                <w:lang w:eastAsia="es-CO"/>
              </w:rPr>
              <w:t>-</w:t>
            </w:r>
          </w:p>
        </w:tc>
        <w:tc>
          <w:tcPr>
            <w:tcW w:w="319" w:type="pct"/>
            <w:shd w:val="clear" w:color="auto" w:fill="auto"/>
            <w:vAlign w:val="center"/>
          </w:tcPr>
          <w:p w14:paraId="30F9E9F1" w14:textId="750E1B72" w:rsidR="004A1F99" w:rsidRPr="008012BB" w:rsidRDefault="004A1F99" w:rsidP="00A01FEB">
            <w:pPr>
              <w:spacing w:after="0" w:line="240" w:lineRule="auto"/>
              <w:jc w:val="right"/>
              <w:rPr>
                <w:rFonts w:ascii="Arial" w:eastAsia="Times New Roman" w:hAnsi="Arial" w:cs="Arial"/>
                <w:color w:val="000000"/>
                <w:sz w:val="16"/>
                <w:szCs w:val="16"/>
                <w:u w:val="single"/>
                <w:lang w:eastAsia="es-CO"/>
              </w:rPr>
            </w:pPr>
            <w:r w:rsidRPr="008012BB">
              <w:rPr>
                <w:rFonts w:ascii="Arial" w:eastAsia="Times New Roman" w:hAnsi="Arial" w:cs="Arial"/>
                <w:color w:val="000000"/>
                <w:sz w:val="16"/>
                <w:szCs w:val="16"/>
                <w:u w:val="single"/>
                <w:lang w:eastAsia="es-CO"/>
              </w:rPr>
              <w:t>-</w:t>
            </w:r>
          </w:p>
        </w:tc>
        <w:tc>
          <w:tcPr>
            <w:tcW w:w="344" w:type="pct"/>
            <w:shd w:val="clear" w:color="auto" w:fill="auto"/>
            <w:vAlign w:val="center"/>
          </w:tcPr>
          <w:p w14:paraId="7E909DA9" w14:textId="23460393" w:rsidR="004A1F99" w:rsidRPr="008012BB" w:rsidRDefault="004A1F99" w:rsidP="00A01FEB">
            <w:pPr>
              <w:spacing w:after="0" w:line="240" w:lineRule="auto"/>
              <w:jc w:val="right"/>
              <w:rPr>
                <w:rFonts w:ascii="Arial" w:eastAsia="Times New Roman" w:hAnsi="Arial" w:cs="Arial"/>
                <w:color w:val="000000"/>
                <w:sz w:val="16"/>
                <w:szCs w:val="16"/>
                <w:u w:val="single"/>
                <w:lang w:eastAsia="es-CO"/>
              </w:rPr>
            </w:pPr>
            <w:r w:rsidRPr="008012BB">
              <w:rPr>
                <w:rFonts w:ascii="Arial" w:eastAsia="Times New Roman" w:hAnsi="Arial" w:cs="Arial"/>
                <w:color w:val="000000"/>
                <w:sz w:val="16"/>
                <w:szCs w:val="16"/>
                <w:u w:val="single"/>
                <w:lang w:eastAsia="es-CO"/>
              </w:rPr>
              <w:t>-</w:t>
            </w:r>
          </w:p>
        </w:tc>
        <w:tc>
          <w:tcPr>
            <w:tcW w:w="343" w:type="pct"/>
            <w:shd w:val="clear" w:color="auto" w:fill="auto"/>
            <w:vAlign w:val="center"/>
          </w:tcPr>
          <w:p w14:paraId="0CFD57CE" w14:textId="77777777" w:rsidR="004A1F99" w:rsidRPr="008012BB" w:rsidRDefault="004A1F99" w:rsidP="00A01FEB">
            <w:pPr>
              <w:spacing w:after="0" w:line="240" w:lineRule="auto"/>
              <w:jc w:val="right"/>
              <w:rPr>
                <w:rFonts w:ascii="Arial" w:eastAsia="Times New Roman" w:hAnsi="Arial" w:cs="Arial"/>
                <w:color w:val="000000"/>
                <w:sz w:val="16"/>
                <w:szCs w:val="16"/>
                <w:u w:val="single"/>
                <w:lang w:eastAsia="es-CO"/>
              </w:rPr>
            </w:pPr>
            <w:r w:rsidRPr="008012BB">
              <w:rPr>
                <w:rFonts w:ascii="Arial" w:eastAsia="Times New Roman" w:hAnsi="Arial" w:cs="Arial"/>
                <w:color w:val="000000"/>
                <w:sz w:val="16"/>
                <w:szCs w:val="16"/>
                <w:u w:val="single"/>
                <w:lang w:eastAsia="es-CO"/>
              </w:rPr>
              <w:t>11.071.569</w:t>
            </w:r>
          </w:p>
        </w:tc>
        <w:tc>
          <w:tcPr>
            <w:tcW w:w="427" w:type="pct"/>
            <w:shd w:val="clear" w:color="auto" w:fill="auto"/>
            <w:vAlign w:val="center"/>
          </w:tcPr>
          <w:p w14:paraId="6E1E339A" w14:textId="221B5619" w:rsidR="004A1F99" w:rsidRPr="008012BB" w:rsidRDefault="004A1F99" w:rsidP="00A01FEB">
            <w:pPr>
              <w:spacing w:after="0" w:line="240" w:lineRule="auto"/>
              <w:jc w:val="right"/>
              <w:rPr>
                <w:rFonts w:ascii="Arial" w:eastAsia="Times New Roman" w:hAnsi="Arial" w:cs="Arial"/>
                <w:color w:val="000000"/>
                <w:sz w:val="16"/>
                <w:szCs w:val="16"/>
                <w:u w:val="single"/>
                <w:lang w:eastAsia="es-CO"/>
              </w:rPr>
            </w:pPr>
            <w:r w:rsidRPr="008012BB">
              <w:rPr>
                <w:rFonts w:ascii="Arial" w:eastAsia="Times New Roman" w:hAnsi="Arial" w:cs="Arial"/>
                <w:color w:val="000000"/>
                <w:sz w:val="16"/>
                <w:szCs w:val="16"/>
                <w:u w:val="single"/>
                <w:lang w:eastAsia="es-CO"/>
              </w:rPr>
              <w:t>-</w:t>
            </w:r>
          </w:p>
        </w:tc>
        <w:tc>
          <w:tcPr>
            <w:tcW w:w="343" w:type="pct"/>
            <w:shd w:val="clear" w:color="auto" w:fill="auto"/>
            <w:vAlign w:val="center"/>
          </w:tcPr>
          <w:p w14:paraId="17AE9CE0" w14:textId="33683AE0" w:rsidR="004A1F99" w:rsidRPr="008012BB" w:rsidRDefault="004A1F99" w:rsidP="00A01FEB">
            <w:pPr>
              <w:spacing w:after="0" w:line="240" w:lineRule="auto"/>
              <w:jc w:val="right"/>
              <w:rPr>
                <w:rFonts w:ascii="Arial" w:eastAsia="Times New Roman" w:hAnsi="Arial" w:cs="Arial"/>
                <w:color w:val="000000"/>
                <w:sz w:val="16"/>
                <w:szCs w:val="16"/>
                <w:u w:val="single"/>
                <w:lang w:eastAsia="es-CO"/>
              </w:rPr>
            </w:pPr>
            <w:r w:rsidRPr="008012BB">
              <w:rPr>
                <w:rFonts w:ascii="Arial" w:eastAsia="Times New Roman" w:hAnsi="Arial" w:cs="Arial"/>
                <w:color w:val="000000"/>
                <w:sz w:val="16"/>
                <w:szCs w:val="16"/>
                <w:u w:val="single"/>
                <w:lang w:eastAsia="es-CO"/>
              </w:rPr>
              <w:t>-</w:t>
            </w:r>
          </w:p>
        </w:tc>
        <w:tc>
          <w:tcPr>
            <w:tcW w:w="344" w:type="pct"/>
            <w:shd w:val="clear" w:color="auto" w:fill="auto"/>
            <w:vAlign w:val="center"/>
          </w:tcPr>
          <w:p w14:paraId="20C4EFA7" w14:textId="55BB4FD6" w:rsidR="004A1F99" w:rsidRPr="008012BB" w:rsidRDefault="004A1F99" w:rsidP="00A01FEB">
            <w:pPr>
              <w:spacing w:after="0" w:line="240" w:lineRule="auto"/>
              <w:jc w:val="right"/>
              <w:rPr>
                <w:rFonts w:ascii="Arial" w:eastAsia="Times New Roman" w:hAnsi="Arial" w:cs="Arial"/>
                <w:color w:val="000000"/>
                <w:sz w:val="16"/>
                <w:szCs w:val="16"/>
                <w:u w:val="single"/>
                <w:lang w:eastAsia="es-CO"/>
              </w:rPr>
            </w:pPr>
            <w:r w:rsidRPr="008012BB">
              <w:rPr>
                <w:rFonts w:ascii="Arial" w:eastAsia="Times New Roman" w:hAnsi="Arial" w:cs="Arial"/>
                <w:color w:val="000000"/>
                <w:sz w:val="16"/>
                <w:szCs w:val="16"/>
                <w:u w:val="single"/>
                <w:lang w:eastAsia="es-CO"/>
              </w:rPr>
              <w:t>-</w:t>
            </w:r>
          </w:p>
        </w:tc>
        <w:tc>
          <w:tcPr>
            <w:tcW w:w="318" w:type="pct"/>
            <w:shd w:val="clear" w:color="auto" w:fill="auto"/>
            <w:vAlign w:val="center"/>
          </w:tcPr>
          <w:p w14:paraId="3E2AAEF0" w14:textId="5A1F0916" w:rsidR="004A1F99" w:rsidRPr="008012BB" w:rsidRDefault="004A1F99" w:rsidP="00A01FEB">
            <w:pPr>
              <w:spacing w:after="0" w:line="240" w:lineRule="auto"/>
              <w:jc w:val="right"/>
              <w:rPr>
                <w:rFonts w:ascii="Arial" w:eastAsia="Times New Roman" w:hAnsi="Arial" w:cs="Arial"/>
                <w:sz w:val="16"/>
                <w:szCs w:val="16"/>
                <w:u w:val="single"/>
                <w:lang w:eastAsia="es-CO"/>
              </w:rPr>
            </w:pPr>
            <w:r w:rsidRPr="008012BB">
              <w:rPr>
                <w:rFonts w:ascii="Arial" w:eastAsia="Times New Roman" w:hAnsi="Arial" w:cs="Arial"/>
                <w:sz w:val="16"/>
                <w:szCs w:val="16"/>
                <w:u w:val="single"/>
                <w:lang w:eastAsia="es-CO"/>
              </w:rPr>
              <w:t>-</w:t>
            </w:r>
          </w:p>
        </w:tc>
        <w:tc>
          <w:tcPr>
            <w:tcW w:w="343" w:type="pct"/>
            <w:shd w:val="clear" w:color="auto" w:fill="auto"/>
            <w:vAlign w:val="center"/>
          </w:tcPr>
          <w:p w14:paraId="0685FBCB" w14:textId="2C02C6B2" w:rsidR="004A1F99" w:rsidRPr="008012BB" w:rsidRDefault="004A1F99" w:rsidP="00A01FEB">
            <w:pPr>
              <w:spacing w:after="0" w:line="240" w:lineRule="auto"/>
              <w:jc w:val="right"/>
              <w:rPr>
                <w:rFonts w:ascii="Arial" w:eastAsia="Times New Roman" w:hAnsi="Arial" w:cs="Arial"/>
                <w:sz w:val="16"/>
                <w:szCs w:val="16"/>
                <w:u w:val="single"/>
                <w:lang w:eastAsia="es-CO"/>
              </w:rPr>
            </w:pPr>
            <w:r w:rsidRPr="008012BB">
              <w:rPr>
                <w:rFonts w:ascii="Arial" w:eastAsia="Times New Roman" w:hAnsi="Arial" w:cs="Arial"/>
                <w:sz w:val="16"/>
                <w:szCs w:val="16"/>
                <w:u w:val="single"/>
                <w:lang w:eastAsia="es-CO"/>
              </w:rPr>
              <w:t>-</w:t>
            </w:r>
          </w:p>
        </w:tc>
        <w:tc>
          <w:tcPr>
            <w:tcW w:w="431" w:type="pct"/>
            <w:shd w:val="clear" w:color="auto" w:fill="auto"/>
            <w:vAlign w:val="center"/>
          </w:tcPr>
          <w:p w14:paraId="5D193C9D" w14:textId="77777777" w:rsidR="004A1F99" w:rsidRPr="008012BB" w:rsidRDefault="004A1F99" w:rsidP="00A01FEB">
            <w:pPr>
              <w:spacing w:after="0" w:line="240" w:lineRule="auto"/>
              <w:jc w:val="right"/>
              <w:rPr>
                <w:rFonts w:ascii="Arial" w:hAnsi="Arial" w:cs="Arial"/>
                <w:color w:val="000000"/>
                <w:sz w:val="16"/>
                <w:szCs w:val="16"/>
                <w:u w:val="single"/>
              </w:rPr>
            </w:pPr>
            <w:r w:rsidRPr="008012BB">
              <w:rPr>
                <w:rFonts w:ascii="Arial" w:hAnsi="Arial" w:cs="Arial"/>
                <w:color w:val="000000"/>
                <w:sz w:val="16"/>
                <w:szCs w:val="16"/>
                <w:u w:val="single"/>
              </w:rPr>
              <w:t>11.071.569</w:t>
            </w:r>
          </w:p>
        </w:tc>
        <w:tc>
          <w:tcPr>
            <w:tcW w:w="441" w:type="pct"/>
            <w:shd w:val="clear" w:color="auto" w:fill="auto"/>
            <w:vAlign w:val="center"/>
          </w:tcPr>
          <w:p w14:paraId="2C3730C6" w14:textId="602F8952" w:rsidR="004A1F99" w:rsidRPr="008012BB" w:rsidRDefault="004A1F99" w:rsidP="00A01FEB">
            <w:pPr>
              <w:spacing w:after="0" w:line="240" w:lineRule="auto"/>
              <w:jc w:val="right"/>
              <w:rPr>
                <w:rFonts w:ascii="Arial" w:eastAsia="Times New Roman" w:hAnsi="Arial" w:cs="Arial"/>
                <w:sz w:val="16"/>
                <w:szCs w:val="16"/>
                <w:u w:val="single"/>
                <w:lang w:eastAsia="es-CO"/>
              </w:rPr>
            </w:pPr>
            <w:r w:rsidRPr="008012BB">
              <w:rPr>
                <w:rFonts w:ascii="Arial" w:eastAsia="Times New Roman" w:hAnsi="Arial" w:cs="Arial"/>
                <w:sz w:val="16"/>
                <w:szCs w:val="16"/>
                <w:u w:val="single"/>
                <w:lang w:eastAsia="es-CO"/>
              </w:rPr>
              <w:t>-</w:t>
            </w:r>
          </w:p>
        </w:tc>
      </w:tr>
      <w:tr w:rsidR="00DD56AF" w:rsidRPr="008012BB" w14:paraId="2ED1FC34" w14:textId="77777777" w:rsidTr="008012BB">
        <w:trPr>
          <w:trHeight w:val="227"/>
        </w:trPr>
        <w:tc>
          <w:tcPr>
            <w:tcW w:w="620" w:type="pct"/>
            <w:shd w:val="clear" w:color="auto" w:fill="auto"/>
            <w:vAlign w:val="center"/>
            <w:hideMark/>
          </w:tcPr>
          <w:p w14:paraId="0AB5AB11" w14:textId="77777777" w:rsidR="00431FA7" w:rsidRPr="008012BB" w:rsidRDefault="00431FA7" w:rsidP="00431FA7">
            <w:pPr>
              <w:spacing w:after="0" w:line="240" w:lineRule="auto"/>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Total cuentas por cobrar</w:t>
            </w:r>
          </w:p>
        </w:tc>
        <w:tc>
          <w:tcPr>
            <w:tcW w:w="341" w:type="pct"/>
            <w:shd w:val="clear" w:color="auto" w:fill="auto"/>
            <w:vAlign w:val="center"/>
          </w:tcPr>
          <w:p w14:paraId="76706684" w14:textId="77777777" w:rsidR="00431FA7" w:rsidRPr="008012BB" w:rsidRDefault="00431FA7" w:rsidP="00A01FEB">
            <w:pPr>
              <w:spacing w:after="0" w:line="240" w:lineRule="auto"/>
              <w:jc w:val="right"/>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23.500.756</w:t>
            </w:r>
          </w:p>
        </w:tc>
        <w:tc>
          <w:tcPr>
            <w:tcW w:w="385" w:type="pct"/>
            <w:shd w:val="clear" w:color="auto" w:fill="auto"/>
            <w:vAlign w:val="center"/>
          </w:tcPr>
          <w:p w14:paraId="5119D0C3" w14:textId="77777777" w:rsidR="00431FA7" w:rsidRPr="008012BB" w:rsidRDefault="00431FA7" w:rsidP="00A01FEB">
            <w:pPr>
              <w:spacing w:after="0" w:line="240" w:lineRule="auto"/>
              <w:jc w:val="right"/>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1</w:t>
            </w:r>
            <w:r w:rsidR="00355F90" w:rsidRPr="008012BB">
              <w:rPr>
                <w:rFonts w:ascii="Arial" w:eastAsia="Times New Roman" w:hAnsi="Arial" w:cs="Arial"/>
                <w:b/>
                <w:bCs/>
                <w:color w:val="103475"/>
                <w:sz w:val="16"/>
                <w:szCs w:val="16"/>
                <w:lang w:eastAsia="es-CO"/>
              </w:rPr>
              <w:t>9</w:t>
            </w:r>
            <w:r w:rsidRPr="008012BB">
              <w:rPr>
                <w:rFonts w:ascii="Arial" w:eastAsia="Times New Roman" w:hAnsi="Arial" w:cs="Arial"/>
                <w:b/>
                <w:bCs/>
                <w:color w:val="103475"/>
                <w:sz w:val="16"/>
                <w:szCs w:val="16"/>
                <w:lang w:eastAsia="es-CO"/>
              </w:rPr>
              <w:t>.</w:t>
            </w:r>
            <w:r w:rsidR="00355F90" w:rsidRPr="008012BB">
              <w:rPr>
                <w:rFonts w:ascii="Arial" w:eastAsia="Times New Roman" w:hAnsi="Arial" w:cs="Arial"/>
                <w:b/>
                <w:bCs/>
                <w:color w:val="103475"/>
                <w:sz w:val="16"/>
                <w:szCs w:val="16"/>
                <w:lang w:eastAsia="es-CO"/>
              </w:rPr>
              <w:t>356.593</w:t>
            </w:r>
          </w:p>
        </w:tc>
        <w:tc>
          <w:tcPr>
            <w:tcW w:w="319" w:type="pct"/>
            <w:shd w:val="clear" w:color="auto" w:fill="auto"/>
            <w:vAlign w:val="center"/>
          </w:tcPr>
          <w:p w14:paraId="666A9796" w14:textId="77777777" w:rsidR="00431FA7" w:rsidRPr="008012BB" w:rsidRDefault="00C04D3C" w:rsidP="00A01FEB">
            <w:pPr>
              <w:spacing w:after="0" w:line="240" w:lineRule="auto"/>
              <w:jc w:val="right"/>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w:t>
            </w:r>
          </w:p>
        </w:tc>
        <w:tc>
          <w:tcPr>
            <w:tcW w:w="344" w:type="pct"/>
            <w:shd w:val="clear" w:color="auto" w:fill="auto"/>
            <w:vAlign w:val="center"/>
          </w:tcPr>
          <w:p w14:paraId="22465206" w14:textId="77777777" w:rsidR="00431FA7" w:rsidRPr="008012BB" w:rsidRDefault="00355F90" w:rsidP="00A01FEB">
            <w:pPr>
              <w:spacing w:after="0" w:line="240" w:lineRule="auto"/>
              <w:jc w:val="right"/>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365.597</w:t>
            </w:r>
          </w:p>
        </w:tc>
        <w:tc>
          <w:tcPr>
            <w:tcW w:w="343" w:type="pct"/>
            <w:shd w:val="clear" w:color="auto" w:fill="auto"/>
            <w:vAlign w:val="center"/>
          </w:tcPr>
          <w:p w14:paraId="7EC585AB" w14:textId="77777777" w:rsidR="00431FA7" w:rsidRPr="008012BB" w:rsidRDefault="00355F90" w:rsidP="00A01FEB">
            <w:pPr>
              <w:spacing w:after="0" w:line="240" w:lineRule="auto"/>
              <w:jc w:val="right"/>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27.363.070</w:t>
            </w:r>
          </w:p>
        </w:tc>
        <w:tc>
          <w:tcPr>
            <w:tcW w:w="427" w:type="pct"/>
            <w:shd w:val="clear" w:color="auto" w:fill="auto"/>
            <w:vAlign w:val="center"/>
          </w:tcPr>
          <w:p w14:paraId="7AA5FAFC" w14:textId="77777777" w:rsidR="00431FA7" w:rsidRPr="008012BB" w:rsidRDefault="00355F90" w:rsidP="00A01FEB">
            <w:pPr>
              <w:spacing w:after="0" w:line="240" w:lineRule="auto"/>
              <w:jc w:val="right"/>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12.792.175</w:t>
            </w:r>
          </w:p>
        </w:tc>
        <w:tc>
          <w:tcPr>
            <w:tcW w:w="343" w:type="pct"/>
            <w:shd w:val="clear" w:color="auto" w:fill="auto"/>
            <w:vAlign w:val="center"/>
          </w:tcPr>
          <w:p w14:paraId="4C9A9E24" w14:textId="77777777" w:rsidR="00431FA7" w:rsidRPr="008012BB" w:rsidRDefault="00372FF1" w:rsidP="00A01FEB">
            <w:pPr>
              <w:spacing w:after="0" w:line="240" w:lineRule="auto"/>
              <w:jc w:val="right"/>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w:t>
            </w:r>
          </w:p>
        </w:tc>
        <w:tc>
          <w:tcPr>
            <w:tcW w:w="344" w:type="pct"/>
            <w:shd w:val="clear" w:color="auto" w:fill="auto"/>
            <w:vAlign w:val="center"/>
          </w:tcPr>
          <w:p w14:paraId="62B1AA03" w14:textId="77777777" w:rsidR="00431FA7" w:rsidRPr="008012BB" w:rsidRDefault="00355F90" w:rsidP="00A01FEB">
            <w:pPr>
              <w:spacing w:after="0" w:line="240" w:lineRule="auto"/>
              <w:jc w:val="right"/>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143.882</w:t>
            </w:r>
          </w:p>
        </w:tc>
        <w:tc>
          <w:tcPr>
            <w:tcW w:w="318" w:type="pct"/>
            <w:shd w:val="clear" w:color="auto" w:fill="auto"/>
            <w:vAlign w:val="center"/>
          </w:tcPr>
          <w:p w14:paraId="54D4143F" w14:textId="77777777" w:rsidR="00431FA7" w:rsidRPr="008012BB" w:rsidRDefault="00372FF1" w:rsidP="00A01FEB">
            <w:pPr>
              <w:spacing w:after="0" w:line="240" w:lineRule="auto"/>
              <w:jc w:val="right"/>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237.328</w:t>
            </w:r>
          </w:p>
        </w:tc>
        <w:tc>
          <w:tcPr>
            <w:tcW w:w="343" w:type="pct"/>
            <w:shd w:val="clear" w:color="auto" w:fill="auto"/>
            <w:vAlign w:val="center"/>
          </w:tcPr>
          <w:p w14:paraId="6719A8F3" w14:textId="77777777" w:rsidR="00431FA7" w:rsidRPr="008012BB" w:rsidRDefault="00355F90" w:rsidP="00A01FEB">
            <w:pPr>
              <w:spacing w:after="0" w:line="240" w:lineRule="auto"/>
              <w:jc w:val="right"/>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329.962</w:t>
            </w:r>
          </w:p>
        </w:tc>
        <w:tc>
          <w:tcPr>
            <w:tcW w:w="431" w:type="pct"/>
            <w:shd w:val="clear" w:color="auto" w:fill="auto"/>
            <w:vAlign w:val="center"/>
          </w:tcPr>
          <w:p w14:paraId="5E7359FA" w14:textId="77777777" w:rsidR="00431FA7" w:rsidRPr="008012BB" w:rsidRDefault="004A1F99" w:rsidP="00A01FEB">
            <w:pPr>
              <w:spacing w:after="0" w:line="240" w:lineRule="auto"/>
              <w:jc w:val="right"/>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51.101.154</w:t>
            </w:r>
          </w:p>
        </w:tc>
        <w:tc>
          <w:tcPr>
            <w:tcW w:w="441" w:type="pct"/>
            <w:shd w:val="clear" w:color="auto" w:fill="auto"/>
            <w:vAlign w:val="center"/>
          </w:tcPr>
          <w:p w14:paraId="0A4FB4A6" w14:textId="77777777" w:rsidR="00431FA7" w:rsidRPr="008012BB" w:rsidRDefault="00500123" w:rsidP="00A01FEB">
            <w:pPr>
              <w:spacing w:after="0" w:line="240" w:lineRule="auto"/>
              <w:jc w:val="right"/>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32.988.209</w:t>
            </w:r>
          </w:p>
        </w:tc>
      </w:tr>
      <w:tr w:rsidR="00DD56AF" w:rsidRPr="008012BB" w14:paraId="3AE39DC1" w14:textId="77777777" w:rsidTr="008012BB">
        <w:trPr>
          <w:trHeight w:val="227"/>
        </w:trPr>
        <w:tc>
          <w:tcPr>
            <w:tcW w:w="620" w:type="pct"/>
            <w:shd w:val="clear" w:color="auto" w:fill="auto"/>
            <w:vAlign w:val="center"/>
            <w:hideMark/>
          </w:tcPr>
          <w:p w14:paraId="48C51DB3" w14:textId="77777777" w:rsidR="00431FA7" w:rsidRPr="008012BB" w:rsidRDefault="00431FA7" w:rsidP="00431FA7">
            <w:pPr>
              <w:spacing w:after="0" w:line="240" w:lineRule="auto"/>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Cuentas por pagar a compañías vinculadas</w:t>
            </w:r>
          </w:p>
        </w:tc>
        <w:tc>
          <w:tcPr>
            <w:tcW w:w="341" w:type="pct"/>
            <w:shd w:val="clear" w:color="auto" w:fill="auto"/>
            <w:vAlign w:val="center"/>
          </w:tcPr>
          <w:p w14:paraId="4D112874" w14:textId="77777777" w:rsidR="00431FA7" w:rsidRPr="008012BB" w:rsidRDefault="00372FF1" w:rsidP="00A01FEB">
            <w:pPr>
              <w:spacing w:after="0" w:line="240" w:lineRule="auto"/>
              <w:jc w:val="right"/>
              <w:rPr>
                <w:rFonts w:ascii="Arial" w:hAnsi="Arial" w:cs="Arial"/>
                <w:color w:val="000000"/>
                <w:sz w:val="16"/>
                <w:szCs w:val="16"/>
              </w:rPr>
            </w:pPr>
            <w:r w:rsidRPr="008012BB">
              <w:rPr>
                <w:rFonts w:ascii="Arial" w:hAnsi="Arial" w:cs="Arial"/>
                <w:color w:val="000000"/>
                <w:sz w:val="16"/>
                <w:szCs w:val="16"/>
              </w:rPr>
              <w:t>1.527.263</w:t>
            </w:r>
          </w:p>
        </w:tc>
        <w:tc>
          <w:tcPr>
            <w:tcW w:w="385" w:type="pct"/>
            <w:shd w:val="clear" w:color="auto" w:fill="auto"/>
            <w:vAlign w:val="center"/>
          </w:tcPr>
          <w:p w14:paraId="2649CE79" w14:textId="77777777" w:rsidR="00431FA7" w:rsidRPr="008012BB" w:rsidRDefault="00355F90"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w:t>
            </w:r>
          </w:p>
        </w:tc>
        <w:tc>
          <w:tcPr>
            <w:tcW w:w="319" w:type="pct"/>
            <w:shd w:val="clear" w:color="auto" w:fill="auto"/>
            <w:vAlign w:val="center"/>
          </w:tcPr>
          <w:p w14:paraId="7882B3BF" w14:textId="77777777" w:rsidR="00431FA7" w:rsidRPr="008012BB" w:rsidRDefault="00372FF1"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1.914.667</w:t>
            </w:r>
          </w:p>
        </w:tc>
        <w:tc>
          <w:tcPr>
            <w:tcW w:w="344" w:type="pct"/>
            <w:shd w:val="clear" w:color="auto" w:fill="auto"/>
            <w:vAlign w:val="center"/>
          </w:tcPr>
          <w:p w14:paraId="4936A4A4" w14:textId="77777777" w:rsidR="00431FA7" w:rsidRPr="008012BB" w:rsidRDefault="00372FF1"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1.914.667</w:t>
            </w:r>
          </w:p>
        </w:tc>
        <w:tc>
          <w:tcPr>
            <w:tcW w:w="343" w:type="pct"/>
            <w:shd w:val="clear" w:color="auto" w:fill="auto"/>
            <w:vAlign w:val="center"/>
          </w:tcPr>
          <w:p w14:paraId="505703F7" w14:textId="77777777" w:rsidR="00431FA7" w:rsidRPr="008012BB" w:rsidRDefault="00372FF1"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45.846.618</w:t>
            </w:r>
          </w:p>
        </w:tc>
        <w:tc>
          <w:tcPr>
            <w:tcW w:w="427" w:type="pct"/>
            <w:shd w:val="clear" w:color="auto" w:fill="auto"/>
            <w:vAlign w:val="center"/>
          </w:tcPr>
          <w:p w14:paraId="353FF326" w14:textId="77777777" w:rsidR="00431FA7" w:rsidRPr="008012BB" w:rsidRDefault="00355F90"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4</w:t>
            </w:r>
            <w:r w:rsidR="00372FF1" w:rsidRPr="008012BB">
              <w:rPr>
                <w:rFonts w:ascii="Arial" w:eastAsia="Times New Roman" w:hAnsi="Arial" w:cs="Arial"/>
                <w:color w:val="000000"/>
                <w:sz w:val="16"/>
                <w:szCs w:val="16"/>
                <w:lang w:eastAsia="es-CO"/>
              </w:rPr>
              <w:t>4.18</w:t>
            </w:r>
            <w:r w:rsidRPr="008012BB">
              <w:rPr>
                <w:rFonts w:ascii="Arial" w:eastAsia="Times New Roman" w:hAnsi="Arial" w:cs="Arial"/>
                <w:color w:val="000000"/>
                <w:sz w:val="16"/>
                <w:szCs w:val="16"/>
                <w:lang w:eastAsia="es-CO"/>
              </w:rPr>
              <w:t>0</w:t>
            </w:r>
            <w:r w:rsidR="00372FF1" w:rsidRPr="008012BB">
              <w:rPr>
                <w:rFonts w:ascii="Arial" w:eastAsia="Times New Roman" w:hAnsi="Arial" w:cs="Arial"/>
                <w:color w:val="000000"/>
                <w:sz w:val="16"/>
                <w:szCs w:val="16"/>
                <w:lang w:eastAsia="es-CO"/>
              </w:rPr>
              <w:t>.</w:t>
            </w:r>
            <w:r w:rsidRPr="008012BB">
              <w:rPr>
                <w:rFonts w:ascii="Arial" w:eastAsia="Times New Roman" w:hAnsi="Arial" w:cs="Arial"/>
                <w:color w:val="000000"/>
                <w:sz w:val="16"/>
                <w:szCs w:val="16"/>
                <w:lang w:eastAsia="es-CO"/>
              </w:rPr>
              <w:t>428</w:t>
            </w:r>
          </w:p>
        </w:tc>
        <w:tc>
          <w:tcPr>
            <w:tcW w:w="343" w:type="pct"/>
            <w:shd w:val="clear" w:color="auto" w:fill="auto"/>
            <w:vAlign w:val="center"/>
          </w:tcPr>
          <w:p w14:paraId="715FB92A" w14:textId="77777777" w:rsidR="00431FA7" w:rsidRPr="008012BB" w:rsidRDefault="00355F90"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234.925</w:t>
            </w:r>
          </w:p>
        </w:tc>
        <w:tc>
          <w:tcPr>
            <w:tcW w:w="344" w:type="pct"/>
            <w:shd w:val="clear" w:color="auto" w:fill="auto"/>
            <w:vAlign w:val="center"/>
          </w:tcPr>
          <w:p w14:paraId="004F8197" w14:textId="77777777" w:rsidR="00431FA7" w:rsidRPr="008012BB" w:rsidRDefault="00355F90" w:rsidP="00A01FEB">
            <w:pPr>
              <w:spacing w:after="0" w:line="240" w:lineRule="auto"/>
              <w:jc w:val="right"/>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234.925</w:t>
            </w:r>
          </w:p>
        </w:tc>
        <w:tc>
          <w:tcPr>
            <w:tcW w:w="318" w:type="pct"/>
            <w:shd w:val="clear" w:color="auto" w:fill="auto"/>
            <w:vAlign w:val="center"/>
          </w:tcPr>
          <w:p w14:paraId="052B1EC1" w14:textId="77777777" w:rsidR="00431FA7" w:rsidRPr="008012BB" w:rsidRDefault="00355F90" w:rsidP="00A01FEB">
            <w:pPr>
              <w:spacing w:after="0" w:line="240" w:lineRule="auto"/>
              <w:jc w:val="right"/>
              <w:rPr>
                <w:rFonts w:ascii="Arial" w:eastAsia="Times New Roman" w:hAnsi="Arial" w:cs="Arial"/>
                <w:sz w:val="16"/>
                <w:szCs w:val="16"/>
                <w:lang w:eastAsia="es-CO"/>
              </w:rPr>
            </w:pPr>
            <w:r w:rsidRPr="008012BB">
              <w:rPr>
                <w:rFonts w:ascii="Arial" w:eastAsia="Times New Roman" w:hAnsi="Arial" w:cs="Arial"/>
                <w:sz w:val="16"/>
                <w:szCs w:val="16"/>
                <w:lang w:eastAsia="es-CO"/>
              </w:rPr>
              <w:t>93.050</w:t>
            </w:r>
          </w:p>
        </w:tc>
        <w:tc>
          <w:tcPr>
            <w:tcW w:w="343" w:type="pct"/>
            <w:shd w:val="clear" w:color="auto" w:fill="auto"/>
            <w:vAlign w:val="center"/>
          </w:tcPr>
          <w:p w14:paraId="62477BA0" w14:textId="77777777" w:rsidR="00431FA7" w:rsidRPr="008012BB" w:rsidRDefault="00355F90" w:rsidP="00A01FEB">
            <w:pPr>
              <w:spacing w:after="0" w:line="240" w:lineRule="auto"/>
              <w:jc w:val="right"/>
              <w:rPr>
                <w:rFonts w:ascii="Arial" w:eastAsia="Times New Roman" w:hAnsi="Arial" w:cs="Arial"/>
                <w:sz w:val="16"/>
                <w:szCs w:val="16"/>
                <w:lang w:eastAsia="es-CO"/>
              </w:rPr>
            </w:pPr>
            <w:r w:rsidRPr="008012BB">
              <w:rPr>
                <w:rFonts w:ascii="Arial" w:eastAsia="Times New Roman" w:hAnsi="Arial" w:cs="Arial"/>
                <w:sz w:val="16"/>
                <w:szCs w:val="16"/>
                <w:lang w:eastAsia="es-CO"/>
              </w:rPr>
              <w:t>1.711.419</w:t>
            </w:r>
          </w:p>
        </w:tc>
        <w:tc>
          <w:tcPr>
            <w:tcW w:w="431" w:type="pct"/>
            <w:shd w:val="clear" w:color="auto" w:fill="auto"/>
            <w:vAlign w:val="center"/>
          </w:tcPr>
          <w:p w14:paraId="6B5E8319" w14:textId="77777777" w:rsidR="00431FA7" w:rsidRPr="008012BB" w:rsidRDefault="00372FF1" w:rsidP="00A01FEB">
            <w:pPr>
              <w:spacing w:after="0" w:line="240" w:lineRule="auto"/>
              <w:jc w:val="right"/>
              <w:rPr>
                <w:rFonts w:ascii="Arial" w:eastAsia="Times New Roman" w:hAnsi="Arial" w:cs="Arial"/>
                <w:sz w:val="16"/>
                <w:szCs w:val="16"/>
                <w:lang w:eastAsia="es-CO"/>
              </w:rPr>
            </w:pPr>
            <w:r w:rsidRPr="008012BB">
              <w:rPr>
                <w:rFonts w:ascii="Arial" w:eastAsia="Times New Roman" w:hAnsi="Arial" w:cs="Arial"/>
                <w:sz w:val="16"/>
                <w:szCs w:val="16"/>
                <w:lang w:eastAsia="es-CO"/>
              </w:rPr>
              <w:t>49.</w:t>
            </w:r>
            <w:r w:rsidR="00355F90" w:rsidRPr="008012BB">
              <w:rPr>
                <w:rFonts w:ascii="Arial" w:eastAsia="Times New Roman" w:hAnsi="Arial" w:cs="Arial"/>
                <w:sz w:val="16"/>
                <w:szCs w:val="16"/>
                <w:lang w:eastAsia="es-CO"/>
              </w:rPr>
              <w:t>616.523</w:t>
            </w:r>
          </w:p>
        </w:tc>
        <w:tc>
          <w:tcPr>
            <w:tcW w:w="441" w:type="pct"/>
            <w:shd w:val="clear" w:color="auto" w:fill="auto"/>
            <w:vAlign w:val="center"/>
          </w:tcPr>
          <w:p w14:paraId="23D84534" w14:textId="77777777" w:rsidR="00431FA7" w:rsidRPr="008012BB" w:rsidRDefault="00500123" w:rsidP="00A01FEB">
            <w:pPr>
              <w:spacing w:after="0" w:line="240" w:lineRule="auto"/>
              <w:jc w:val="right"/>
              <w:rPr>
                <w:rFonts w:ascii="Arial" w:eastAsia="Times New Roman" w:hAnsi="Arial" w:cs="Arial"/>
                <w:sz w:val="16"/>
                <w:szCs w:val="16"/>
                <w:lang w:eastAsia="es-CO"/>
              </w:rPr>
            </w:pPr>
            <w:r w:rsidRPr="008012BB">
              <w:rPr>
                <w:rFonts w:ascii="Arial" w:eastAsia="Times New Roman" w:hAnsi="Arial" w:cs="Arial"/>
                <w:color w:val="000000"/>
                <w:sz w:val="16"/>
                <w:szCs w:val="16"/>
                <w:lang w:eastAsia="es-CO"/>
              </w:rPr>
              <w:t>48.041.439</w:t>
            </w:r>
          </w:p>
        </w:tc>
      </w:tr>
      <w:tr w:rsidR="00DD56AF" w:rsidRPr="008012BB" w14:paraId="7FEB59E7" w14:textId="77777777" w:rsidTr="008012BB">
        <w:trPr>
          <w:trHeight w:val="227"/>
        </w:trPr>
        <w:tc>
          <w:tcPr>
            <w:tcW w:w="620" w:type="pct"/>
            <w:shd w:val="clear" w:color="auto" w:fill="auto"/>
            <w:vAlign w:val="center"/>
            <w:hideMark/>
          </w:tcPr>
          <w:p w14:paraId="4927C1FD" w14:textId="77777777" w:rsidR="00431FA7" w:rsidRPr="008012BB" w:rsidRDefault="00431FA7" w:rsidP="00431FA7">
            <w:pPr>
              <w:spacing w:after="0" w:line="240" w:lineRule="auto"/>
              <w:rPr>
                <w:rFonts w:ascii="Arial" w:eastAsia="Times New Roman" w:hAnsi="Arial" w:cs="Arial"/>
                <w:color w:val="000000"/>
                <w:sz w:val="16"/>
                <w:szCs w:val="16"/>
                <w:lang w:eastAsia="es-CO"/>
              </w:rPr>
            </w:pPr>
            <w:r w:rsidRPr="008012BB">
              <w:rPr>
                <w:rFonts w:ascii="Arial" w:eastAsia="Times New Roman" w:hAnsi="Arial" w:cs="Arial"/>
                <w:color w:val="000000"/>
                <w:sz w:val="16"/>
                <w:szCs w:val="16"/>
                <w:lang w:eastAsia="es-CO"/>
              </w:rPr>
              <w:t>Dividendos por pagar</w:t>
            </w:r>
          </w:p>
        </w:tc>
        <w:tc>
          <w:tcPr>
            <w:tcW w:w="341" w:type="pct"/>
            <w:shd w:val="clear" w:color="auto" w:fill="auto"/>
            <w:noWrap/>
            <w:vAlign w:val="center"/>
          </w:tcPr>
          <w:p w14:paraId="1549EEB0" w14:textId="6880ADFB" w:rsidR="00431FA7" w:rsidRPr="008012BB" w:rsidRDefault="00372FF1" w:rsidP="00A01FEB">
            <w:pPr>
              <w:spacing w:after="0" w:line="240" w:lineRule="auto"/>
              <w:jc w:val="right"/>
              <w:rPr>
                <w:rFonts w:ascii="Arial" w:hAnsi="Arial" w:cs="Arial"/>
                <w:color w:val="000000"/>
                <w:sz w:val="16"/>
                <w:szCs w:val="16"/>
                <w:u w:val="single"/>
              </w:rPr>
            </w:pPr>
            <w:r w:rsidRPr="008012BB">
              <w:rPr>
                <w:rFonts w:ascii="Arial" w:hAnsi="Arial" w:cs="Arial"/>
                <w:color w:val="000000"/>
                <w:sz w:val="16"/>
                <w:szCs w:val="16"/>
                <w:u w:val="single"/>
              </w:rPr>
              <w:t>-</w:t>
            </w:r>
          </w:p>
        </w:tc>
        <w:tc>
          <w:tcPr>
            <w:tcW w:w="385" w:type="pct"/>
            <w:shd w:val="clear" w:color="auto" w:fill="auto"/>
            <w:vAlign w:val="center"/>
          </w:tcPr>
          <w:p w14:paraId="50569F5E" w14:textId="30D7FC5E" w:rsidR="00431FA7" w:rsidRPr="008012BB" w:rsidRDefault="00372FF1" w:rsidP="00A01FEB">
            <w:pPr>
              <w:spacing w:after="0" w:line="240" w:lineRule="auto"/>
              <w:jc w:val="right"/>
              <w:rPr>
                <w:rFonts w:ascii="Arial" w:eastAsia="Times New Roman" w:hAnsi="Arial" w:cs="Arial"/>
                <w:color w:val="000000"/>
                <w:sz w:val="16"/>
                <w:szCs w:val="16"/>
                <w:u w:val="single"/>
                <w:lang w:eastAsia="es-CO"/>
              </w:rPr>
            </w:pPr>
            <w:r w:rsidRPr="008012BB">
              <w:rPr>
                <w:rFonts w:ascii="Arial" w:eastAsia="Times New Roman" w:hAnsi="Arial" w:cs="Arial"/>
                <w:color w:val="000000"/>
                <w:sz w:val="16"/>
                <w:szCs w:val="16"/>
                <w:u w:val="single"/>
                <w:lang w:eastAsia="es-CO"/>
              </w:rPr>
              <w:t>-</w:t>
            </w:r>
          </w:p>
        </w:tc>
        <w:tc>
          <w:tcPr>
            <w:tcW w:w="319" w:type="pct"/>
            <w:shd w:val="clear" w:color="auto" w:fill="auto"/>
            <w:vAlign w:val="center"/>
          </w:tcPr>
          <w:p w14:paraId="262CB34A" w14:textId="2A12527D" w:rsidR="00431FA7" w:rsidRPr="008012BB" w:rsidRDefault="00431FA7" w:rsidP="00A01FEB">
            <w:pPr>
              <w:spacing w:after="0" w:line="240" w:lineRule="auto"/>
              <w:jc w:val="right"/>
              <w:rPr>
                <w:rFonts w:ascii="Arial" w:eastAsia="Times New Roman" w:hAnsi="Arial" w:cs="Arial"/>
                <w:color w:val="000000"/>
                <w:sz w:val="16"/>
                <w:szCs w:val="16"/>
                <w:u w:val="single"/>
                <w:lang w:eastAsia="es-CO"/>
              </w:rPr>
            </w:pPr>
            <w:r w:rsidRPr="008012BB">
              <w:rPr>
                <w:rFonts w:ascii="Arial" w:eastAsia="Times New Roman" w:hAnsi="Arial" w:cs="Arial"/>
                <w:color w:val="000000"/>
                <w:sz w:val="16"/>
                <w:szCs w:val="16"/>
                <w:u w:val="single"/>
                <w:lang w:eastAsia="es-CO"/>
              </w:rPr>
              <w:t>-</w:t>
            </w:r>
          </w:p>
        </w:tc>
        <w:tc>
          <w:tcPr>
            <w:tcW w:w="344" w:type="pct"/>
            <w:shd w:val="clear" w:color="auto" w:fill="auto"/>
            <w:vAlign w:val="center"/>
          </w:tcPr>
          <w:p w14:paraId="1BE6E511" w14:textId="331B428A" w:rsidR="00431FA7" w:rsidRPr="008012BB" w:rsidRDefault="00431FA7" w:rsidP="00A01FEB">
            <w:pPr>
              <w:spacing w:after="0" w:line="240" w:lineRule="auto"/>
              <w:jc w:val="right"/>
              <w:rPr>
                <w:rFonts w:ascii="Arial" w:eastAsia="Times New Roman" w:hAnsi="Arial" w:cs="Arial"/>
                <w:color w:val="000000"/>
                <w:sz w:val="16"/>
                <w:szCs w:val="16"/>
                <w:u w:val="single"/>
                <w:lang w:eastAsia="es-CO"/>
              </w:rPr>
            </w:pPr>
            <w:r w:rsidRPr="008012BB">
              <w:rPr>
                <w:rFonts w:ascii="Arial" w:eastAsia="Times New Roman" w:hAnsi="Arial" w:cs="Arial"/>
                <w:color w:val="000000"/>
                <w:sz w:val="16"/>
                <w:szCs w:val="16"/>
                <w:u w:val="single"/>
                <w:lang w:eastAsia="es-CO"/>
              </w:rPr>
              <w:t>-</w:t>
            </w:r>
          </w:p>
        </w:tc>
        <w:tc>
          <w:tcPr>
            <w:tcW w:w="343" w:type="pct"/>
            <w:shd w:val="clear" w:color="auto" w:fill="auto"/>
            <w:vAlign w:val="center"/>
          </w:tcPr>
          <w:p w14:paraId="03EE8616" w14:textId="51E22B8B" w:rsidR="00431FA7" w:rsidRPr="008012BB" w:rsidRDefault="00431FA7" w:rsidP="00A01FEB">
            <w:pPr>
              <w:spacing w:after="0" w:line="240" w:lineRule="auto"/>
              <w:jc w:val="right"/>
              <w:rPr>
                <w:rFonts w:ascii="Arial" w:eastAsia="Times New Roman" w:hAnsi="Arial" w:cs="Arial"/>
                <w:color w:val="000000"/>
                <w:sz w:val="16"/>
                <w:szCs w:val="16"/>
                <w:u w:val="single"/>
                <w:lang w:eastAsia="es-CO"/>
              </w:rPr>
            </w:pPr>
            <w:r w:rsidRPr="008012BB">
              <w:rPr>
                <w:rFonts w:ascii="Arial" w:eastAsia="Times New Roman" w:hAnsi="Arial" w:cs="Arial"/>
                <w:color w:val="000000"/>
                <w:sz w:val="16"/>
                <w:szCs w:val="16"/>
                <w:u w:val="single"/>
                <w:lang w:eastAsia="es-CO"/>
              </w:rPr>
              <w:t>-</w:t>
            </w:r>
          </w:p>
        </w:tc>
        <w:tc>
          <w:tcPr>
            <w:tcW w:w="427" w:type="pct"/>
            <w:shd w:val="clear" w:color="auto" w:fill="auto"/>
            <w:vAlign w:val="center"/>
          </w:tcPr>
          <w:p w14:paraId="709AA35A" w14:textId="2CE4C7C9" w:rsidR="00431FA7" w:rsidRPr="008012BB" w:rsidRDefault="00431FA7" w:rsidP="00A01FEB">
            <w:pPr>
              <w:spacing w:after="0" w:line="240" w:lineRule="auto"/>
              <w:jc w:val="right"/>
              <w:rPr>
                <w:rFonts w:ascii="Arial" w:eastAsia="Times New Roman" w:hAnsi="Arial" w:cs="Arial"/>
                <w:color w:val="000000"/>
                <w:sz w:val="16"/>
                <w:szCs w:val="16"/>
                <w:u w:val="single"/>
                <w:lang w:eastAsia="es-CO"/>
              </w:rPr>
            </w:pPr>
            <w:r w:rsidRPr="008012BB">
              <w:rPr>
                <w:rFonts w:ascii="Arial" w:eastAsia="Times New Roman" w:hAnsi="Arial" w:cs="Arial"/>
                <w:color w:val="000000"/>
                <w:sz w:val="16"/>
                <w:szCs w:val="16"/>
                <w:u w:val="single"/>
                <w:lang w:eastAsia="es-CO"/>
              </w:rPr>
              <w:t>-</w:t>
            </w:r>
          </w:p>
        </w:tc>
        <w:tc>
          <w:tcPr>
            <w:tcW w:w="343" w:type="pct"/>
            <w:shd w:val="clear" w:color="auto" w:fill="auto"/>
            <w:vAlign w:val="center"/>
          </w:tcPr>
          <w:p w14:paraId="777997B9" w14:textId="77777777" w:rsidR="00431FA7" w:rsidRPr="008012BB" w:rsidRDefault="00355F90" w:rsidP="00A01FEB">
            <w:pPr>
              <w:spacing w:after="0" w:line="240" w:lineRule="auto"/>
              <w:jc w:val="right"/>
              <w:rPr>
                <w:rFonts w:ascii="Arial" w:eastAsia="Times New Roman" w:hAnsi="Arial" w:cs="Arial"/>
                <w:color w:val="000000"/>
                <w:sz w:val="16"/>
                <w:szCs w:val="16"/>
                <w:u w:val="single"/>
                <w:lang w:eastAsia="es-CO"/>
              </w:rPr>
            </w:pPr>
            <w:r w:rsidRPr="008012BB">
              <w:rPr>
                <w:rFonts w:ascii="Arial" w:eastAsia="Times New Roman" w:hAnsi="Arial" w:cs="Arial"/>
                <w:color w:val="000000"/>
                <w:sz w:val="16"/>
                <w:szCs w:val="16"/>
                <w:u w:val="single"/>
                <w:lang w:eastAsia="es-CO"/>
              </w:rPr>
              <w:t>47.437.640</w:t>
            </w:r>
          </w:p>
        </w:tc>
        <w:tc>
          <w:tcPr>
            <w:tcW w:w="344" w:type="pct"/>
            <w:shd w:val="clear" w:color="auto" w:fill="auto"/>
            <w:vAlign w:val="center"/>
          </w:tcPr>
          <w:p w14:paraId="0EBE80EE" w14:textId="2A5ADE32" w:rsidR="00431FA7" w:rsidRPr="008012BB" w:rsidRDefault="00355F90" w:rsidP="00A01FEB">
            <w:pPr>
              <w:spacing w:after="0" w:line="240" w:lineRule="auto"/>
              <w:jc w:val="right"/>
              <w:rPr>
                <w:rFonts w:ascii="Arial" w:eastAsia="Times New Roman" w:hAnsi="Arial" w:cs="Arial"/>
                <w:color w:val="000000"/>
                <w:sz w:val="16"/>
                <w:szCs w:val="16"/>
                <w:u w:val="single"/>
                <w:lang w:eastAsia="es-CO"/>
              </w:rPr>
            </w:pPr>
            <w:r w:rsidRPr="008012BB">
              <w:rPr>
                <w:rFonts w:ascii="Arial" w:eastAsia="Times New Roman" w:hAnsi="Arial" w:cs="Arial"/>
                <w:color w:val="000000"/>
                <w:sz w:val="16"/>
                <w:szCs w:val="16"/>
                <w:u w:val="single"/>
                <w:lang w:eastAsia="es-CO"/>
              </w:rPr>
              <w:t>-</w:t>
            </w:r>
          </w:p>
        </w:tc>
        <w:tc>
          <w:tcPr>
            <w:tcW w:w="318" w:type="pct"/>
            <w:shd w:val="clear" w:color="auto" w:fill="auto"/>
            <w:vAlign w:val="center"/>
          </w:tcPr>
          <w:p w14:paraId="3D64F384" w14:textId="77777777" w:rsidR="00431FA7" w:rsidRPr="008012BB" w:rsidRDefault="00372FF1" w:rsidP="00A01FEB">
            <w:pPr>
              <w:spacing w:after="0" w:line="240" w:lineRule="auto"/>
              <w:jc w:val="right"/>
              <w:rPr>
                <w:rFonts w:ascii="Arial" w:eastAsia="Times New Roman" w:hAnsi="Arial" w:cs="Arial"/>
                <w:sz w:val="16"/>
                <w:szCs w:val="16"/>
                <w:u w:val="single"/>
                <w:lang w:eastAsia="es-CO"/>
              </w:rPr>
            </w:pPr>
            <w:r w:rsidRPr="008012BB">
              <w:rPr>
                <w:rFonts w:ascii="Arial" w:eastAsia="Times New Roman" w:hAnsi="Arial" w:cs="Arial"/>
                <w:sz w:val="16"/>
                <w:szCs w:val="16"/>
                <w:u w:val="single"/>
                <w:lang w:eastAsia="es-CO"/>
              </w:rPr>
              <w:t>2.474.</w:t>
            </w:r>
            <w:r w:rsidR="00355F90" w:rsidRPr="008012BB">
              <w:rPr>
                <w:rFonts w:ascii="Arial" w:eastAsia="Times New Roman" w:hAnsi="Arial" w:cs="Arial"/>
                <w:sz w:val="16"/>
                <w:szCs w:val="16"/>
                <w:u w:val="single"/>
                <w:lang w:eastAsia="es-CO"/>
              </w:rPr>
              <w:t>601</w:t>
            </w:r>
          </w:p>
        </w:tc>
        <w:tc>
          <w:tcPr>
            <w:tcW w:w="343" w:type="pct"/>
            <w:shd w:val="clear" w:color="auto" w:fill="auto"/>
            <w:vAlign w:val="center"/>
          </w:tcPr>
          <w:p w14:paraId="64DEEC9D" w14:textId="60FC2EAF" w:rsidR="00431FA7" w:rsidRPr="008012BB" w:rsidRDefault="00431FA7" w:rsidP="00A01FEB">
            <w:pPr>
              <w:spacing w:after="0" w:line="240" w:lineRule="auto"/>
              <w:jc w:val="right"/>
              <w:rPr>
                <w:rFonts w:ascii="Arial" w:eastAsia="Times New Roman" w:hAnsi="Arial" w:cs="Arial"/>
                <w:sz w:val="16"/>
                <w:szCs w:val="16"/>
                <w:u w:val="single"/>
                <w:lang w:eastAsia="es-CO"/>
              </w:rPr>
            </w:pPr>
            <w:r w:rsidRPr="008012BB">
              <w:rPr>
                <w:rFonts w:ascii="Arial" w:eastAsia="Times New Roman" w:hAnsi="Arial" w:cs="Arial"/>
                <w:sz w:val="16"/>
                <w:szCs w:val="16"/>
                <w:u w:val="single"/>
                <w:lang w:eastAsia="es-CO"/>
              </w:rPr>
              <w:t>-</w:t>
            </w:r>
          </w:p>
        </w:tc>
        <w:tc>
          <w:tcPr>
            <w:tcW w:w="431" w:type="pct"/>
            <w:shd w:val="clear" w:color="auto" w:fill="auto"/>
            <w:vAlign w:val="center"/>
          </w:tcPr>
          <w:p w14:paraId="57281ED2" w14:textId="77777777" w:rsidR="00431FA7" w:rsidRPr="008012BB" w:rsidRDefault="00355F90" w:rsidP="00A01FEB">
            <w:pPr>
              <w:spacing w:after="0" w:line="240" w:lineRule="auto"/>
              <w:jc w:val="right"/>
              <w:rPr>
                <w:rFonts w:ascii="Arial" w:eastAsia="Times New Roman" w:hAnsi="Arial" w:cs="Arial"/>
                <w:sz w:val="16"/>
                <w:szCs w:val="16"/>
                <w:u w:val="single"/>
                <w:lang w:eastAsia="es-CO"/>
              </w:rPr>
            </w:pPr>
            <w:r w:rsidRPr="008012BB">
              <w:rPr>
                <w:rFonts w:ascii="Arial" w:eastAsia="Times New Roman" w:hAnsi="Arial" w:cs="Arial"/>
                <w:sz w:val="16"/>
                <w:szCs w:val="16"/>
                <w:u w:val="single"/>
                <w:lang w:eastAsia="es-CO"/>
              </w:rPr>
              <w:t>49.912.241</w:t>
            </w:r>
          </w:p>
        </w:tc>
        <w:tc>
          <w:tcPr>
            <w:tcW w:w="441" w:type="pct"/>
            <w:shd w:val="clear" w:color="auto" w:fill="auto"/>
            <w:vAlign w:val="center"/>
          </w:tcPr>
          <w:p w14:paraId="39334BAF" w14:textId="43512EA2" w:rsidR="00431FA7" w:rsidRPr="008012BB" w:rsidRDefault="00355F90" w:rsidP="00A01FEB">
            <w:pPr>
              <w:spacing w:after="0" w:line="240" w:lineRule="auto"/>
              <w:jc w:val="right"/>
              <w:rPr>
                <w:rFonts w:ascii="Arial" w:eastAsia="Times New Roman" w:hAnsi="Arial" w:cs="Arial"/>
                <w:sz w:val="16"/>
                <w:szCs w:val="16"/>
                <w:u w:val="single"/>
                <w:lang w:eastAsia="es-CO"/>
              </w:rPr>
            </w:pPr>
            <w:r w:rsidRPr="008012BB">
              <w:rPr>
                <w:rFonts w:ascii="Arial" w:eastAsia="Times New Roman" w:hAnsi="Arial" w:cs="Arial"/>
                <w:sz w:val="16"/>
                <w:szCs w:val="16"/>
                <w:u w:val="single"/>
                <w:lang w:eastAsia="es-CO"/>
              </w:rPr>
              <w:t>-</w:t>
            </w:r>
          </w:p>
        </w:tc>
      </w:tr>
      <w:tr w:rsidR="00DD56AF" w:rsidRPr="008012BB" w14:paraId="16AB898B" w14:textId="77777777" w:rsidTr="008012BB">
        <w:trPr>
          <w:trHeight w:val="227"/>
        </w:trPr>
        <w:tc>
          <w:tcPr>
            <w:tcW w:w="620" w:type="pct"/>
            <w:shd w:val="clear" w:color="auto" w:fill="auto"/>
            <w:vAlign w:val="center"/>
            <w:hideMark/>
          </w:tcPr>
          <w:p w14:paraId="02E4F140" w14:textId="77777777" w:rsidR="00431FA7" w:rsidRPr="008012BB" w:rsidRDefault="00431FA7" w:rsidP="00431FA7">
            <w:pPr>
              <w:spacing w:after="0" w:line="240" w:lineRule="auto"/>
              <w:rPr>
                <w:rFonts w:ascii="Arial" w:eastAsia="Times New Roman" w:hAnsi="Arial" w:cs="Arial"/>
                <w:b/>
                <w:bCs/>
                <w:color w:val="103475"/>
                <w:sz w:val="16"/>
                <w:szCs w:val="16"/>
                <w:lang w:eastAsia="es-CO"/>
              </w:rPr>
            </w:pPr>
            <w:r w:rsidRPr="008012BB">
              <w:rPr>
                <w:rFonts w:ascii="Arial" w:eastAsia="Times New Roman" w:hAnsi="Arial" w:cs="Arial"/>
                <w:b/>
                <w:bCs/>
                <w:color w:val="103475"/>
                <w:sz w:val="16"/>
                <w:szCs w:val="16"/>
                <w:lang w:eastAsia="es-CO"/>
              </w:rPr>
              <w:t>Total cuentas por pagar</w:t>
            </w:r>
          </w:p>
        </w:tc>
        <w:tc>
          <w:tcPr>
            <w:tcW w:w="341" w:type="pct"/>
            <w:shd w:val="clear" w:color="auto" w:fill="auto"/>
            <w:vAlign w:val="center"/>
          </w:tcPr>
          <w:p w14:paraId="2407E152" w14:textId="77777777" w:rsidR="00431FA7" w:rsidRPr="008012BB" w:rsidRDefault="00372FF1" w:rsidP="00A01FEB">
            <w:pPr>
              <w:spacing w:after="0" w:line="240" w:lineRule="auto"/>
              <w:jc w:val="right"/>
              <w:rPr>
                <w:rFonts w:ascii="Arial" w:eastAsia="Times New Roman" w:hAnsi="Arial" w:cs="Arial"/>
                <w:b/>
                <w:bCs/>
                <w:color w:val="103475"/>
                <w:sz w:val="16"/>
                <w:szCs w:val="16"/>
                <w:u w:val="double"/>
                <w:lang w:eastAsia="es-CO"/>
              </w:rPr>
            </w:pPr>
            <w:r w:rsidRPr="008012BB">
              <w:rPr>
                <w:rFonts w:ascii="Arial" w:eastAsia="Times New Roman" w:hAnsi="Arial" w:cs="Arial"/>
                <w:b/>
                <w:bCs/>
                <w:color w:val="103475"/>
                <w:sz w:val="16"/>
                <w:szCs w:val="16"/>
                <w:u w:val="double"/>
                <w:lang w:eastAsia="es-CO"/>
              </w:rPr>
              <w:t>1.527.263</w:t>
            </w:r>
          </w:p>
        </w:tc>
        <w:tc>
          <w:tcPr>
            <w:tcW w:w="385" w:type="pct"/>
            <w:shd w:val="clear" w:color="auto" w:fill="auto"/>
            <w:vAlign w:val="center"/>
          </w:tcPr>
          <w:p w14:paraId="5D5BBBB0" w14:textId="7D5EB7C9" w:rsidR="00431FA7" w:rsidRPr="008012BB" w:rsidRDefault="00355F90" w:rsidP="00A01FEB">
            <w:pPr>
              <w:spacing w:after="0" w:line="240" w:lineRule="auto"/>
              <w:jc w:val="right"/>
              <w:rPr>
                <w:rFonts w:ascii="Arial" w:eastAsia="Times New Roman" w:hAnsi="Arial" w:cs="Arial"/>
                <w:b/>
                <w:bCs/>
                <w:color w:val="103475"/>
                <w:sz w:val="16"/>
                <w:szCs w:val="16"/>
                <w:u w:val="double"/>
                <w:lang w:eastAsia="es-CO"/>
              </w:rPr>
            </w:pPr>
            <w:r w:rsidRPr="008012BB">
              <w:rPr>
                <w:rFonts w:ascii="Arial" w:eastAsia="Times New Roman" w:hAnsi="Arial" w:cs="Arial"/>
                <w:b/>
                <w:bCs/>
                <w:color w:val="103475"/>
                <w:sz w:val="16"/>
                <w:szCs w:val="16"/>
                <w:u w:val="double"/>
                <w:lang w:eastAsia="es-CO"/>
              </w:rPr>
              <w:t>-</w:t>
            </w:r>
          </w:p>
        </w:tc>
        <w:tc>
          <w:tcPr>
            <w:tcW w:w="319" w:type="pct"/>
            <w:shd w:val="clear" w:color="auto" w:fill="auto"/>
            <w:vAlign w:val="center"/>
          </w:tcPr>
          <w:p w14:paraId="233C48EC" w14:textId="77777777" w:rsidR="00431FA7" w:rsidRPr="008012BB" w:rsidRDefault="00372FF1" w:rsidP="00A01FEB">
            <w:pPr>
              <w:spacing w:after="0" w:line="240" w:lineRule="auto"/>
              <w:jc w:val="right"/>
              <w:rPr>
                <w:rFonts w:ascii="Arial" w:eastAsia="Times New Roman" w:hAnsi="Arial" w:cs="Arial"/>
                <w:b/>
                <w:bCs/>
                <w:color w:val="103475"/>
                <w:sz w:val="16"/>
                <w:szCs w:val="16"/>
                <w:u w:val="double"/>
                <w:lang w:eastAsia="es-CO"/>
              </w:rPr>
            </w:pPr>
            <w:r w:rsidRPr="008012BB">
              <w:rPr>
                <w:rFonts w:ascii="Arial" w:eastAsia="Times New Roman" w:hAnsi="Arial" w:cs="Arial"/>
                <w:b/>
                <w:bCs/>
                <w:color w:val="103475"/>
                <w:sz w:val="16"/>
                <w:szCs w:val="16"/>
                <w:u w:val="double"/>
                <w:lang w:eastAsia="es-CO"/>
              </w:rPr>
              <w:t>1.914.667</w:t>
            </w:r>
          </w:p>
        </w:tc>
        <w:tc>
          <w:tcPr>
            <w:tcW w:w="344" w:type="pct"/>
            <w:shd w:val="clear" w:color="auto" w:fill="auto"/>
            <w:vAlign w:val="center"/>
          </w:tcPr>
          <w:p w14:paraId="5AC6547C" w14:textId="77777777" w:rsidR="00431FA7" w:rsidRPr="008012BB" w:rsidRDefault="00372FF1" w:rsidP="00A01FEB">
            <w:pPr>
              <w:spacing w:after="0" w:line="240" w:lineRule="auto"/>
              <w:jc w:val="right"/>
              <w:rPr>
                <w:rFonts w:ascii="Arial" w:eastAsia="Times New Roman" w:hAnsi="Arial" w:cs="Arial"/>
                <w:b/>
                <w:bCs/>
                <w:color w:val="103475"/>
                <w:sz w:val="16"/>
                <w:szCs w:val="16"/>
                <w:u w:val="double"/>
                <w:lang w:eastAsia="es-CO"/>
              </w:rPr>
            </w:pPr>
            <w:r w:rsidRPr="008012BB">
              <w:rPr>
                <w:rFonts w:ascii="Arial" w:eastAsia="Times New Roman" w:hAnsi="Arial" w:cs="Arial"/>
                <w:b/>
                <w:bCs/>
                <w:color w:val="103475"/>
                <w:sz w:val="16"/>
                <w:szCs w:val="16"/>
                <w:u w:val="double"/>
                <w:lang w:eastAsia="es-CO"/>
              </w:rPr>
              <w:t>1.914.667</w:t>
            </w:r>
          </w:p>
        </w:tc>
        <w:tc>
          <w:tcPr>
            <w:tcW w:w="343" w:type="pct"/>
            <w:shd w:val="clear" w:color="auto" w:fill="auto"/>
            <w:vAlign w:val="center"/>
          </w:tcPr>
          <w:p w14:paraId="05A3EF38" w14:textId="77777777" w:rsidR="00431FA7" w:rsidRPr="008012BB" w:rsidRDefault="00372FF1" w:rsidP="00A01FEB">
            <w:pPr>
              <w:spacing w:after="0" w:line="240" w:lineRule="auto"/>
              <w:jc w:val="right"/>
              <w:rPr>
                <w:rFonts w:ascii="Arial" w:eastAsia="Times New Roman" w:hAnsi="Arial" w:cs="Arial"/>
                <w:b/>
                <w:bCs/>
                <w:color w:val="103475"/>
                <w:sz w:val="16"/>
                <w:szCs w:val="16"/>
                <w:u w:val="double"/>
                <w:lang w:eastAsia="es-CO"/>
              </w:rPr>
            </w:pPr>
            <w:r w:rsidRPr="008012BB">
              <w:rPr>
                <w:rFonts w:ascii="Arial" w:eastAsia="Times New Roman" w:hAnsi="Arial" w:cs="Arial"/>
                <w:b/>
                <w:bCs/>
                <w:color w:val="103475"/>
                <w:sz w:val="16"/>
                <w:szCs w:val="16"/>
                <w:u w:val="double"/>
                <w:lang w:eastAsia="es-CO"/>
              </w:rPr>
              <w:t>45.846.618</w:t>
            </w:r>
          </w:p>
        </w:tc>
        <w:tc>
          <w:tcPr>
            <w:tcW w:w="427" w:type="pct"/>
            <w:shd w:val="clear" w:color="auto" w:fill="auto"/>
            <w:vAlign w:val="center"/>
          </w:tcPr>
          <w:p w14:paraId="7D1CE678" w14:textId="77777777" w:rsidR="00431FA7" w:rsidRPr="008012BB" w:rsidRDefault="00355F90" w:rsidP="00A01FEB">
            <w:pPr>
              <w:spacing w:after="0" w:line="240" w:lineRule="auto"/>
              <w:jc w:val="right"/>
              <w:rPr>
                <w:rFonts w:ascii="Arial" w:eastAsia="Times New Roman" w:hAnsi="Arial" w:cs="Arial"/>
                <w:b/>
                <w:bCs/>
                <w:color w:val="103475"/>
                <w:sz w:val="16"/>
                <w:szCs w:val="16"/>
                <w:u w:val="double"/>
                <w:lang w:eastAsia="es-CO"/>
              </w:rPr>
            </w:pPr>
            <w:r w:rsidRPr="008012BB">
              <w:rPr>
                <w:rFonts w:ascii="Arial" w:eastAsia="Times New Roman" w:hAnsi="Arial" w:cs="Arial"/>
                <w:b/>
                <w:bCs/>
                <w:color w:val="103475"/>
                <w:sz w:val="16"/>
                <w:szCs w:val="16"/>
                <w:u w:val="double"/>
                <w:lang w:eastAsia="es-CO"/>
              </w:rPr>
              <w:t>44.180.428</w:t>
            </w:r>
          </w:p>
        </w:tc>
        <w:tc>
          <w:tcPr>
            <w:tcW w:w="343" w:type="pct"/>
            <w:shd w:val="clear" w:color="auto" w:fill="auto"/>
            <w:vAlign w:val="center"/>
          </w:tcPr>
          <w:p w14:paraId="58C29376" w14:textId="77777777" w:rsidR="00431FA7" w:rsidRPr="008012BB" w:rsidRDefault="00372FF1" w:rsidP="00A01FEB">
            <w:pPr>
              <w:spacing w:after="0" w:line="240" w:lineRule="auto"/>
              <w:jc w:val="right"/>
              <w:rPr>
                <w:rFonts w:ascii="Arial" w:eastAsia="Times New Roman" w:hAnsi="Arial" w:cs="Arial"/>
                <w:b/>
                <w:bCs/>
                <w:color w:val="103475"/>
                <w:sz w:val="16"/>
                <w:szCs w:val="16"/>
                <w:u w:val="double"/>
                <w:lang w:eastAsia="es-CO"/>
              </w:rPr>
            </w:pPr>
            <w:r w:rsidRPr="008012BB">
              <w:rPr>
                <w:rFonts w:ascii="Arial" w:eastAsia="Times New Roman" w:hAnsi="Arial" w:cs="Arial"/>
                <w:b/>
                <w:bCs/>
                <w:color w:val="103475"/>
                <w:sz w:val="16"/>
                <w:szCs w:val="16"/>
                <w:u w:val="double"/>
                <w:lang w:eastAsia="es-CO"/>
              </w:rPr>
              <w:t>47.672.565</w:t>
            </w:r>
          </w:p>
        </w:tc>
        <w:tc>
          <w:tcPr>
            <w:tcW w:w="344" w:type="pct"/>
            <w:shd w:val="clear" w:color="auto" w:fill="auto"/>
            <w:vAlign w:val="center"/>
          </w:tcPr>
          <w:p w14:paraId="3B9FF819" w14:textId="77777777" w:rsidR="00431FA7" w:rsidRPr="008012BB" w:rsidRDefault="00355F90" w:rsidP="00A01FEB">
            <w:pPr>
              <w:spacing w:after="0" w:line="240" w:lineRule="auto"/>
              <w:jc w:val="right"/>
              <w:rPr>
                <w:rFonts w:ascii="Arial" w:eastAsia="Times New Roman" w:hAnsi="Arial" w:cs="Arial"/>
                <w:b/>
                <w:bCs/>
                <w:color w:val="103475"/>
                <w:sz w:val="16"/>
                <w:szCs w:val="16"/>
                <w:u w:val="double"/>
                <w:lang w:eastAsia="es-CO"/>
              </w:rPr>
            </w:pPr>
            <w:r w:rsidRPr="008012BB">
              <w:rPr>
                <w:rFonts w:ascii="Arial" w:eastAsia="Times New Roman" w:hAnsi="Arial" w:cs="Arial"/>
                <w:b/>
                <w:bCs/>
                <w:color w:val="103475"/>
                <w:sz w:val="16"/>
                <w:szCs w:val="16"/>
                <w:u w:val="double"/>
                <w:lang w:eastAsia="es-CO"/>
              </w:rPr>
              <w:t>234.925</w:t>
            </w:r>
          </w:p>
        </w:tc>
        <w:tc>
          <w:tcPr>
            <w:tcW w:w="318" w:type="pct"/>
            <w:shd w:val="clear" w:color="auto" w:fill="auto"/>
            <w:vAlign w:val="center"/>
          </w:tcPr>
          <w:p w14:paraId="02FDB5F2" w14:textId="77777777" w:rsidR="00431FA7" w:rsidRPr="008012BB" w:rsidRDefault="00372FF1" w:rsidP="00A01FEB">
            <w:pPr>
              <w:spacing w:after="0" w:line="240" w:lineRule="auto"/>
              <w:jc w:val="right"/>
              <w:rPr>
                <w:rFonts w:ascii="Arial" w:eastAsia="Times New Roman" w:hAnsi="Arial" w:cs="Arial"/>
                <w:b/>
                <w:bCs/>
                <w:color w:val="103475"/>
                <w:sz w:val="16"/>
                <w:szCs w:val="16"/>
                <w:u w:val="double"/>
                <w:lang w:eastAsia="es-CO"/>
              </w:rPr>
            </w:pPr>
            <w:r w:rsidRPr="008012BB">
              <w:rPr>
                <w:rFonts w:ascii="Arial" w:eastAsia="Times New Roman" w:hAnsi="Arial" w:cs="Arial"/>
                <w:b/>
                <w:bCs/>
                <w:color w:val="103475"/>
                <w:sz w:val="16"/>
                <w:szCs w:val="16"/>
                <w:u w:val="double"/>
                <w:lang w:eastAsia="es-CO"/>
              </w:rPr>
              <w:t>2.567.651</w:t>
            </w:r>
          </w:p>
        </w:tc>
        <w:tc>
          <w:tcPr>
            <w:tcW w:w="343" w:type="pct"/>
            <w:shd w:val="clear" w:color="auto" w:fill="auto"/>
            <w:vAlign w:val="center"/>
          </w:tcPr>
          <w:p w14:paraId="5A39B6BD" w14:textId="77777777" w:rsidR="00431FA7" w:rsidRPr="008012BB" w:rsidRDefault="00355F90" w:rsidP="00A01FEB">
            <w:pPr>
              <w:spacing w:after="0" w:line="240" w:lineRule="auto"/>
              <w:jc w:val="right"/>
              <w:rPr>
                <w:rFonts w:ascii="Arial" w:eastAsia="Times New Roman" w:hAnsi="Arial" w:cs="Arial"/>
                <w:b/>
                <w:bCs/>
                <w:color w:val="103475"/>
                <w:sz w:val="16"/>
                <w:szCs w:val="16"/>
                <w:u w:val="double"/>
                <w:lang w:eastAsia="es-CO"/>
              </w:rPr>
            </w:pPr>
            <w:r w:rsidRPr="008012BB">
              <w:rPr>
                <w:rFonts w:ascii="Arial" w:eastAsia="Times New Roman" w:hAnsi="Arial" w:cs="Arial"/>
                <w:b/>
                <w:bCs/>
                <w:color w:val="103475"/>
                <w:sz w:val="16"/>
                <w:szCs w:val="16"/>
                <w:u w:val="double"/>
                <w:lang w:eastAsia="es-CO"/>
              </w:rPr>
              <w:t>1.711.419</w:t>
            </w:r>
          </w:p>
        </w:tc>
        <w:tc>
          <w:tcPr>
            <w:tcW w:w="431" w:type="pct"/>
            <w:shd w:val="clear" w:color="auto" w:fill="auto"/>
            <w:vAlign w:val="center"/>
          </w:tcPr>
          <w:p w14:paraId="732468D8" w14:textId="77777777" w:rsidR="00431FA7" w:rsidRPr="008012BB" w:rsidRDefault="00372FF1" w:rsidP="00A01FEB">
            <w:pPr>
              <w:spacing w:after="0" w:line="240" w:lineRule="auto"/>
              <w:jc w:val="right"/>
              <w:rPr>
                <w:rFonts w:ascii="Arial" w:eastAsia="Times New Roman" w:hAnsi="Arial" w:cs="Arial"/>
                <w:b/>
                <w:bCs/>
                <w:color w:val="103475"/>
                <w:sz w:val="16"/>
                <w:szCs w:val="16"/>
                <w:u w:val="double"/>
                <w:lang w:eastAsia="es-CO"/>
              </w:rPr>
            </w:pPr>
            <w:r w:rsidRPr="008012BB">
              <w:rPr>
                <w:rFonts w:ascii="Arial" w:eastAsia="Times New Roman" w:hAnsi="Arial" w:cs="Arial"/>
                <w:b/>
                <w:bCs/>
                <w:color w:val="103475"/>
                <w:sz w:val="16"/>
                <w:szCs w:val="16"/>
                <w:u w:val="double"/>
                <w:lang w:eastAsia="es-CO"/>
              </w:rPr>
              <w:t>99.528.764</w:t>
            </w:r>
          </w:p>
        </w:tc>
        <w:tc>
          <w:tcPr>
            <w:tcW w:w="441" w:type="pct"/>
            <w:shd w:val="clear" w:color="auto" w:fill="auto"/>
            <w:vAlign w:val="center"/>
          </w:tcPr>
          <w:p w14:paraId="56D724CC" w14:textId="77777777" w:rsidR="00431FA7" w:rsidRPr="008012BB" w:rsidRDefault="0016511E" w:rsidP="00A01FEB">
            <w:pPr>
              <w:spacing w:after="0" w:line="240" w:lineRule="auto"/>
              <w:jc w:val="right"/>
              <w:rPr>
                <w:rFonts w:ascii="Arial" w:eastAsia="Times New Roman" w:hAnsi="Arial" w:cs="Arial"/>
                <w:b/>
                <w:bCs/>
                <w:color w:val="103475"/>
                <w:sz w:val="16"/>
                <w:szCs w:val="16"/>
                <w:u w:val="double"/>
                <w:lang w:eastAsia="es-CO"/>
              </w:rPr>
            </w:pPr>
            <w:r w:rsidRPr="008012BB">
              <w:rPr>
                <w:rFonts w:ascii="Arial" w:eastAsia="Times New Roman" w:hAnsi="Arial" w:cs="Arial"/>
                <w:b/>
                <w:bCs/>
                <w:color w:val="103475"/>
                <w:sz w:val="16"/>
                <w:szCs w:val="16"/>
                <w:u w:val="double"/>
                <w:lang w:eastAsia="es-CO"/>
              </w:rPr>
              <w:t>48.041.439</w:t>
            </w:r>
          </w:p>
        </w:tc>
      </w:tr>
    </w:tbl>
    <w:p w14:paraId="7C56135F" w14:textId="77777777" w:rsidR="008012BB" w:rsidRDefault="008012BB" w:rsidP="00821786">
      <w:pPr>
        <w:spacing w:after="0" w:line="240" w:lineRule="auto"/>
        <w:jc w:val="right"/>
        <w:rPr>
          <w:rFonts w:ascii="Arial" w:hAnsi="Arial" w:cs="Arial"/>
          <w:sz w:val="20"/>
          <w:szCs w:val="20"/>
          <w:lang w:val="es-AR"/>
        </w:rPr>
        <w:sectPr w:rsidR="008012BB" w:rsidSect="008012BB">
          <w:pgSz w:w="15840" w:h="12240" w:orient="landscape"/>
          <w:pgMar w:top="992" w:right="1418" w:bottom="1327" w:left="1418" w:header="709" w:footer="709" w:gutter="0"/>
          <w:cols w:space="708"/>
          <w:titlePg/>
          <w:docGrid w:linePitch="360"/>
        </w:sectPr>
      </w:pPr>
    </w:p>
    <w:p w14:paraId="42EDAD4D" w14:textId="77777777" w:rsidR="00B9164F" w:rsidRPr="0009028A" w:rsidRDefault="00B9164F" w:rsidP="00280719">
      <w:pPr>
        <w:autoSpaceDE w:val="0"/>
        <w:autoSpaceDN w:val="0"/>
        <w:adjustRightInd w:val="0"/>
        <w:spacing w:after="0" w:line="240" w:lineRule="auto"/>
        <w:jc w:val="both"/>
        <w:rPr>
          <w:rFonts w:ascii="Arial" w:eastAsia="Arial" w:hAnsi="Arial" w:cs="Arial"/>
          <w:sz w:val="20"/>
          <w:szCs w:val="20"/>
          <w:lang w:val="es-AR"/>
        </w:rPr>
      </w:pPr>
      <w:r w:rsidRPr="0009028A">
        <w:rPr>
          <w:rFonts w:ascii="Arial" w:eastAsia="Arial" w:hAnsi="Arial" w:cs="Arial"/>
          <w:sz w:val="20"/>
          <w:szCs w:val="20"/>
          <w:lang w:val="es-AR"/>
        </w:rPr>
        <w:t>No se han otorgado ni recibido garantías. En el periodo actual se reconoció deterioro de deudores con la Concesión La Pintada S.A.S. por $91.539 (2018 $0).</w:t>
      </w:r>
    </w:p>
    <w:p w14:paraId="331E3851" w14:textId="77777777" w:rsidR="00B9164F" w:rsidRPr="0009028A" w:rsidRDefault="00B9164F" w:rsidP="00280719">
      <w:pPr>
        <w:autoSpaceDE w:val="0"/>
        <w:autoSpaceDN w:val="0"/>
        <w:adjustRightInd w:val="0"/>
        <w:spacing w:after="0" w:line="240" w:lineRule="auto"/>
        <w:jc w:val="both"/>
        <w:rPr>
          <w:rFonts w:ascii="Arial" w:eastAsia="Arial" w:hAnsi="Arial" w:cs="Arial"/>
          <w:sz w:val="20"/>
          <w:szCs w:val="20"/>
          <w:lang w:val="es-AR"/>
        </w:rPr>
      </w:pPr>
    </w:p>
    <w:p w14:paraId="296350FF" w14:textId="77777777" w:rsidR="00B9164F" w:rsidRPr="0009028A" w:rsidRDefault="00B9164F" w:rsidP="00280719">
      <w:pPr>
        <w:autoSpaceDE w:val="0"/>
        <w:autoSpaceDN w:val="0"/>
        <w:adjustRightInd w:val="0"/>
        <w:spacing w:after="0" w:line="240" w:lineRule="auto"/>
        <w:jc w:val="both"/>
        <w:rPr>
          <w:rFonts w:ascii="Arial" w:eastAsia="Arial" w:hAnsi="Arial" w:cs="Arial"/>
          <w:sz w:val="20"/>
          <w:szCs w:val="20"/>
          <w:lang w:val="es-AR"/>
        </w:rPr>
      </w:pPr>
      <w:r w:rsidRPr="0009028A">
        <w:rPr>
          <w:rFonts w:ascii="Arial" w:eastAsia="Arial" w:hAnsi="Arial" w:cs="Arial"/>
          <w:sz w:val="20"/>
          <w:szCs w:val="20"/>
          <w:lang w:val="es-AR"/>
        </w:rPr>
        <w:t>Las cuentas por pagar tienen un incremento que está dado principalmente por los dividendos decretados en la Asamblea General de Accionistas en marzo de 2019 por un valor de $50.000.000, de los cuales le corresponde a Grupo Argos $47.437.640 y Sator $2.474.601 pagaderos en junio y agosto de 2019.</w:t>
      </w:r>
    </w:p>
    <w:p w14:paraId="62270ABF" w14:textId="77777777" w:rsidR="00B9164F" w:rsidRPr="0009028A" w:rsidRDefault="00B9164F" w:rsidP="00280719">
      <w:pPr>
        <w:autoSpaceDE w:val="0"/>
        <w:autoSpaceDN w:val="0"/>
        <w:adjustRightInd w:val="0"/>
        <w:spacing w:after="0" w:line="240" w:lineRule="auto"/>
        <w:jc w:val="both"/>
        <w:rPr>
          <w:rFonts w:ascii="Arial" w:eastAsia="Arial" w:hAnsi="Arial" w:cs="Arial"/>
          <w:sz w:val="20"/>
          <w:szCs w:val="20"/>
          <w:lang w:val="es-AR"/>
        </w:rPr>
      </w:pPr>
    </w:p>
    <w:p w14:paraId="0ED41F80" w14:textId="77777777" w:rsidR="00B9164F" w:rsidRPr="0009028A" w:rsidRDefault="00B9164F" w:rsidP="00280719">
      <w:pPr>
        <w:autoSpaceDE w:val="0"/>
        <w:autoSpaceDN w:val="0"/>
        <w:adjustRightInd w:val="0"/>
        <w:spacing w:after="0" w:line="240" w:lineRule="auto"/>
        <w:jc w:val="both"/>
        <w:rPr>
          <w:rFonts w:ascii="Arial" w:eastAsia="Arial" w:hAnsi="Arial" w:cs="Arial"/>
          <w:sz w:val="20"/>
          <w:szCs w:val="20"/>
          <w:lang w:val="es-AR"/>
        </w:rPr>
      </w:pPr>
      <w:r w:rsidRPr="0009028A">
        <w:rPr>
          <w:rFonts w:ascii="Arial" w:eastAsia="Arial" w:hAnsi="Arial" w:cs="Arial"/>
          <w:sz w:val="20"/>
          <w:szCs w:val="20"/>
          <w:lang w:val="es-AR"/>
        </w:rPr>
        <w:t>Las cuentas por cobrar tienen un incremento que está dado principalmente por dividendos por cobrar a las subsidiarias Odinsa Proyectos e Inversiones S.A. $9.585.656 y Odinsa Servicios S.A.S. $1.485.913, asociadas por préstamos a concesión La Pintada $4.226.725.</w:t>
      </w:r>
    </w:p>
    <w:p w14:paraId="7AC92A5E" w14:textId="77777777" w:rsidR="00B9164F" w:rsidRPr="0009028A" w:rsidRDefault="00B9164F" w:rsidP="00280719">
      <w:pPr>
        <w:autoSpaceDE w:val="0"/>
        <w:autoSpaceDN w:val="0"/>
        <w:adjustRightInd w:val="0"/>
        <w:spacing w:after="0" w:line="240" w:lineRule="auto"/>
        <w:jc w:val="both"/>
        <w:rPr>
          <w:rFonts w:ascii="Arial" w:eastAsia="Arial" w:hAnsi="Arial" w:cs="Arial"/>
          <w:sz w:val="20"/>
          <w:szCs w:val="20"/>
          <w:lang w:val="es-AR"/>
        </w:rPr>
      </w:pPr>
    </w:p>
    <w:p w14:paraId="126B532F" w14:textId="77777777" w:rsidR="00B9164F" w:rsidRPr="0009028A" w:rsidRDefault="00B9164F" w:rsidP="00280719">
      <w:pPr>
        <w:autoSpaceDE w:val="0"/>
        <w:autoSpaceDN w:val="0"/>
        <w:adjustRightInd w:val="0"/>
        <w:spacing w:after="0" w:line="240" w:lineRule="auto"/>
        <w:jc w:val="both"/>
        <w:rPr>
          <w:rFonts w:ascii="Arial" w:eastAsia="Arial" w:hAnsi="Arial" w:cs="Arial"/>
          <w:sz w:val="20"/>
          <w:szCs w:val="20"/>
          <w:lang w:val="es-AR"/>
        </w:rPr>
      </w:pPr>
      <w:r w:rsidRPr="0009028A">
        <w:rPr>
          <w:rFonts w:ascii="Arial" w:eastAsia="Arial" w:hAnsi="Arial" w:cs="Arial"/>
          <w:sz w:val="20"/>
          <w:szCs w:val="20"/>
          <w:lang w:val="es-AR"/>
        </w:rPr>
        <w:t>Las transacciones entre la Compañía que reporta y sus partes relacionadas, se realizan en condiciones equivalentes a las que existen en transacciones entre partes independientes.</w:t>
      </w:r>
    </w:p>
    <w:p w14:paraId="3A62EF71" w14:textId="77777777" w:rsidR="00B9164F" w:rsidRPr="0009028A" w:rsidRDefault="00B9164F" w:rsidP="00280719">
      <w:pPr>
        <w:autoSpaceDE w:val="0"/>
        <w:autoSpaceDN w:val="0"/>
        <w:adjustRightInd w:val="0"/>
        <w:spacing w:after="0" w:line="240" w:lineRule="auto"/>
        <w:jc w:val="both"/>
        <w:rPr>
          <w:rFonts w:ascii="Arial" w:eastAsia="Arial" w:hAnsi="Arial" w:cs="Arial"/>
          <w:sz w:val="20"/>
          <w:szCs w:val="20"/>
          <w:lang w:val="es-AR"/>
        </w:rPr>
      </w:pPr>
    </w:p>
    <w:bookmarkEnd w:id="282"/>
    <w:p w14:paraId="12757B27" w14:textId="5D3869BA" w:rsidR="007A239C" w:rsidRPr="0009028A" w:rsidRDefault="007A239C" w:rsidP="007A239C">
      <w:pPr>
        <w:spacing w:after="0" w:line="276" w:lineRule="auto"/>
        <w:rPr>
          <w:rFonts w:ascii="Arial" w:hAnsi="Arial" w:cs="Arial"/>
          <w:b/>
          <w:color w:val="002060"/>
          <w:sz w:val="20"/>
          <w:szCs w:val="20"/>
          <w:lang w:val="es-ES_tradnl"/>
        </w:rPr>
      </w:pPr>
      <w:r w:rsidRPr="0009028A">
        <w:rPr>
          <w:rFonts w:ascii="Arial" w:hAnsi="Arial" w:cs="Arial"/>
          <w:b/>
          <w:color w:val="002060"/>
          <w:sz w:val="20"/>
          <w:szCs w:val="20"/>
          <w:lang w:val="es-ES_tradnl"/>
        </w:rPr>
        <w:t>Remuneración al personal clave de la gerencia</w:t>
      </w:r>
    </w:p>
    <w:p w14:paraId="40023A1F" w14:textId="77777777" w:rsidR="007A239C" w:rsidRPr="0009028A" w:rsidRDefault="007A239C" w:rsidP="007A239C">
      <w:pPr>
        <w:spacing w:after="0" w:line="276" w:lineRule="auto"/>
        <w:rPr>
          <w:rFonts w:ascii="Arial" w:hAnsi="Arial" w:cs="Arial"/>
          <w:b/>
          <w:color w:val="002060"/>
          <w:sz w:val="20"/>
          <w:szCs w:val="20"/>
          <w:lang w:val="es-ES_tradnl"/>
        </w:rPr>
      </w:pPr>
    </w:p>
    <w:p w14:paraId="307C8A05" w14:textId="77777777" w:rsidR="007A239C" w:rsidRPr="0009028A" w:rsidRDefault="007A239C" w:rsidP="007A239C">
      <w:pPr>
        <w:spacing w:after="0"/>
        <w:ind w:right="-2"/>
        <w:jc w:val="both"/>
        <w:rPr>
          <w:rFonts w:ascii="Arial" w:eastAsia="Arial" w:hAnsi="Arial" w:cs="Arial"/>
          <w:sz w:val="20"/>
          <w:szCs w:val="20"/>
          <w:lang w:val="es-AR"/>
        </w:rPr>
      </w:pPr>
      <w:r w:rsidRPr="0009028A">
        <w:rPr>
          <w:rFonts w:ascii="Arial" w:eastAsia="Arial" w:hAnsi="Arial" w:cs="Arial"/>
          <w:sz w:val="20"/>
          <w:szCs w:val="20"/>
          <w:lang w:val="es-AR"/>
        </w:rPr>
        <w:t xml:space="preserve">La remuneración otorgada al personal clave de la gerencia durante el </w:t>
      </w:r>
      <w:r w:rsidR="003919A1" w:rsidRPr="0009028A">
        <w:rPr>
          <w:rFonts w:ascii="Arial" w:eastAsia="Arial" w:hAnsi="Arial" w:cs="Arial"/>
          <w:sz w:val="20"/>
          <w:szCs w:val="20"/>
          <w:lang w:val="es-AR"/>
        </w:rPr>
        <w:t>primer</w:t>
      </w:r>
      <w:r w:rsidR="00834CF4" w:rsidRPr="0009028A">
        <w:rPr>
          <w:rFonts w:ascii="Arial" w:eastAsia="Arial" w:hAnsi="Arial" w:cs="Arial"/>
          <w:sz w:val="20"/>
          <w:szCs w:val="20"/>
          <w:lang w:val="es-AR"/>
        </w:rPr>
        <w:t xml:space="preserve"> trimestre</w:t>
      </w:r>
      <w:r w:rsidRPr="0009028A">
        <w:rPr>
          <w:rFonts w:ascii="Arial" w:eastAsia="Arial" w:hAnsi="Arial" w:cs="Arial"/>
          <w:sz w:val="20"/>
          <w:szCs w:val="20"/>
          <w:lang w:val="es-AR"/>
        </w:rPr>
        <w:t xml:space="preserve"> de 201</w:t>
      </w:r>
      <w:r w:rsidR="003919A1" w:rsidRPr="0009028A">
        <w:rPr>
          <w:rFonts w:ascii="Arial" w:eastAsia="Arial" w:hAnsi="Arial" w:cs="Arial"/>
          <w:sz w:val="20"/>
          <w:szCs w:val="20"/>
          <w:lang w:val="es-AR"/>
        </w:rPr>
        <w:t>9</w:t>
      </w:r>
      <w:r w:rsidRPr="0009028A">
        <w:rPr>
          <w:rFonts w:ascii="Arial" w:eastAsia="Arial" w:hAnsi="Arial" w:cs="Arial"/>
          <w:sz w:val="20"/>
          <w:szCs w:val="20"/>
          <w:lang w:val="es-AR"/>
        </w:rPr>
        <w:t xml:space="preserve"> y 201</w:t>
      </w:r>
      <w:r w:rsidR="003919A1" w:rsidRPr="0009028A">
        <w:rPr>
          <w:rFonts w:ascii="Arial" w:eastAsia="Arial" w:hAnsi="Arial" w:cs="Arial"/>
          <w:sz w:val="20"/>
          <w:szCs w:val="20"/>
          <w:lang w:val="es-AR"/>
        </w:rPr>
        <w:t>8</w:t>
      </w:r>
      <w:r w:rsidRPr="0009028A">
        <w:rPr>
          <w:rFonts w:ascii="Arial" w:eastAsia="Arial" w:hAnsi="Arial" w:cs="Arial"/>
          <w:sz w:val="20"/>
          <w:szCs w:val="20"/>
          <w:lang w:val="es-AR"/>
        </w:rPr>
        <w:t xml:space="preserve"> fue la siguiente:</w:t>
      </w:r>
    </w:p>
    <w:p w14:paraId="34C7C060" w14:textId="77777777" w:rsidR="007A239C" w:rsidRPr="0009028A" w:rsidRDefault="007A239C" w:rsidP="007A239C">
      <w:pPr>
        <w:spacing w:after="0" w:line="240" w:lineRule="auto"/>
        <w:jc w:val="both"/>
        <w:rPr>
          <w:rFonts w:ascii="Arial" w:eastAsia="Arial" w:hAnsi="Arial" w:cs="Arial"/>
          <w:sz w:val="20"/>
          <w:szCs w:val="20"/>
          <w:lang w:val="es-AR"/>
        </w:rPr>
      </w:pPr>
    </w:p>
    <w:tbl>
      <w:tblPr>
        <w:tblW w:w="9921" w:type="dxa"/>
        <w:tblCellMar>
          <w:left w:w="70" w:type="dxa"/>
          <w:right w:w="70" w:type="dxa"/>
        </w:tblCellMar>
        <w:tblLook w:val="04A0" w:firstRow="1" w:lastRow="0" w:firstColumn="1" w:lastColumn="0" w:noHBand="0" w:noVBand="1"/>
      </w:tblPr>
      <w:tblGrid>
        <w:gridCol w:w="6357"/>
        <w:gridCol w:w="1782"/>
        <w:gridCol w:w="1782"/>
      </w:tblGrid>
      <w:tr w:rsidR="007A239C" w:rsidRPr="0009028A" w14:paraId="3E7A1B1A" w14:textId="77777777" w:rsidTr="009F281E">
        <w:trPr>
          <w:trHeight w:val="54"/>
        </w:trPr>
        <w:tc>
          <w:tcPr>
            <w:tcW w:w="6357" w:type="dxa"/>
            <w:shd w:val="clear" w:color="auto" w:fill="auto"/>
            <w:vAlign w:val="center"/>
            <w:hideMark/>
          </w:tcPr>
          <w:p w14:paraId="6E2C058E" w14:textId="77777777" w:rsidR="007A239C" w:rsidRPr="0009028A" w:rsidRDefault="007A239C" w:rsidP="007A239C">
            <w:pPr>
              <w:spacing w:after="0" w:line="240" w:lineRule="auto"/>
              <w:rPr>
                <w:rFonts w:ascii="Arial" w:eastAsia="Times New Roman" w:hAnsi="Arial" w:cs="Arial"/>
                <w:b/>
                <w:bCs/>
                <w:color w:val="103475"/>
                <w:sz w:val="18"/>
                <w:szCs w:val="18"/>
                <w:lang w:eastAsia="es-CO"/>
              </w:rPr>
            </w:pPr>
          </w:p>
        </w:tc>
        <w:tc>
          <w:tcPr>
            <w:tcW w:w="1782" w:type="dxa"/>
            <w:shd w:val="clear" w:color="auto" w:fill="auto"/>
            <w:noWrap/>
            <w:vAlign w:val="center"/>
            <w:hideMark/>
          </w:tcPr>
          <w:p w14:paraId="29DDFAE5" w14:textId="77777777" w:rsidR="007A239C" w:rsidRPr="0009028A" w:rsidRDefault="007A239C" w:rsidP="007A239C">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201</w:t>
            </w:r>
            <w:r w:rsidR="003919A1" w:rsidRPr="0009028A">
              <w:rPr>
                <w:rFonts w:ascii="Arial" w:eastAsia="Times New Roman" w:hAnsi="Arial" w:cs="Arial"/>
                <w:b/>
                <w:bCs/>
                <w:color w:val="103475"/>
                <w:sz w:val="18"/>
                <w:szCs w:val="18"/>
                <w:lang w:eastAsia="es-CO"/>
              </w:rPr>
              <w:t>9</w:t>
            </w:r>
          </w:p>
        </w:tc>
        <w:tc>
          <w:tcPr>
            <w:tcW w:w="1782" w:type="dxa"/>
            <w:shd w:val="clear" w:color="auto" w:fill="auto"/>
            <w:noWrap/>
            <w:vAlign w:val="center"/>
            <w:hideMark/>
          </w:tcPr>
          <w:p w14:paraId="43EEE2A8" w14:textId="77777777" w:rsidR="007A239C" w:rsidRPr="0009028A" w:rsidRDefault="007A239C" w:rsidP="007A239C">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201</w:t>
            </w:r>
            <w:r w:rsidR="003919A1" w:rsidRPr="0009028A">
              <w:rPr>
                <w:rFonts w:ascii="Arial" w:eastAsia="Times New Roman" w:hAnsi="Arial" w:cs="Arial"/>
                <w:b/>
                <w:bCs/>
                <w:color w:val="103475"/>
                <w:sz w:val="18"/>
                <w:szCs w:val="18"/>
                <w:lang w:eastAsia="es-CO"/>
              </w:rPr>
              <w:t>8</w:t>
            </w:r>
          </w:p>
        </w:tc>
      </w:tr>
      <w:tr w:rsidR="007A239C" w:rsidRPr="0009028A" w14:paraId="3A421658" w14:textId="77777777" w:rsidTr="009F281E">
        <w:trPr>
          <w:trHeight w:val="60"/>
        </w:trPr>
        <w:tc>
          <w:tcPr>
            <w:tcW w:w="6357" w:type="dxa"/>
            <w:shd w:val="clear" w:color="auto" w:fill="auto"/>
            <w:noWrap/>
            <w:vAlign w:val="center"/>
            <w:hideMark/>
          </w:tcPr>
          <w:p w14:paraId="6D6E86A4" w14:textId="77777777" w:rsidR="007A239C" w:rsidRPr="0009028A" w:rsidRDefault="007A239C" w:rsidP="007A239C">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Beneficios a los empleados a corto plazo</w:t>
            </w:r>
          </w:p>
        </w:tc>
        <w:tc>
          <w:tcPr>
            <w:tcW w:w="1782" w:type="dxa"/>
            <w:shd w:val="clear" w:color="auto" w:fill="auto"/>
            <w:noWrap/>
            <w:vAlign w:val="center"/>
          </w:tcPr>
          <w:p w14:paraId="44302562" w14:textId="77777777" w:rsidR="007A239C" w:rsidRPr="0009028A" w:rsidRDefault="00090646" w:rsidP="00AB1800">
            <w:pPr>
              <w:tabs>
                <w:tab w:val="decimal" w:pos="1059"/>
              </w:tabs>
              <w:spacing w:after="0" w:line="240" w:lineRule="auto"/>
              <w:jc w:val="center"/>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2.687.732</w:t>
            </w:r>
          </w:p>
        </w:tc>
        <w:tc>
          <w:tcPr>
            <w:tcW w:w="1782" w:type="dxa"/>
            <w:shd w:val="clear" w:color="auto" w:fill="auto"/>
            <w:noWrap/>
            <w:vAlign w:val="center"/>
          </w:tcPr>
          <w:p w14:paraId="0616F859" w14:textId="77777777" w:rsidR="007A239C" w:rsidRPr="0009028A" w:rsidRDefault="00090646" w:rsidP="007A239C">
            <w:pPr>
              <w:tabs>
                <w:tab w:val="decimal" w:pos="1059"/>
              </w:tabs>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2.680.004</w:t>
            </w:r>
          </w:p>
        </w:tc>
      </w:tr>
    </w:tbl>
    <w:p w14:paraId="146007A9" w14:textId="77777777" w:rsidR="007A239C" w:rsidRPr="0009028A" w:rsidRDefault="007A239C" w:rsidP="007A239C">
      <w:pPr>
        <w:spacing w:after="0"/>
        <w:ind w:right="-2"/>
        <w:jc w:val="both"/>
        <w:rPr>
          <w:rFonts w:ascii="Arial" w:eastAsia="Arial" w:hAnsi="Arial" w:cs="Arial"/>
          <w:sz w:val="20"/>
          <w:szCs w:val="20"/>
          <w:lang w:val="es-AR"/>
        </w:rPr>
      </w:pPr>
    </w:p>
    <w:p w14:paraId="67AC079A" w14:textId="77777777" w:rsidR="00B34C6C" w:rsidRPr="0009028A" w:rsidRDefault="00B34C6C" w:rsidP="007A239C">
      <w:pPr>
        <w:spacing w:after="0"/>
        <w:ind w:right="-2"/>
        <w:jc w:val="both"/>
        <w:rPr>
          <w:rFonts w:ascii="Arial" w:eastAsia="Arial" w:hAnsi="Arial" w:cs="Arial"/>
          <w:sz w:val="20"/>
          <w:szCs w:val="20"/>
          <w:lang w:val="es-AR"/>
        </w:rPr>
      </w:pPr>
    </w:p>
    <w:p w14:paraId="6DD61ADA" w14:textId="77777777" w:rsidR="00B34C6C" w:rsidRPr="0009028A" w:rsidRDefault="00B34C6C" w:rsidP="00B34C6C">
      <w:pPr>
        <w:spacing w:after="0" w:line="276" w:lineRule="auto"/>
        <w:rPr>
          <w:rFonts w:ascii="Arial" w:hAnsi="Arial" w:cs="Arial"/>
          <w:b/>
          <w:color w:val="002060"/>
          <w:sz w:val="20"/>
          <w:szCs w:val="20"/>
          <w:lang w:val="es-ES_tradnl"/>
        </w:rPr>
      </w:pPr>
      <w:r w:rsidRPr="0009028A">
        <w:rPr>
          <w:rFonts w:ascii="Arial" w:hAnsi="Arial" w:cs="Arial"/>
          <w:b/>
          <w:color w:val="002060"/>
          <w:sz w:val="20"/>
          <w:szCs w:val="20"/>
          <w:lang w:val="es-ES_tradnl"/>
        </w:rPr>
        <w:t>Remuneración miembros Junta Directiva</w:t>
      </w:r>
    </w:p>
    <w:p w14:paraId="49D109FE" w14:textId="77777777" w:rsidR="00B34C6C" w:rsidRPr="0009028A" w:rsidRDefault="00B34C6C" w:rsidP="007A239C">
      <w:pPr>
        <w:spacing w:after="0"/>
        <w:ind w:right="-2"/>
        <w:jc w:val="both"/>
        <w:rPr>
          <w:rFonts w:ascii="Arial" w:eastAsia="Arial" w:hAnsi="Arial" w:cs="Arial"/>
          <w:sz w:val="20"/>
          <w:szCs w:val="20"/>
          <w:lang w:val="es-AR"/>
        </w:rPr>
      </w:pPr>
    </w:p>
    <w:p w14:paraId="73792538" w14:textId="77777777" w:rsidR="00B34C6C" w:rsidRPr="0009028A" w:rsidRDefault="00B34C6C" w:rsidP="007A239C">
      <w:pPr>
        <w:spacing w:after="0"/>
        <w:ind w:right="-2"/>
        <w:jc w:val="both"/>
        <w:rPr>
          <w:rFonts w:ascii="Arial" w:eastAsia="Arial" w:hAnsi="Arial" w:cs="Arial"/>
          <w:sz w:val="20"/>
          <w:szCs w:val="20"/>
          <w:lang w:val="es-AR"/>
        </w:rPr>
      </w:pPr>
      <w:r w:rsidRPr="0009028A">
        <w:rPr>
          <w:rFonts w:ascii="Arial" w:eastAsia="Arial" w:hAnsi="Arial" w:cs="Arial"/>
          <w:sz w:val="20"/>
          <w:szCs w:val="20"/>
          <w:lang w:val="es-AR"/>
        </w:rPr>
        <w:t xml:space="preserve">Los valores cancelados a los miembros de Junta Directiva en el primer trimestre del año 2019 y 2018 son los siguientes: </w:t>
      </w:r>
    </w:p>
    <w:p w14:paraId="0995CE48" w14:textId="77777777" w:rsidR="00B34C6C" w:rsidRPr="0009028A" w:rsidRDefault="00B34C6C" w:rsidP="007A239C">
      <w:pPr>
        <w:spacing w:after="0"/>
        <w:ind w:right="-2"/>
        <w:jc w:val="both"/>
        <w:rPr>
          <w:rFonts w:ascii="Arial" w:eastAsia="Arial" w:hAnsi="Arial" w:cs="Arial"/>
          <w:sz w:val="20"/>
          <w:szCs w:val="20"/>
          <w:lang w:val="es-AR"/>
        </w:rPr>
      </w:pPr>
    </w:p>
    <w:tbl>
      <w:tblPr>
        <w:tblW w:w="9921" w:type="dxa"/>
        <w:tblCellMar>
          <w:left w:w="70" w:type="dxa"/>
          <w:right w:w="70" w:type="dxa"/>
        </w:tblCellMar>
        <w:tblLook w:val="04A0" w:firstRow="1" w:lastRow="0" w:firstColumn="1" w:lastColumn="0" w:noHBand="0" w:noVBand="1"/>
      </w:tblPr>
      <w:tblGrid>
        <w:gridCol w:w="6357"/>
        <w:gridCol w:w="1782"/>
        <w:gridCol w:w="1782"/>
      </w:tblGrid>
      <w:tr w:rsidR="00B34C6C" w:rsidRPr="0009028A" w14:paraId="57B9FF9B" w14:textId="77777777" w:rsidTr="009F281E">
        <w:trPr>
          <w:trHeight w:val="54"/>
        </w:trPr>
        <w:tc>
          <w:tcPr>
            <w:tcW w:w="6357" w:type="dxa"/>
            <w:shd w:val="clear" w:color="auto" w:fill="auto"/>
            <w:vAlign w:val="center"/>
            <w:hideMark/>
          </w:tcPr>
          <w:p w14:paraId="53175A3A" w14:textId="77777777" w:rsidR="00B34C6C" w:rsidRPr="0009028A" w:rsidRDefault="00B34C6C" w:rsidP="003343E8">
            <w:pPr>
              <w:spacing w:after="0" w:line="240" w:lineRule="auto"/>
              <w:rPr>
                <w:rFonts w:ascii="Arial" w:eastAsia="Times New Roman" w:hAnsi="Arial" w:cs="Arial"/>
                <w:b/>
                <w:bCs/>
                <w:color w:val="103475"/>
                <w:sz w:val="18"/>
                <w:szCs w:val="18"/>
                <w:lang w:eastAsia="es-CO"/>
              </w:rPr>
            </w:pPr>
          </w:p>
        </w:tc>
        <w:tc>
          <w:tcPr>
            <w:tcW w:w="1782" w:type="dxa"/>
            <w:shd w:val="clear" w:color="auto" w:fill="auto"/>
            <w:noWrap/>
            <w:vAlign w:val="center"/>
            <w:hideMark/>
          </w:tcPr>
          <w:p w14:paraId="41ED3425" w14:textId="77777777" w:rsidR="00B34C6C" w:rsidRPr="0009028A" w:rsidRDefault="00B34C6C" w:rsidP="003343E8">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2019</w:t>
            </w:r>
          </w:p>
        </w:tc>
        <w:tc>
          <w:tcPr>
            <w:tcW w:w="1782" w:type="dxa"/>
            <w:shd w:val="clear" w:color="auto" w:fill="auto"/>
            <w:noWrap/>
            <w:vAlign w:val="center"/>
            <w:hideMark/>
          </w:tcPr>
          <w:p w14:paraId="43F63773" w14:textId="77777777" w:rsidR="00B34C6C" w:rsidRPr="0009028A" w:rsidRDefault="00B34C6C" w:rsidP="003343E8">
            <w:pPr>
              <w:spacing w:after="0" w:line="240" w:lineRule="auto"/>
              <w:jc w:val="center"/>
              <w:rPr>
                <w:rFonts w:ascii="Arial" w:eastAsia="Times New Roman" w:hAnsi="Arial" w:cs="Arial"/>
                <w:b/>
                <w:bCs/>
                <w:color w:val="103475"/>
                <w:sz w:val="18"/>
                <w:szCs w:val="18"/>
                <w:lang w:eastAsia="es-CO"/>
              </w:rPr>
            </w:pPr>
            <w:r w:rsidRPr="0009028A">
              <w:rPr>
                <w:rFonts w:ascii="Arial" w:eastAsia="Times New Roman" w:hAnsi="Arial" w:cs="Arial"/>
                <w:b/>
                <w:bCs/>
                <w:color w:val="103475"/>
                <w:sz w:val="18"/>
                <w:szCs w:val="18"/>
                <w:lang w:eastAsia="es-CO"/>
              </w:rPr>
              <w:t>2018</w:t>
            </w:r>
          </w:p>
        </w:tc>
      </w:tr>
      <w:tr w:rsidR="00B34C6C" w:rsidRPr="0009028A" w14:paraId="6E0C78ED" w14:textId="77777777" w:rsidTr="009F281E">
        <w:trPr>
          <w:trHeight w:val="60"/>
        </w:trPr>
        <w:tc>
          <w:tcPr>
            <w:tcW w:w="6357" w:type="dxa"/>
            <w:shd w:val="clear" w:color="auto" w:fill="auto"/>
            <w:noWrap/>
            <w:vAlign w:val="center"/>
            <w:hideMark/>
          </w:tcPr>
          <w:p w14:paraId="158FCC6E" w14:textId="77777777" w:rsidR="00B34C6C" w:rsidRPr="0009028A" w:rsidRDefault="00B34C6C" w:rsidP="003343E8">
            <w:pPr>
              <w:spacing w:after="0" w:line="240" w:lineRule="auto"/>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Remuneración</w:t>
            </w:r>
          </w:p>
        </w:tc>
        <w:tc>
          <w:tcPr>
            <w:tcW w:w="1782" w:type="dxa"/>
            <w:shd w:val="clear" w:color="auto" w:fill="auto"/>
            <w:noWrap/>
            <w:vAlign w:val="center"/>
          </w:tcPr>
          <w:p w14:paraId="48A259BF" w14:textId="77777777" w:rsidR="00B34C6C" w:rsidRPr="0009028A" w:rsidRDefault="00B34C6C" w:rsidP="00B34C6C">
            <w:pPr>
              <w:tabs>
                <w:tab w:val="decimal" w:pos="1059"/>
              </w:tabs>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139.500</w:t>
            </w:r>
          </w:p>
        </w:tc>
        <w:tc>
          <w:tcPr>
            <w:tcW w:w="1782" w:type="dxa"/>
            <w:shd w:val="clear" w:color="auto" w:fill="auto"/>
            <w:noWrap/>
            <w:vAlign w:val="center"/>
          </w:tcPr>
          <w:p w14:paraId="1759E0A9" w14:textId="77777777" w:rsidR="00B34C6C" w:rsidRPr="0009028A" w:rsidRDefault="00B34C6C" w:rsidP="00B34C6C">
            <w:pPr>
              <w:tabs>
                <w:tab w:val="decimal" w:pos="1059"/>
              </w:tabs>
              <w:spacing w:after="0" w:line="240" w:lineRule="auto"/>
              <w:jc w:val="right"/>
              <w:rPr>
                <w:rFonts w:ascii="Arial" w:eastAsia="Times New Roman" w:hAnsi="Arial" w:cs="Arial"/>
                <w:color w:val="000000"/>
                <w:sz w:val="18"/>
                <w:szCs w:val="18"/>
                <w:lang w:eastAsia="es-CO"/>
              </w:rPr>
            </w:pPr>
            <w:r w:rsidRPr="0009028A">
              <w:rPr>
                <w:rFonts w:ascii="Arial" w:eastAsia="Times New Roman" w:hAnsi="Arial" w:cs="Arial"/>
                <w:color w:val="000000"/>
                <w:sz w:val="18"/>
                <w:szCs w:val="18"/>
                <w:lang w:eastAsia="es-CO"/>
              </w:rPr>
              <w:t>121.500</w:t>
            </w:r>
          </w:p>
        </w:tc>
      </w:tr>
    </w:tbl>
    <w:p w14:paraId="512EA4B0" w14:textId="3249F286" w:rsidR="007A239C" w:rsidRPr="0009028A" w:rsidRDefault="007A239C" w:rsidP="008012BB">
      <w:pPr>
        <w:pStyle w:val="Sinespaciado"/>
      </w:pPr>
    </w:p>
    <w:p w14:paraId="54EC0D72" w14:textId="3FB308A6" w:rsidR="007A239C" w:rsidRPr="0088627B" w:rsidRDefault="007A239C" w:rsidP="0088627B">
      <w:pPr>
        <w:pStyle w:val="Ttulo1"/>
      </w:pPr>
      <w:bookmarkStart w:id="356" w:name="_Toc8735126"/>
      <w:r w:rsidRPr="0009028A">
        <w:t>Nota 2</w:t>
      </w:r>
      <w:r w:rsidR="00964E83">
        <w:t>6</w:t>
      </w:r>
      <w:r w:rsidRPr="0009028A">
        <w:t>: Activos y pasivos contingentes</w:t>
      </w:r>
      <w:bookmarkEnd w:id="356"/>
      <w:r w:rsidRPr="0009028A">
        <w:tab/>
      </w:r>
    </w:p>
    <w:p w14:paraId="5C8B69FE" w14:textId="78BE3521" w:rsidR="00622CFA" w:rsidRPr="000F111C" w:rsidRDefault="000F111C" w:rsidP="000F111C">
      <w:pPr>
        <w:rPr>
          <w:rFonts w:ascii="Arial" w:eastAsia="Arial" w:hAnsi="Arial" w:cs="Arial"/>
          <w:bCs/>
          <w:iCs/>
          <w:color w:val="000000" w:themeColor="text1"/>
          <w:spacing w:val="-1"/>
          <w:sz w:val="20"/>
          <w:szCs w:val="20"/>
          <w:lang w:val="es-ES"/>
        </w:rPr>
      </w:pPr>
      <w:r w:rsidRPr="00565A2C">
        <w:rPr>
          <w:rFonts w:ascii="Arial" w:eastAsia="Arial" w:hAnsi="Arial" w:cs="Arial"/>
          <w:bCs/>
          <w:iCs/>
          <w:color w:val="000000" w:themeColor="text1"/>
          <w:spacing w:val="-1"/>
          <w:sz w:val="20"/>
          <w:szCs w:val="20"/>
          <w:lang w:val="es-ES"/>
        </w:rPr>
        <w:t xml:space="preserve">Durante el </w:t>
      </w:r>
      <w:r>
        <w:rPr>
          <w:rFonts w:ascii="Arial" w:eastAsia="Arial" w:hAnsi="Arial" w:cs="Arial"/>
          <w:bCs/>
          <w:iCs/>
          <w:color w:val="000000" w:themeColor="text1"/>
          <w:spacing w:val="-1"/>
          <w:sz w:val="20"/>
          <w:szCs w:val="20"/>
          <w:lang w:val="es-ES"/>
        </w:rPr>
        <w:t>período</w:t>
      </w:r>
      <w:r w:rsidRPr="00565A2C">
        <w:rPr>
          <w:rFonts w:ascii="Arial" w:eastAsia="Arial" w:hAnsi="Arial" w:cs="Arial"/>
          <w:bCs/>
          <w:iCs/>
          <w:color w:val="000000" w:themeColor="text1"/>
          <w:spacing w:val="-1"/>
          <w:sz w:val="20"/>
          <w:szCs w:val="20"/>
          <w:lang w:val="es-ES"/>
        </w:rPr>
        <w:t xml:space="preserve"> de reporte, </w:t>
      </w:r>
      <w:r>
        <w:rPr>
          <w:rFonts w:ascii="Arial" w:eastAsia="Arial" w:hAnsi="Arial" w:cs="Arial"/>
          <w:bCs/>
          <w:iCs/>
          <w:color w:val="000000" w:themeColor="text1"/>
          <w:spacing w:val="-1"/>
          <w:sz w:val="20"/>
          <w:szCs w:val="20"/>
          <w:lang w:val="es-ES"/>
        </w:rPr>
        <w:t xml:space="preserve">no </w:t>
      </w:r>
      <w:r w:rsidRPr="00565A2C">
        <w:rPr>
          <w:rFonts w:ascii="Arial" w:eastAsia="Arial" w:hAnsi="Arial" w:cs="Arial"/>
          <w:bCs/>
          <w:iCs/>
          <w:color w:val="000000" w:themeColor="text1"/>
          <w:spacing w:val="-1"/>
          <w:sz w:val="20"/>
          <w:szCs w:val="20"/>
          <w:lang w:val="es-ES"/>
        </w:rPr>
        <w:t>se presentaron novedades en relación con los activos y pasivos contingentes informados en los estados financieros consolidados terminados a 31 de marzo de 2019</w:t>
      </w:r>
    </w:p>
    <w:p w14:paraId="7791855A" w14:textId="34093AC2" w:rsidR="007A239C" w:rsidRPr="000F111C" w:rsidRDefault="007A239C" w:rsidP="000F111C">
      <w:pPr>
        <w:pStyle w:val="Ttulo1"/>
      </w:pPr>
      <w:bookmarkStart w:id="357" w:name="_Hlk8338035"/>
      <w:bookmarkStart w:id="358" w:name="_Toc8735127"/>
      <w:r w:rsidRPr="0009028A">
        <w:t>Nota 2</w:t>
      </w:r>
      <w:r w:rsidR="00964E83">
        <w:t>7</w:t>
      </w:r>
      <w:r w:rsidRPr="0009028A">
        <w:t>: Hechos ocurridos después del período sobre el que se informa</w:t>
      </w:r>
      <w:bookmarkEnd w:id="357"/>
      <w:bookmarkEnd w:id="358"/>
    </w:p>
    <w:p w14:paraId="302B6923" w14:textId="77777777" w:rsidR="00BB05C0" w:rsidRPr="00315142" w:rsidRDefault="00BB05C0" w:rsidP="00BB05C0">
      <w:pPr>
        <w:jc w:val="both"/>
        <w:rPr>
          <w:rFonts w:ascii="Arial" w:eastAsia="Arial" w:hAnsi="Arial" w:cs="Arial"/>
          <w:bCs/>
          <w:iCs/>
          <w:color w:val="000000" w:themeColor="text1"/>
          <w:spacing w:val="-1"/>
          <w:sz w:val="20"/>
          <w:szCs w:val="20"/>
          <w:lang w:val="es-ES"/>
        </w:rPr>
      </w:pPr>
      <w:r w:rsidRPr="00315142">
        <w:rPr>
          <w:rFonts w:ascii="Arial" w:eastAsia="Arial" w:hAnsi="Arial" w:cs="Arial"/>
          <w:bCs/>
          <w:iCs/>
          <w:color w:val="000000" w:themeColor="text1"/>
          <w:spacing w:val="-1"/>
          <w:sz w:val="20"/>
          <w:szCs w:val="20"/>
          <w:lang w:val="es-ES"/>
        </w:rPr>
        <w:t>Laudo Arbitral Concesión Vial de los Llanos S.A.S. vs ANI </w:t>
      </w:r>
    </w:p>
    <w:p w14:paraId="0C6D3F95" w14:textId="77777777" w:rsidR="00BB05C0" w:rsidRPr="00315142" w:rsidRDefault="00BB05C0" w:rsidP="00BB05C0">
      <w:pPr>
        <w:numPr>
          <w:ilvl w:val="0"/>
          <w:numId w:val="30"/>
        </w:numPr>
        <w:spacing w:before="100" w:beforeAutospacing="1" w:after="100" w:afterAutospacing="1" w:line="240" w:lineRule="auto"/>
        <w:jc w:val="both"/>
        <w:rPr>
          <w:rFonts w:ascii="Arial" w:eastAsia="Arial" w:hAnsi="Arial" w:cs="Arial"/>
          <w:bCs/>
          <w:iCs/>
          <w:color w:val="000000" w:themeColor="text1"/>
          <w:spacing w:val="-1"/>
          <w:sz w:val="20"/>
          <w:szCs w:val="20"/>
          <w:lang w:val="es-ES"/>
        </w:rPr>
      </w:pPr>
      <w:r w:rsidRPr="00315142">
        <w:rPr>
          <w:rFonts w:ascii="Arial" w:eastAsia="Arial" w:hAnsi="Arial" w:cs="Arial"/>
          <w:bCs/>
          <w:iCs/>
          <w:color w:val="000000" w:themeColor="text1"/>
          <w:spacing w:val="-1"/>
          <w:sz w:val="20"/>
          <w:szCs w:val="20"/>
          <w:lang w:val="es-ES"/>
        </w:rPr>
        <w:t>Febrero 28 de 2019:  mediante laudo el Tribunal de Arbitramento de la Cámara de Comercio de Bogotá resolvió la controversia existente entre la Concesión Vial de los Llanos S.A.S. y la Agencia Nacional de Infraestructura (ANI), relacionada con la ejecución del contrato de concesión bajo el esquema APP No. 4 del 5 de mayo de 2015 – Proyecto Malla Vial del Meta, en el que la concesión argumentó la imposibilidad financiera de adelantar el proyecto de cuarta generación en las condiciones originales debido a cambios estructurales en el tráfico y a la modificación del esquema tarifario.  El Tribunal resolvió la controversia y entre otros aspectos, indicó que: “las partes, en cumplimiento de los postulados de la buena fe y de conservación del contrato, y de los deberes que la ley impone en atención a los fines perseguidos con la contratación estatal, podrían renegociar las bases del contrato y buscar fórmulas de arreglo que permitan el cumplimiento de su objeto”.  Por esta razón, las partes del contrato han iniciado conversaciones a fin de lograr un acuerdo para definir posibles alternativas de solución y acordar un proyecto viable.</w:t>
      </w:r>
    </w:p>
    <w:p w14:paraId="562CDEC4" w14:textId="77777777" w:rsidR="00BB05C0" w:rsidRPr="00315142" w:rsidRDefault="00BB05C0" w:rsidP="00BB05C0">
      <w:pPr>
        <w:jc w:val="both"/>
        <w:rPr>
          <w:rFonts w:ascii="Arial" w:eastAsia="Arial" w:hAnsi="Arial" w:cs="Arial"/>
          <w:bCs/>
          <w:iCs/>
          <w:color w:val="000000" w:themeColor="text1"/>
          <w:spacing w:val="-1"/>
          <w:sz w:val="20"/>
          <w:szCs w:val="20"/>
          <w:lang w:val="es-ES"/>
        </w:rPr>
      </w:pPr>
      <w:r w:rsidRPr="00315142">
        <w:rPr>
          <w:rFonts w:ascii="Arial" w:eastAsia="Arial" w:hAnsi="Arial" w:cs="Arial"/>
          <w:bCs/>
          <w:iCs/>
          <w:color w:val="000000" w:themeColor="text1"/>
          <w:spacing w:val="-1"/>
          <w:sz w:val="20"/>
          <w:szCs w:val="20"/>
          <w:lang w:val="es-ES"/>
        </w:rPr>
        <w:t>Como resultado de lo anterior, se han venido sosteniendo mesas de trabajo conjuntas a fin de explorar tales alternativas y de esa forma hacer viable el proyecto.</w:t>
      </w:r>
    </w:p>
    <w:p w14:paraId="126AE26B" w14:textId="77777777" w:rsidR="00BB05C0" w:rsidRPr="00315142" w:rsidRDefault="00BB05C0" w:rsidP="00BB05C0">
      <w:pPr>
        <w:jc w:val="both"/>
        <w:rPr>
          <w:rFonts w:ascii="Arial" w:eastAsia="Arial" w:hAnsi="Arial" w:cs="Arial"/>
          <w:bCs/>
          <w:iCs/>
          <w:color w:val="000000" w:themeColor="text1"/>
          <w:spacing w:val="-1"/>
          <w:sz w:val="20"/>
          <w:szCs w:val="20"/>
          <w:lang w:val="es-ES"/>
        </w:rPr>
      </w:pPr>
      <w:r w:rsidRPr="00315142">
        <w:rPr>
          <w:rFonts w:ascii="Arial" w:eastAsia="Arial" w:hAnsi="Arial" w:cs="Arial"/>
          <w:bCs/>
          <w:iCs/>
          <w:color w:val="000000" w:themeColor="text1"/>
          <w:spacing w:val="-1"/>
          <w:sz w:val="20"/>
          <w:szCs w:val="20"/>
          <w:lang w:val="es-ES"/>
        </w:rPr>
        <w:t>Hechos Sobrevivientes Q1:</w:t>
      </w:r>
    </w:p>
    <w:p w14:paraId="297CD4DA" w14:textId="77777777" w:rsidR="00BB05C0" w:rsidRPr="00315142" w:rsidRDefault="00BB05C0" w:rsidP="00BB05C0">
      <w:pPr>
        <w:numPr>
          <w:ilvl w:val="0"/>
          <w:numId w:val="31"/>
        </w:numPr>
        <w:spacing w:before="100" w:beforeAutospacing="1" w:after="100" w:afterAutospacing="1" w:line="240" w:lineRule="auto"/>
        <w:jc w:val="both"/>
        <w:rPr>
          <w:rFonts w:ascii="Arial" w:eastAsia="Arial" w:hAnsi="Arial" w:cs="Arial"/>
          <w:bCs/>
          <w:iCs/>
          <w:color w:val="000000" w:themeColor="text1"/>
          <w:spacing w:val="-1"/>
          <w:sz w:val="20"/>
          <w:szCs w:val="20"/>
          <w:lang w:val="es-ES"/>
        </w:rPr>
      </w:pPr>
      <w:r w:rsidRPr="00315142">
        <w:rPr>
          <w:rFonts w:ascii="Arial" w:eastAsia="Arial" w:hAnsi="Arial" w:cs="Arial"/>
          <w:bCs/>
          <w:iCs/>
          <w:color w:val="000000" w:themeColor="text1"/>
          <w:spacing w:val="-1"/>
          <w:sz w:val="20"/>
          <w:szCs w:val="20"/>
          <w:lang w:val="es-ES"/>
        </w:rPr>
        <w:t>12 de abril:  la ANI notificó la reanudación del Proceso Administrativo Sancionatorio iniciado contra la Concesión Vial de los Llanos S.A.S. con ocasión al presunto incumplimiento de la obligación relacionada con el tercer giro de Equity, programado para el 29 de mayo de 2017 por un valor de $195.608 millones de diciembre de 2013, el cual había sido suspendido mediante medida cautelar solicitada por el Concesionario en el proceso arbitral.  </w:t>
      </w:r>
    </w:p>
    <w:p w14:paraId="34FE6897" w14:textId="77777777" w:rsidR="00BB05C0" w:rsidRPr="00315142" w:rsidRDefault="00BB05C0" w:rsidP="00BB05C0">
      <w:pPr>
        <w:numPr>
          <w:ilvl w:val="0"/>
          <w:numId w:val="32"/>
        </w:numPr>
        <w:spacing w:before="100" w:beforeAutospacing="1" w:after="100" w:afterAutospacing="1" w:line="240" w:lineRule="auto"/>
        <w:jc w:val="both"/>
        <w:rPr>
          <w:rFonts w:ascii="Arial" w:eastAsia="Arial" w:hAnsi="Arial" w:cs="Arial"/>
          <w:bCs/>
          <w:iCs/>
          <w:color w:val="000000" w:themeColor="text1"/>
          <w:spacing w:val="-1"/>
          <w:sz w:val="20"/>
          <w:szCs w:val="20"/>
          <w:lang w:val="es-ES"/>
        </w:rPr>
      </w:pPr>
      <w:r w:rsidRPr="00315142">
        <w:rPr>
          <w:rFonts w:ascii="Arial" w:eastAsia="Arial" w:hAnsi="Arial" w:cs="Arial"/>
          <w:bCs/>
          <w:iCs/>
          <w:color w:val="000000" w:themeColor="text1"/>
          <w:spacing w:val="-1"/>
          <w:sz w:val="20"/>
          <w:szCs w:val="20"/>
          <w:lang w:val="es-ES"/>
        </w:rPr>
        <w:t>Inicialmente se convocó audiencia para el 23 de abril, sin e</w:t>
      </w:r>
      <w:r>
        <w:rPr>
          <w:rFonts w:ascii="Arial" w:eastAsia="Arial" w:hAnsi="Arial" w:cs="Arial"/>
          <w:bCs/>
          <w:iCs/>
          <w:color w:val="000000" w:themeColor="text1"/>
          <w:spacing w:val="-1"/>
          <w:sz w:val="20"/>
          <w:szCs w:val="20"/>
          <w:lang w:val="es-ES"/>
        </w:rPr>
        <w:t>m</w:t>
      </w:r>
      <w:r w:rsidRPr="00315142">
        <w:rPr>
          <w:rFonts w:ascii="Arial" w:eastAsia="Arial" w:hAnsi="Arial" w:cs="Arial"/>
          <w:bCs/>
          <w:iCs/>
          <w:color w:val="000000" w:themeColor="text1"/>
          <w:spacing w:val="-1"/>
          <w:sz w:val="20"/>
          <w:szCs w:val="20"/>
          <w:lang w:val="es-ES"/>
        </w:rPr>
        <w:t>bargo, por solicitud de una de las aseguradoras y del Concesionario, mediante Auto del 22 de abril se notificó la reprogramación de la audiencia para el 7 de mayo.</w:t>
      </w:r>
    </w:p>
    <w:p w14:paraId="1EFF47F1" w14:textId="77777777" w:rsidR="00BB05C0" w:rsidRPr="00315142" w:rsidRDefault="00BB05C0" w:rsidP="00BB05C0">
      <w:pPr>
        <w:numPr>
          <w:ilvl w:val="0"/>
          <w:numId w:val="33"/>
        </w:numPr>
        <w:spacing w:before="100" w:beforeAutospacing="1" w:after="100" w:afterAutospacing="1" w:line="240" w:lineRule="auto"/>
        <w:jc w:val="both"/>
        <w:rPr>
          <w:rFonts w:ascii="Arial" w:eastAsia="Arial" w:hAnsi="Arial" w:cs="Arial"/>
          <w:bCs/>
          <w:iCs/>
          <w:color w:val="000000" w:themeColor="text1"/>
          <w:spacing w:val="-1"/>
          <w:sz w:val="20"/>
          <w:szCs w:val="20"/>
          <w:lang w:val="es-ES"/>
        </w:rPr>
      </w:pPr>
      <w:r w:rsidRPr="00315142">
        <w:rPr>
          <w:rFonts w:ascii="Arial" w:eastAsia="Arial" w:hAnsi="Arial" w:cs="Arial"/>
          <w:bCs/>
          <w:iCs/>
          <w:color w:val="000000" w:themeColor="text1"/>
          <w:spacing w:val="-1"/>
          <w:sz w:val="20"/>
          <w:szCs w:val="20"/>
          <w:lang w:val="es-ES"/>
        </w:rPr>
        <w:t>30 de abril:  se acordó con la ANI la contratación del estudio de tráfico con la firma Cal &amp; Mayor, el cual está en curso en los términos de alcance, plazo y valor acordados con la ANI.</w:t>
      </w:r>
    </w:p>
    <w:p w14:paraId="4277AF49" w14:textId="77777777" w:rsidR="00BB05C0" w:rsidRPr="00315142" w:rsidRDefault="00BB05C0" w:rsidP="00BB05C0">
      <w:pPr>
        <w:numPr>
          <w:ilvl w:val="0"/>
          <w:numId w:val="34"/>
        </w:numPr>
        <w:spacing w:before="100" w:beforeAutospacing="1" w:after="100" w:afterAutospacing="1" w:line="240" w:lineRule="auto"/>
        <w:jc w:val="both"/>
        <w:rPr>
          <w:rFonts w:ascii="Arial" w:eastAsia="Arial" w:hAnsi="Arial" w:cs="Arial"/>
          <w:bCs/>
          <w:iCs/>
          <w:color w:val="000000" w:themeColor="text1"/>
          <w:spacing w:val="-1"/>
          <w:sz w:val="20"/>
          <w:szCs w:val="20"/>
          <w:lang w:val="es-ES"/>
        </w:rPr>
      </w:pPr>
      <w:r w:rsidRPr="00315142">
        <w:rPr>
          <w:rFonts w:ascii="Arial" w:eastAsia="Arial" w:hAnsi="Arial" w:cs="Arial"/>
          <w:bCs/>
          <w:iCs/>
          <w:color w:val="000000" w:themeColor="text1"/>
          <w:spacing w:val="-1"/>
          <w:sz w:val="20"/>
          <w:szCs w:val="20"/>
          <w:lang w:val="es-ES"/>
        </w:rPr>
        <w:t>3 de mayo:  se llevó a cabo una mesa de trabajo con la ANI, con la asistencia de Carlos García- Vicepresidente de la agencia, en la que se acordó la firma de un acta de entendimiento para formalizar las mesas de trabajo y la firma de un otrosí mediante el cual se fije un marco de acción del contrato 004 de 2015 durante la revisión y las mesas de trabajo para su viabilización.</w:t>
      </w:r>
    </w:p>
    <w:p w14:paraId="048C48FB" w14:textId="77777777" w:rsidR="00BB05C0" w:rsidRPr="00315142" w:rsidRDefault="00BB05C0" w:rsidP="00BB05C0">
      <w:pPr>
        <w:numPr>
          <w:ilvl w:val="0"/>
          <w:numId w:val="35"/>
        </w:numPr>
        <w:spacing w:before="100" w:beforeAutospacing="1" w:after="100" w:afterAutospacing="1" w:line="240" w:lineRule="auto"/>
        <w:jc w:val="both"/>
        <w:rPr>
          <w:rFonts w:ascii="Arial" w:eastAsia="Arial" w:hAnsi="Arial" w:cs="Arial"/>
          <w:bCs/>
          <w:iCs/>
          <w:color w:val="000000" w:themeColor="text1"/>
          <w:spacing w:val="-1"/>
          <w:sz w:val="20"/>
          <w:szCs w:val="20"/>
          <w:lang w:val="es-ES"/>
        </w:rPr>
      </w:pPr>
      <w:r w:rsidRPr="00315142">
        <w:rPr>
          <w:rFonts w:ascii="Arial" w:eastAsia="Arial" w:hAnsi="Arial" w:cs="Arial"/>
          <w:bCs/>
          <w:iCs/>
          <w:color w:val="000000" w:themeColor="text1"/>
          <w:spacing w:val="-1"/>
          <w:sz w:val="20"/>
          <w:szCs w:val="20"/>
          <w:lang w:val="es-ES"/>
        </w:rPr>
        <w:t>6 de mayo:  El concesionario presentó formalmente y por escrito a la ANI una propuesta planteada en la reunión del 30 de abril de 2019, lo anterior conforme lo autorizó Asamblea de Accionistas del concesionario en su reunión del 8 de abril.</w:t>
      </w:r>
    </w:p>
    <w:p w14:paraId="14D88746" w14:textId="77777777" w:rsidR="00BB05C0" w:rsidRPr="00315142" w:rsidRDefault="00BB05C0" w:rsidP="00BB05C0">
      <w:pPr>
        <w:numPr>
          <w:ilvl w:val="0"/>
          <w:numId w:val="36"/>
        </w:numPr>
        <w:spacing w:before="100" w:beforeAutospacing="1" w:after="100" w:afterAutospacing="1" w:line="240" w:lineRule="auto"/>
        <w:jc w:val="both"/>
        <w:rPr>
          <w:rFonts w:ascii="Arial" w:eastAsia="Arial" w:hAnsi="Arial" w:cs="Arial"/>
          <w:bCs/>
          <w:iCs/>
          <w:color w:val="000000" w:themeColor="text1"/>
          <w:spacing w:val="-1"/>
          <w:sz w:val="20"/>
          <w:szCs w:val="20"/>
          <w:lang w:val="es-ES"/>
        </w:rPr>
      </w:pPr>
      <w:r w:rsidRPr="00315142">
        <w:rPr>
          <w:rFonts w:ascii="Arial" w:eastAsia="Arial" w:hAnsi="Arial" w:cs="Arial"/>
          <w:bCs/>
          <w:iCs/>
          <w:color w:val="000000" w:themeColor="text1"/>
          <w:spacing w:val="-1"/>
          <w:sz w:val="20"/>
          <w:szCs w:val="20"/>
          <w:lang w:val="es-ES"/>
        </w:rPr>
        <w:t> 7 de mayo:  se llevó a cabo la audiencia en Proceso Sancionatorio reiniciado por la ANI.  El Concesionario solicitó suspender la audiencia hasta tanto la ANI dé respuesta formal a la propuesta de pago presentada por el Concesionario desde el 11 de abril de 2019 y radicada el 6 de mayo 2019.  La ANI resolvió suspender la audiencia para decidir acerca de las solicitudes del Concesionario y las compañías de seguros, relacionadas con la forma de pago del 3er giro de equity y el alcance del laudo arbitral.</w:t>
      </w:r>
    </w:p>
    <w:p w14:paraId="24B5C49C" w14:textId="5C07BEB1" w:rsidR="008545D4" w:rsidRPr="0009028A" w:rsidRDefault="008545D4" w:rsidP="00BB05C0">
      <w:pPr>
        <w:spacing w:after="0" w:line="240" w:lineRule="auto"/>
        <w:jc w:val="both"/>
        <w:rPr>
          <w:rFonts w:ascii="Arial" w:hAnsi="Arial" w:cs="Arial"/>
          <w:b/>
          <w:color w:val="002060"/>
          <w:sz w:val="20"/>
          <w:szCs w:val="20"/>
          <w:lang w:val="es-ES_tradnl"/>
        </w:rPr>
      </w:pPr>
    </w:p>
    <w:sectPr w:rsidR="008545D4" w:rsidRPr="0009028A" w:rsidSect="00B702E0">
      <w:pgSz w:w="12240" w:h="15840"/>
      <w:pgMar w:top="1418" w:right="1327" w:bottom="1418"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C36DC" w14:textId="77777777" w:rsidR="00033E93" w:rsidRDefault="00033E93">
      <w:pPr>
        <w:spacing w:after="0" w:line="240" w:lineRule="auto"/>
      </w:pPr>
      <w:r>
        <w:separator/>
      </w:r>
    </w:p>
  </w:endnote>
  <w:endnote w:type="continuationSeparator" w:id="0">
    <w:p w14:paraId="4428F1B0" w14:textId="77777777" w:rsidR="00033E93" w:rsidRDefault="0003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FranklinGothic-Demi">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45 Light">
    <w:altName w:val="Calibri"/>
    <w:charset w:val="00"/>
    <w:family w:val="auto"/>
    <w:pitch w:val="variable"/>
    <w:sig w:usb0="80000023" w:usb1="00000000" w:usb2="00000000" w:usb3="00000000" w:csb0="00000001" w:csb1="00000000"/>
  </w:font>
  <w:font w:name="ITC Franklin Gothic BookCd">
    <w:altName w:val="Calibri"/>
    <w:panose1 w:val="00000000000000000000"/>
    <w:charset w:val="00"/>
    <w:family w:val="swiss"/>
    <w:notTrueType/>
    <w:pitch w:val="variable"/>
    <w:sig w:usb0="800000AF" w:usb1="4000004A" w:usb2="00000000" w:usb3="00000000" w:csb0="00000001" w:csb1="00000000"/>
  </w:font>
  <w:font w:name="ITC Franklin Gothic Std Med">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78C2" w14:textId="77777777" w:rsidR="00F26CE9" w:rsidRPr="005E1738" w:rsidRDefault="00F26CE9" w:rsidP="005E1738">
    <w:pPr>
      <w:autoSpaceDE w:val="0"/>
      <w:autoSpaceDN w:val="0"/>
      <w:spacing w:before="40" w:after="40" w:line="240" w:lineRule="auto"/>
      <w:rPr>
        <w:rFonts w:ascii="Univers 45 Light" w:hAnsi="Univers 45 Light"/>
      </w:rPr>
    </w:pPr>
    <w:r w:rsidRPr="005E1738">
      <w:rPr>
        <w:rFonts w:ascii="Univers 45 Light" w:hAnsi="Univers 45 Light" w:cs="Times New Roman"/>
        <w:sz w:val="16"/>
        <w:szCs w:val="16"/>
        <w:lang w:val="es-ES"/>
      </w:rPr>
      <w:t>Los estados financieros intermedios condensados separados y sus notas acompañantes no se encuentran auditados ni aprobados por la Asamblea General de Accionistas, la opinión sobre la razonabilidad de los mismos será emitida por el Revisor Fiscal al corte del 31 de diciembre de 2019 de acuerdo con los términos legales vigentes.  </w:t>
    </w:r>
    <w:r w:rsidRPr="005E1738">
      <w:rPr>
        <w:rFonts w:ascii="Univers 45 Light" w:hAnsi="Univers 45 Light" w:cs="Segoe UI"/>
        <w:color w:val="000000"/>
        <w:sz w:val="20"/>
        <w:szCs w:val="20"/>
        <w:lang w:val="es-ES"/>
      </w:rPr>
      <w:t xml:space="preserve"> </w:t>
    </w:r>
  </w:p>
  <w:p w14:paraId="41EE2F58" w14:textId="77777777" w:rsidR="00F26CE9" w:rsidRDefault="00F26C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ranklin Gothic Book" w:hAnsi="Franklin Gothic Book"/>
        <w:b/>
        <w:sz w:val="20"/>
        <w:szCs w:val="20"/>
      </w:rPr>
      <w:id w:val="-839151460"/>
      <w:docPartObj>
        <w:docPartGallery w:val="Page Numbers (Bottom of Page)"/>
        <w:docPartUnique/>
      </w:docPartObj>
    </w:sdtPr>
    <w:sdtEndPr/>
    <w:sdtContent>
      <w:p w14:paraId="20579609" w14:textId="77777777" w:rsidR="00F26CE9" w:rsidRDefault="00F26CE9" w:rsidP="00E11D13">
        <w:pPr>
          <w:spacing w:after="0" w:line="240" w:lineRule="auto"/>
          <w:jc w:val="right"/>
          <w:rPr>
            <w:rFonts w:ascii="Franklin Gothic Book" w:hAnsi="Franklin Gothic Book"/>
            <w:b/>
            <w:sz w:val="20"/>
            <w:szCs w:val="20"/>
          </w:rPr>
        </w:pPr>
        <w:r w:rsidRPr="00E11D13">
          <w:rPr>
            <w:rFonts w:ascii="Franklin Gothic Book" w:hAnsi="Franklin Gothic Book"/>
            <w:b/>
            <w:noProof/>
            <w:sz w:val="20"/>
            <w:szCs w:val="20"/>
            <w:lang w:eastAsia="es-CO"/>
          </w:rPr>
          <mc:AlternateContent>
            <mc:Choice Requires="wps">
              <w:drawing>
                <wp:anchor distT="0" distB="0" distL="114300" distR="114300" simplePos="0" relativeHeight="251673600" behindDoc="1" locked="0" layoutInCell="1" allowOverlap="1" wp14:anchorId="3C6F8E8E" wp14:editId="1EBCB494">
                  <wp:simplePos x="0" y="0"/>
                  <wp:positionH relativeFrom="rightMargin">
                    <wp:posOffset>-71121</wp:posOffset>
                  </wp:positionH>
                  <wp:positionV relativeFrom="paragraph">
                    <wp:posOffset>-32385</wp:posOffset>
                  </wp:positionV>
                  <wp:extent cx="485775" cy="390525"/>
                  <wp:effectExtent l="0" t="0" r="0" b="0"/>
                  <wp:wrapNone/>
                  <wp:docPr id="23" name="Proceso alternativo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5775" cy="3905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2CBC9DF" w14:textId="77777777" w:rsidR="00F26CE9" w:rsidRPr="00162AB8" w:rsidRDefault="00F26CE9" w:rsidP="00E11D13">
                              <w:pPr>
                                <w:pStyle w:val="Piedepgina"/>
                                <w:pBdr>
                                  <w:top w:val="single" w:sz="12" w:space="1" w:color="A5A5A5" w:themeColor="accent3"/>
                                  <w:bottom w:val="single" w:sz="48" w:space="1" w:color="A5A5A5" w:themeColor="accent3"/>
                                </w:pBdr>
                                <w:jc w:val="right"/>
                                <w:rPr>
                                  <w:rFonts w:ascii="ITC Franklin Gothic BookCd" w:hAnsi="ITC Franklin Gothic BookCd"/>
                                  <w:b/>
                                  <w:color w:val="002060"/>
                                  <w:sz w:val="32"/>
                                  <w:szCs w:val="32"/>
                                </w:rPr>
                              </w:pPr>
                              <w:r>
                                <w:rPr>
                                  <w:rFonts w:ascii="ITC Franklin Gothic BookCd" w:hAnsi="ITC Franklin Gothic BookCd"/>
                                  <w:b/>
                                  <w:color w:val="002060"/>
                                  <w:sz w:val="32"/>
                                  <w:szCs w:val="32"/>
                                </w:rP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F8E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86" o:spid="_x0000_s1027" type="#_x0000_t176" style="position:absolute;left:0;text-align:left;margin-left:-5.6pt;margin-top:-2.55pt;width:38.25pt;height:30.75pt;flip:x;z-index:-251642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" filled="f" fillcolor="#5c83b4" stroked="f" strokecolor="#737373">
                  <v:textbox>
                    <w:txbxContent>
                      <w:p w14:paraId="22CBC9DF" w14:textId="77777777" w:rsidR="00F26CE9" w:rsidRPr="00162AB8" w:rsidRDefault="00F26CE9" w:rsidP="00E11D13">
                        <w:pPr>
                          <w:pStyle w:val="Footer"/>
                          <w:pBdr>
                            <w:top w:val="single" w:sz="12" w:space="1" w:color="A5A5A5" w:themeColor="accent3"/>
                            <w:bottom w:val="single" w:sz="48" w:space="1" w:color="A5A5A5" w:themeColor="accent3"/>
                          </w:pBdr>
                          <w:jc w:val="right"/>
                          <w:rPr>
                            <w:rFonts w:ascii="ITC Franklin Gothic BookCd" w:hAnsi="ITC Franklin Gothic BookCd"/>
                            <w:b/>
                            <w:color w:val="002060"/>
                            <w:sz w:val="32"/>
                            <w:szCs w:val="32"/>
                          </w:rPr>
                        </w:pPr>
                        <w:r>
                          <w:rPr>
                            <w:rFonts w:ascii="ITC Franklin Gothic BookCd" w:hAnsi="ITC Franklin Gothic BookCd"/>
                            <w:b/>
                            <w:color w:val="002060"/>
                            <w:sz w:val="32"/>
                            <w:szCs w:val="32"/>
                          </w:rPr>
                          <w:t>73</w:t>
                        </w:r>
                      </w:p>
                    </w:txbxContent>
                  </v:textbox>
                  <w10:wrap anchorx="margin"/>
                </v:shape>
              </w:pict>
            </mc:Fallback>
          </mc:AlternateContent>
        </w:r>
      </w:p>
      <w:p w14:paraId="5B23AAD0" w14:textId="77777777" w:rsidR="00F26CE9" w:rsidRDefault="00F26CE9" w:rsidP="004A07FC">
        <w:pPr>
          <w:spacing w:after="0" w:line="240" w:lineRule="auto"/>
          <w:jc w:val="both"/>
          <w:rPr>
            <w:rFonts w:ascii="Arial" w:eastAsia="Times New Roman" w:hAnsi="Arial" w:cs="Arial"/>
            <w:color w:val="000000"/>
            <w:sz w:val="16"/>
            <w:szCs w:val="16"/>
            <w:lang w:val="es-ES" w:eastAsia="es-ES"/>
          </w:rPr>
        </w:pPr>
      </w:p>
      <w:sdt>
        <w:sdtPr>
          <w:rPr>
            <w:rFonts w:ascii="Franklin Gothic Book" w:hAnsi="Franklin Gothic Book"/>
            <w:b/>
            <w:sz w:val="20"/>
            <w:szCs w:val="20"/>
          </w:rPr>
          <w:id w:val="322865121"/>
          <w:docPartObj>
            <w:docPartGallery w:val="Page Numbers (Bottom of Page)"/>
            <w:docPartUnique/>
          </w:docPartObj>
        </w:sdtPr>
        <w:sdtEndPr/>
        <w:sdtContent>
          <w:p w14:paraId="025CDBB6" w14:textId="77777777" w:rsidR="00F26CE9" w:rsidRPr="00D508A3" w:rsidRDefault="00F26CE9" w:rsidP="002D1A8A">
            <w:pPr>
              <w:spacing w:after="0" w:line="240" w:lineRule="auto"/>
              <w:jc w:val="both"/>
              <w:rPr>
                <w:rFonts w:ascii="Arial" w:eastAsia="Times New Roman" w:hAnsi="Arial" w:cs="Arial"/>
                <w:color w:val="000000"/>
                <w:sz w:val="16"/>
                <w:szCs w:val="16"/>
                <w:lang w:val="es-ES" w:eastAsia="es-ES"/>
              </w:rPr>
            </w:pPr>
            <w:r w:rsidRPr="00D508A3">
              <w:rPr>
                <w:rFonts w:ascii="Arial" w:eastAsia="Times New Roman" w:hAnsi="Arial" w:cs="Arial"/>
                <w:color w:val="000000"/>
                <w:sz w:val="16"/>
                <w:szCs w:val="16"/>
                <w:lang w:val="es-ES" w:eastAsia="es-ES"/>
              </w:rPr>
              <w:t>Los estados financieros separados condensados y sus notas acompañantes no se encuentran auditados ni aprobados por la Asamblea General de Accionistas, la opinión sobre la razonabilidad de los mismos será emitida por el Revisor Fiscal al corte del 31 de dic</w:t>
            </w:r>
            <w:r>
              <w:rPr>
                <w:rFonts w:ascii="Arial" w:eastAsia="Times New Roman" w:hAnsi="Arial" w:cs="Arial"/>
                <w:color w:val="000000"/>
                <w:sz w:val="16"/>
                <w:szCs w:val="16"/>
                <w:lang w:val="es-ES" w:eastAsia="es-ES"/>
              </w:rPr>
              <w:t xml:space="preserve">iembre de 2018 </w:t>
            </w:r>
            <w:r w:rsidRPr="00D508A3">
              <w:rPr>
                <w:rFonts w:ascii="Arial" w:eastAsia="Times New Roman" w:hAnsi="Arial" w:cs="Arial"/>
                <w:color w:val="000000"/>
                <w:sz w:val="16"/>
                <w:szCs w:val="16"/>
                <w:lang w:val="es-ES" w:eastAsia="es-ES"/>
              </w:rPr>
              <w:t xml:space="preserve">de acuerdo con los términos legales vigentes.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7AFFE" w14:textId="77777777" w:rsidR="00F26CE9" w:rsidRDefault="00F26CE9" w:rsidP="00547FD4">
    <w:pPr>
      <w:pStyle w:val="Piedepgina"/>
      <w:rPr>
        <w:rFonts w:ascii="Univers 45 Light" w:hAnsi="Univers 45 Light" w:cs="Times New Roman"/>
        <w:sz w:val="16"/>
        <w:szCs w:val="16"/>
        <w:lang w:val="es-ES"/>
      </w:rPr>
    </w:pPr>
  </w:p>
  <w:p w14:paraId="090DBE3A" w14:textId="1F13CFCD" w:rsidR="00F26CE9" w:rsidRDefault="00F26CE9" w:rsidP="00547FD4">
    <w:pPr>
      <w:pStyle w:val="Piedepgina"/>
      <w:rPr>
        <w:rFonts w:ascii="Franklin Gothic Book" w:hAnsi="Franklin Gothic Book"/>
        <w:b/>
        <w:sz w:val="20"/>
        <w:szCs w:val="20"/>
      </w:rPr>
    </w:pPr>
    <w:r w:rsidRPr="005E1738">
      <w:rPr>
        <w:rFonts w:ascii="Univers 45 Light" w:hAnsi="Univers 45 Light" w:cs="Times New Roman"/>
        <w:sz w:val="16"/>
        <w:szCs w:val="16"/>
        <w:lang w:val="es-ES"/>
      </w:rPr>
      <w:t>Los estados financieros intermedios condensados separados y sus notas acompañantes no se encuentran auditados ni aprobados por la Asamblea General de Accionistas, la opinión sobre la razonabilidad de los mismos será emitida por el Revisor Fiscal al corte del 31 de diciembre de 2019 de acuerdo con los términos legales vigentes. </w:t>
    </w:r>
    <w:r w:rsidRPr="003A0A31">
      <w:rPr>
        <w:rFonts w:ascii="ITC Franklin Gothic Std Med" w:eastAsiaTheme="majorEastAsia" w:hAnsi="ITC Franklin Gothic Std Med" w:cstheme="majorBidi"/>
        <w:b/>
        <w:noProof/>
        <w:color w:val="002060"/>
        <w:sz w:val="28"/>
        <w:szCs w:val="28"/>
        <w:lang w:eastAsia="es-CO"/>
      </w:rPr>
      <mc:AlternateContent>
        <mc:Choice Requires="wps">
          <w:drawing>
            <wp:anchor distT="0" distB="0" distL="114300" distR="114300" simplePos="0" relativeHeight="251677696" behindDoc="1" locked="0" layoutInCell="1" allowOverlap="1" wp14:anchorId="02ADE279" wp14:editId="63D5FC05">
              <wp:simplePos x="0" y="0"/>
              <wp:positionH relativeFrom="rightMargin">
                <wp:posOffset>-73660</wp:posOffset>
              </wp:positionH>
              <wp:positionV relativeFrom="paragraph">
                <wp:posOffset>49861</wp:posOffset>
              </wp:positionV>
              <wp:extent cx="477023" cy="389034"/>
              <wp:effectExtent l="0" t="0" r="0" b="0"/>
              <wp:wrapNone/>
              <wp:docPr id="3" name="Proceso alternativo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23" cy="389034"/>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6632E85" w14:textId="77777777" w:rsidR="00F26CE9" w:rsidRPr="003A0A31" w:rsidRDefault="00F26CE9" w:rsidP="00B702E0">
                          <w:pPr>
                            <w:pStyle w:val="Piedepgina"/>
                            <w:pBdr>
                              <w:top w:val="single" w:sz="12" w:space="1" w:color="A5A5A5" w:themeColor="accent3"/>
                              <w:bottom w:val="single" w:sz="48" w:space="1" w:color="A5A5A5" w:themeColor="accent3"/>
                            </w:pBdr>
                            <w:jc w:val="center"/>
                            <w:rPr>
                              <w:rFonts w:ascii="ITC Franklin Gothic BookCd" w:hAnsi="ITC Franklin Gothic BookCd"/>
                              <w:b/>
                              <w:color w:val="002060"/>
                              <w:sz w:val="32"/>
                              <w:szCs w:val="28"/>
                            </w:rPr>
                          </w:pPr>
                          <w:r w:rsidRPr="003A0A31">
                            <w:rPr>
                              <w:rFonts w:ascii="ITC Franklin Gothic BookCd" w:hAnsi="ITC Franklin Gothic BookCd"/>
                              <w:b/>
                              <w:color w:val="002060"/>
                              <w:sz w:val="24"/>
                            </w:rPr>
                            <w:fldChar w:fldCharType="begin"/>
                          </w:r>
                          <w:r w:rsidRPr="003A0A31">
                            <w:rPr>
                              <w:rFonts w:ascii="ITC Franklin Gothic BookCd" w:hAnsi="ITC Franklin Gothic BookCd"/>
                              <w:b/>
                              <w:color w:val="002060"/>
                              <w:sz w:val="24"/>
                            </w:rPr>
                            <w:instrText>PAGE    \* MERGEFORMAT</w:instrText>
                          </w:r>
                          <w:r w:rsidRPr="003A0A31">
                            <w:rPr>
                              <w:rFonts w:ascii="ITC Franklin Gothic BookCd" w:hAnsi="ITC Franklin Gothic BookCd"/>
                              <w:b/>
                              <w:color w:val="002060"/>
                              <w:sz w:val="24"/>
                            </w:rPr>
                            <w:fldChar w:fldCharType="separate"/>
                          </w:r>
                          <w:r w:rsidR="00F70EE2" w:rsidRPr="00F70EE2">
                            <w:rPr>
                              <w:rFonts w:ascii="ITC Franklin Gothic BookCd" w:hAnsi="ITC Franklin Gothic BookCd"/>
                              <w:b/>
                              <w:noProof/>
                              <w:color w:val="002060"/>
                              <w:sz w:val="32"/>
                              <w:szCs w:val="28"/>
                              <w:lang w:val="es-ES"/>
                            </w:rPr>
                            <w:t>57</w:t>
                          </w:r>
                          <w:r w:rsidRPr="003A0A31">
                            <w:rPr>
                              <w:rFonts w:ascii="ITC Franklin Gothic BookCd" w:hAnsi="ITC Franklin Gothic BookCd"/>
                              <w:b/>
                              <w:color w:val="002060"/>
                              <w:sz w:val="32"/>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DE27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82" o:spid="_x0000_s1028" type="#_x0000_t176" style="position:absolute;margin-left:-5.8pt;margin-top:3.95pt;width:37.55pt;height:30.65pt;z-index:-251638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" filled="f" fillcolor="#5c83b4" stroked="f" strokecolor="#737373">
              <v:textbox>
                <w:txbxContent>
                  <w:p w14:paraId="16632E85" w14:textId="77777777" w:rsidR="00F26CE9" w:rsidRPr="003A0A31" w:rsidRDefault="00F26CE9" w:rsidP="00B702E0">
                    <w:pPr>
                      <w:pStyle w:val="Footer"/>
                      <w:pBdr>
                        <w:top w:val="single" w:sz="12" w:space="1" w:color="A5A5A5" w:themeColor="accent3"/>
                        <w:bottom w:val="single" w:sz="48" w:space="1" w:color="A5A5A5" w:themeColor="accent3"/>
                      </w:pBdr>
                      <w:jc w:val="center"/>
                      <w:rPr>
                        <w:rFonts w:ascii="ITC Franklin Gothic BookCd" w:hAnsi="ITC Franklin Gothic BookCd"/>
                        <w:b/>
                        <w:color w:val="002060"/>
                        <w:sz w:val="32"/>
                        <w:szCs w:val="28"/>
                      </w:rPr>
                    </w:pPr>
                    <w:r w:rsidRPr="003A0A31">
                      <w:rPr>
                        <w:rFonts w:ascii="ITC Franklin Gothic BookCd" w:hAnsi="ITC Franklin Gothic BookCd"/>
                        <w:b/>
                        <w:color w:val="002060"/>
                        <w:sz w:val="24"/>
                      </w:rPr>
                      <w:fldChar w:fldCharType="begin"/>
                    </w:r>
                    <w:r w:rsidRPr="003A0A31">
                      <w:rPr>
                        <w:rFonts w:ascii="ITC Franklin Gothic BookCd" w:hAnsi="ITC Franklin Gothic BookCd"/>
                        <w:b/>
                        <w:color w:val="002060"/>
                        <w:sz w:val="24"/>
                      </w:rPr>
                      <w:instrText>PAGE    \* MERGEFORMAT</w:instrText>
                    </w:r>
                    <w:r w:rsidRPr="003A0A31">
                      <w:rPr>
                        <w:rFonts w:ascii="ITC Franklin Gothic BookCd" w:hAnsi="ITC Franklin Gothic BookCd"/>
                        <w:b/>
                        <w:color w:val="002060"/>
                        <w:sz w:val="24"/>
                      </w:rPr>
                      <w:fldChar w:fldCharType="separate"/>
                    </w:r>
                    <w:r w:rsidR="00F70EE2" w:rsidRPr="00F70EE2">
                      <w:rPr>
                        <w:rFonts w:ascii="ITC Franklin Gothic BookCd" w:hAnsi="ITC Franklin Gothic BookCd"/>
                        <w:b/>
                        <w:noProof/>
                        <w:color w:val="002060"/>
                        <w:sz w:val="32"/>
                        <w:szCs w:val="28"/>
                        <w:lang w:val="es-ES"/>
                      </w:rPr>
                      <w:t>57</w:t>
                    </w:r>
                    <w:r w:rsidRPr="003A0A31">
                      <w:rPr>
                        <w:rFonts w:ascii="ITC Franklin Gothic BookCd" w:hAnsi="ITC Franklin Gothic BookCd"/>
                        <w:b/>
                        <w:color w:val="002060"/>
                        <w:sz w:val="32"/>
                        <w:szCs w:val="28"/>
                      </w:rPr>
                      <w:fldChar w:fldCharType="end"/>
                    </w:r>
                  </w:p>
                </w:txbxContent>
              </v:textbox>
              <w10:wrap anchorx="margin"/>
            </v:shape>
          </w:pict>
        </mc:Fallback>
      </mc:AlternateContent>
    </w:r>
  </w:p>
  <w:p w14:paraId="6F477123" w14:textId="77777777" w:rsidR="00F26CE9" w:rsidRDefault="00F26CE9" w:rsidP="00A373FC">
    <w:pPr>
      <w:pStyle w:val="Piedepgina"/>
      <w:jc w:val="right"/>
      <w:rPr>
        <w:rFonts w:ascii="Franklin Gothic Book" w:hAnsi="Franklin Gothic Book"/>
        <w:b/>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ranklin Gothic Book" w:hAnsi="Franklin Gothic Book"/>
        <w:b/>
        <w:sz w:val="20"/>
        <w:szCs w:val="20"/>
      </w:rPr>
      <w:id w:val="1465078424"/>
      <w:docPartObj>
        <w:docPartGallery w:val="Page Numbers (Bottom of Page)"/>
        <w:docPartUnique/>
      </w:docPartObj>
    </w:sdtPr>
    <w:sdtEndPr/>
    <w:sdtContent>
      <w:p w14:paraId="577DEC3F" w14:textId="77777777" w:rsidR="00F26CE9" w:rsidRDefault="00F26CE9" w:rsidP="00E11D13">
        <w:pPr>
          <w:spacing w:after="0" w:line="240" w:lineRule="auto"/>
          <w:jc w:val="right"/>
          <w:rPr>
            <w:rFonts w:ascii="Franklin Gothic Book" w:hAnsi="Franklin Gothic Book"/>
            <w:b/>
            <w:sz w:val="20"/>
            <w:szCs w:val="20"/>
          </w:rPr>
        </w:pPr>
        <w:r w:rsidRPr="003A0A31">
          <w:rPr>
            <w:rFonts w:ascii="ITC Franklin Gothic Std Med" w:eastAsiaTheme="majorEastAsia" w:hAnsi="ITC Franklin Gothic Std Med" w:cstheme="majorBidi"/>
            <w:b/>
            <w:noProof/>
            <w:color w:val="002060"/>
            <w:sz w:val="28"/>
            <w:szCs w:val="28"/>
            <w:lang w:eastAsia="es-CO"/>
          </w:rPr>
          <mc:AlternateContent>
            <mc:Choice Requires="wps">
              <w:drawing>
                <wp:anchor distT="0" distB="0" distL="114300" distR="114300" simplePos="0" relativeHeight="251675648" behindDoc="1" locked="0" layoutInCell="1" allowOverlap="1" wp14:anchorId="23323146" wp14:editId="579912A9">
                  <wp:simplePos x="0" y="0"/>
                  <wp:positionH relativeFrom="rightMargin">
                    <wp:posOffset>-58061</wp:posOffset>
                  </wp:positionH>
                  <wp:positionV relativeFrom="paragraph">
                    <wp:posOffset>8973</wp:posOffset>
                  </wp:positionV>
                  <wp:extent cx="477023" cy="389034"/>
                  <wp:effectExtent l="0" t="0" r="0" b="0"/>
                  <wp:wrapNone/>
                  <wp:docPr id="2" name="Proceso alternativo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23" cy="389034"/>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DEBCAF7" w14:textId="77777777" w:rsidR="00F26CE9" w:rsidRPr="003A0A31" w:rsidRDefault="00F26CE9" w:rsidP="00B702E0">
                              <w:pPr>
                                <w:pStyle w:val="Piedepgina"/>
                                <w:pBdr>
                                  <w:top w:val="single" w:sz="12" w:space="1" w:color="A5A5A5" w:themeColor="accent3"/>
                                  <w:bottom w:val="single" w:sz="48" w:space="1" w:color="A5A5A5" w:themeColor="accent3"/>
                                </w:pBdr>
                                <w:jc w:val="center"/>
                                <w:rPr>
                                  <w:rFonts w:ascii="ITC Franklin Gothic BookCd" w:hAnsi="ITC Franklin Gothic BookCd"/>
                                  <w:b/>
                                  <w:color w:val="002060"/>
                                  <w:sz w:val="32"/>
                                  <w:szCs w:val="28"/>
                                </w:rPr>
                              </w:pPr>
                              <w:r w:rsidRPr="003A0A31">
                                <w:rPr>
                                  <w:rFonts w:ascii="ITC Franklin Gothic BookCd" w:hAnsi="ITC Franklin Gothic BookCd"/>
                                  <w:b/>
                                  <w:color w:val="002060"/>
                                  <w:sz w:val="24"/>
                                </w:rPr>
                                <w:fldChar w:fldCharType="begin"/>
                              </w:r>
                              <w:r w:rsidRPr="003A0A31">
                                <w:rPr>
                                  <w:rFonts w:ascii="ITC Franklin Gothic BookCd" w:hAnsi="ITC Franklin Gothic BookCd"/>
                                  <w:b/>
                                  <w:color w:val="002060"/>
                                  <w:sz w:val="24"/>
                                </w:rPr>
                                <w:instrText>PAGE    \* MERGEFORMAT</w:instrText>
                              </w:r>
                              <w:r w:rsidRPr="003A0A31">
                                <w:rPr>
                                  <w:rFonts w:ascii="ITC Franklin Gothic BookCd" w:hAnsi="ITC Franklin Gothic BookCd"/>
                                  <w:b/>
                                  <w:color w:val="002060"/>
                                  <w:sz w:val="24"/>
                                </w:rPr>
                                <w:fldChar w:fldCharType="separate"/>
                              </w:r>
                              <w:r w:rsidR="00F70EE2" w:rsidRPr="00F70EE2">
                                <w:rPr>
                                  <w:rFonts w:ascii="ITC Franklin Gothic BookCd" w:hAnsi="ITC Franklin Gothic BookCd"/>
                                  <w:b/>
                                  <w:noProof/>
                                  <w:color w:val="002060"/>
                                  <w:sz w:val="32"/>
                                  <w:szCs w:val="28"/>
                                  <w:lang w:val="es-ES"/>
                                </w:rPr>
                                <w:t>56</w:t>
                              </w:r>
                              <w:r w:rsidRPr="003A0A31">
                                <w:rPr>
                                  <w:rFonts w:ascii="ITC Franklin Gothic BookCd" w:hAnsi="ITC Franklin Gothic BookCd"/>
                                  <w:b/>
                                  <w:color w:val="002060"/>
                                  <w:sz w:val="32"/>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2314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0;text-align:left;margin-left:-4.55pt;margin-top:.7pt;width:37.55pt;height:30.65pt;z-index:-2516408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" filled="f" fillcolor="#5c83b4" stroked="f" strokecolor="#737373">
                  <v:textbox>
                    <w:txbxContent>
                      <w:p w14:paraId="6DEBCAF7" w14:textId="77777777" w:rsidR="00F26CE9" w:rsidRPr="003A0A31" w:rsidRDefault="00F26CE9" w:rsidP="00B702E0">
                        <w:pPr>
                          <w:pStyle w:val="Footer"/>
                          <w:pBdr>
                            <w:top w:val="single" w:sz="12" w:space="1" w:color="A5A5A5" w:themeColor="accent3"/>
                            <w:bottom w:val="single" w:sz="48" w:space="1" w:color="A5A5A5" w:themeColor="accent3"/>
                          </w:pBdr>
                          <w:jc w:val="center"/>
                          <w:rPr>
                            <w:rFonts w:ascii="ITC Franklin Gothic BookCd" w:hAnsi="ITC Franklin Gothic BookCd"/>
                            <w:b/>
                            <w:color w:val="002060"/>
                            <w:sz w:val="32"/>
                            <w:szCs w:val="28"/>
                          </w:rPr>
                        </w:pPr>
                        <w:r w:rsidRPr="003A0A31">
                          <w:rPr>
                            <w:rFonts w:ascii="ITC Franklin Gothic BookCd" w:hAnsi="ITC Franklin Gothic BookCd"/>
                            <w:b/>
                            <w:color w:val="002060"/>
                            <w:sz w:val="24"/>
                          </w:rPr>
                          <w:fldChar w:fldCharType="begin"/>
                        </w:r>
                        <w:r w:rsidRPr="003A0A31">
                          <w:rPr>
                            <w:rFonts w:ascii="ITC Franklin Gothic BookCd" w:hAnsi="ITC Franklin Gothic BookCd"/>
                            <w:b/>
                            <w:color w:val="002060"/>
                            <w:sz w:val="24"/>
                          </w:rPr>
                          <w:instrText>PAGE    \* MERGEFORMAT</w:instrText>
                        </w:r>
                        <w:r w:rsidRPr="003A0A31">
                          <w:rPr>
                            <w:rFonts w:ascii="ITC Franklin Gothic BookCd" w:hAnsi="ITC Franklin Gothic BookCd"/>
                            <w:b/>
                            <w:color w:val="002060"/>
                            <w:sz w:val="24"/>
                          </w:rPr>
                          <w:fldChar w:fldCharType="separate"/>
                        </w:r>
                        <w:r w:rsidR="00F70EE2" w:rsidRPr="00F70EE2">
                          <w:rPr>
                            <w:rFonts w:ascii="ITC Franklin Gothic BookCd" w:hAnsi="ITC Franklin Gothic BookCd"/>
                            <w:b/>
                            <w:noProof/>
                            <w:color w:val="002060"/>
                            <w:sz w:val="32"/>
                            <w:szCs w:val="28"/>
                            <w:lang w:val="es-ES"/>
                          </w:rPr>
                          <w:t>56</w:t>
                        </w:r>
                        <w:r w:rsidRPr="003A0A31">
                          <w:rPr>
                            <w:rFonts w:ascii="ITC Franklin Gothic BookCd" w:hAnsi="ITC Franklin Gothic BookCd"/>
                            <w:b/>
                            <w:color w:val="002060"/>
                            <w:sz w:val="32"/>
                            <w:szCs w:val="28"/>
                          </w:rPr>
                          <w:fldChar w:fldCharType="end"/>
                        </w:r>
                      </w:p>
                    </w:txbxContent>
                  </v:textbox>
                  <w10:wrap anchorx="margin"/>
                </v:shape>
              </w:pict>
            </mc:Fallback>
          </mc:AlternateContent>
        </w:r>
      </w:p>
      <w:p w14:paraId="14DD15F0" w14:textId="77777777" w:rsidR="00F26CE9" w:rsidRDefault="00F26CE9" w:rsidP="00234245">
        <w:pPr>
          <w:spacing w:after="0" w:line="240" w:lineRule="auto"/>
          <w:jc w:val="right"/>
          <w:rPr>
            <w:rFonts w:ascii="Arial" w:eastAsia="Times New Roman" w:hAnsi="Arial" w:cs="Arial"/>
            <w:color w:val="000000"/>
            <w:sz w:val="16"/>
            <w:szCs w:val="16"/>
            <w:lang w:val="es-ES" w:eastAsia="es-ES"/>
          </w:rPr>
        </w:pPr>
      </w:p>
      <w:p w14:paraId="009F64FE" w14:textId="1B4E1F4F" w:rsidR="00F26CE9" w:rsidRPr="00D508A3" w:rsidRDefault="00F26CE9" w:rsidP="002D1A8A">
        <w:pPr>
          <w:spacing w:after="0" w:line="240" w:lineRule="auto"/>
          <w:jc w:val="both"/>
          <w:rPr>
            <w:rFonts w:ascii="Arial" w:eastAsia="Times New Roman" w:hAnsi="Arial" w:cs="Arial"/>
            <w:color w:val="000000"/>
            <w:sz w:val="16"/>
            <w:szCs w:val="16"/>
            <w:lang w:val="es-ES" w:eastAsia="es-ES"/>
          </w:rPr>
        </w:pPr>
        <w:r w:rsidRPr="005E1738">
          <w:rPr>
            <w:rFonts w:ascii="Univers 45 Light" w:hAnsi="Univers 45 Light" w:cs="Times New Roman"/>
            <w:sz w:val="16"/>
            <w:szCs w:val="16"/>
            <w:lang w:val="es-ES"/>
          </w:rPr>
          <w:t>Los estados financieros intermedios condensados separados y sus notas acompañantes no se encuentran auditados ni aprobados por la Asamblea General de Accionistas, la opinión sobre la razonabilidad de los mismos será emitida por el Revisor Fiscal al corte del 31 de diciembre de 2019 de acuerdo con los términos legales vigentes.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218F2" w14:textId="77777777" w:rsidR="00033E93" w:rsidRDefault="00033E93">
      <w:pPr>
        <w:spacing w:after="0" w:line="240" w:lineRule="auto"/>
      </w:pPr>
      <w:bookmarkStart w:id="0" w:name="_Hlk7169783"/>
      <w:bookmarkEnd w:id="0"/>
      <w:r>
        <w:separator/>
      </w:r>
    </w:p>
  </w:footnote>
  <w:footnote w:type="continuationSeparator" w:id="0">
    <w:p w14:paraId="58D81AA5" w14:textId="77777777" w:rsidR="00033E93" w:rsidRDefault="00033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804FB" w14:textId="7E340955" w:rsidR="00F26CE9" w:rsidRPr="005741D8" w:rsidRDefault="00F26CE9" w:rsidP="008E00CC">
    <w:pPr>
      <w:pStyle w:val="Encabezado"/>
      <w:jc w:val="right"/>
    </w:pPr>
    <w:r>
      <w:rPr>
        <w:noProof/>
        <w:lang w:eastAsia="es-CO"/>
      </w:rPr>
      <w:drawing>
        <wp:inline distT="0" distB="0" distL="0" distR="0" wp14:anchorId="7C467611" wp14:editId="362C612A">
          <wp:extent cx="1495425" cy="523875"/>
          <wp:effectExtent l="0" t="0" r="9525" b="9525"/>
          <wp:docPr id="4" name="Imagen 10" descr="cid:image001.jpg@01D19B21.1D9ED6B0"/>
          <wp:cNvGraphicFramePr/>
          <a:graphic xmlns:a="http://schemas.openxmlformats.org/drawingml/2006/main">
            <a:graphicData uri="http://schemas.openxmlformats.org/drawingml/2006/picture">
              <pic:pic xmlns:pic="http://schemas.openxmlformats.org/drawingml/2006/picture">
                <pic:nvPicPr>
                  <pic:cNvPr id="1" name="Imagen 1" descr="cid:image001.jpg@01D19B21.1D9ED6B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75C2C" w14:textId="77777777" w:rsidR="00F26CE9" w:rsidRDefault="00F26CE9" w:rsidP="00266EDE">
    <w:pPr>
      <w:pStyle w:val="Encabezado"/>
      <w:jc w:val="right"/>
    </w:pPr>
    <w:r>
      <w:rPr>
        <w:noProof/>
        <w:lang w:eastAsia="es-CO"/>
      </w:rPr>
      <w:drawing>
        <wp:inline distT="0" distB="0" distL="0" distR="0" wp14:anchorId="5F984CD1" wp14:editId="70C7CF7B">
          <wp:extent cx="1495425" cy="523875"/>
          <wp:effectExtent l="0" t="0" r="9525" b="9525"/>
          <wp:docPr id="5" name="Imagen 2" descr="cid:image001.jpg@01D19B21.1D9ED6B0"/>
          <wp:cNvGraphicFramePr/>
          <a:graphic xmlns:a="http://schemas.openxmlformats.org/drawingml/2006/main">
            <a:graphicData uri="http://schemas.openxmlformats.org/drawingml/2006/picture">
              <pic:pic xmlns:pic="http://schemas.openxmlformats.org/drawingml/2006/picture">
                <pic:nvPicPr>
                  <pic:cNvPr id="1" name="Imagen 1" descr="cid:image001.jpg@01D19B21.1D9ED6B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C4E"/>
    <w:multiLevelType w:val="hybridMultilevel"/>
    <w:tmpl w:val="A72CCB80"/>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 w15:restartNumberingAfterBreak="0">
    <w:nsid w:val="08FF5294"/>
    <w:multiLevelType w:val="hybridMultilevel"/>
    <w:tmpl w:val="8F0EB73A"/>
    <w:lvl w:ilvl="0" w:tplc="240A0017">
      <w:start w:val="1"/>
      <w:numFmt w:val="lowerLetter"/>
      <w:lvlText w:val="%1)"/>
      <w:lvlJc w:val="left"/>
      <w:pPr>
        <w:ind w:left="1713" w:hanging="360"/>
      </w:p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2" w15:restartNumberingAfterBreak="0">
    <w:nsid w:val="09A06827"/>
    <w:multiLevelType w:val="hybridMultilevel"/>
    <w:tmpl w:val="EA9AA83C"/>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3" w15:restartNumberingAfterBreak="0">
    <w:nsid w:val="0BA55B08"/>
    <w:multiLevelType w:val="hybridMultilevel"/>
    <w:tmpl w:val="F23EE5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0CD46149"/>
    <w:multiLevelType w:val="hybridMultilevel"/>
    <w:tmpl w:val="CF1AB31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014A82"/>
    <w:multiLevelType w:val="hybridMultilevel"/>
    <w:tmpl w:val="D9764594"/>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6" w15:restartNumberingAfterBreak="0">
    <w:nsid w:val="1094344C"/>
    <w:multiLevelType w:val="multilevel"/>
    <w:tmpl w:val="154A2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1228B"/>
    <w:multiLevelType w:val="multilevel"/>
    <w:tmpl w:val="DC1E2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B680E"/>
    <w:multiLevelType w:val="hybridMultilevel"/>
    <w:tmpl w:val="B5C4A44E"/>
    <w:lvl w:ilvl="0" w:tplc="4A668FDE">
      <w:start w:val="1"/>
      <w:numFmt w:val="low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6340185"/>
    <w:multiLevelType w:val="multilevel"/>
    <w:tmpl w:val="18FE1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C341A8"/>
    <w:multiLevelType w:val="hybridMultilevel"/>
    <w:tmpl w:val="0C36D01E"/>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1" w15:restartNumberingAfterBreak="0">
    <w:nsid w:val="25AF55DA"/>
    <w:multiLevelType w:val="multilevel"/>
    <w:tmpl w:val="CB260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30FAC"/>
    <w:multiLevelType w:val="hybridMultilevel"/>
    <w:tmpl w:val="6C709864"/>
    <w:lvl w:ilvl="0" w:tplc="2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13" w15:restartNumberingAfterBreak="0">
    <w:nsid w:val="2DA26AEC"/>
    <w:multiLevelType w:val="hybridMultilevel"/>
    <w:tmpl w:val="7EA01C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670E94"/>
    <w:multiLevelType w:val="hybridMultilevel"/>
    <w:tmpl w:val="00E6E052"/>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BF3ED6"/>
    <w:multiLevelType w:val="hybridMultilevel"/>
    <w:tmpl w:val="65108B80"/>
    <w:lvl w:ilvl="0" w:tplc="4DAAC75E">
      <w:numFmt w:val="bullet"/>
      <w:lvlText w:val="•"/>
      <w:lvlJc w:val="left"/>
      <w:pPr>
        <w:ind w:left="2772" w:hanging="708"/>
      </w:pPr>
      <w:rPr>
        <w:rFonts w:ascii="Arial" w:eastAsia="Times New Roman" w:hAnsi="Arial" w:cs="Arial" w:hint="default"/>
      </w:rPr>
    </w:lvl>
    <w:lvl w:ilvl="1" w:tplc="04090003" w:tentative="1">
      <w:start w:val="1"/>
      <w:numFmt w:val="bullet"/>
      <w:lvlText w:val="o"/>
      <w:lvlJc w:val="left"/>
      <w:pPr>
        <w:ind w:left="3144" w:hanging="360"/>
      </w:pPr>
      <w:rPr>
        <w:rFonts w:ascii="Courier New" w:hAnsi="Courier New" w:cs="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cs="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cs="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16" w15:restartNumberingAfterBreak="0">
    <w:nsid w:val="3EC254F9"/>
    <w:multiLevelType w:val="hybridMultilevel"/>
    <w:tmpl w:val="EEB41EDC"/>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7" w15:restartNumberingAfterBreak="0">
    <w:nsid w:val="44187D63"/>
    <w:multiLevelType w:val="hybridMultilevel"/>
    <w:tmpl w:val="475A94B6"/>
    <w:lvl w:ilvl="0" w:tplc="A5EA8CF2">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445823AC"/>
    <w:multiLevelType w:val="hybridMultilevel"/>
    <w:tmpl w:val="9C9A27FE"/>
    <w:lvl w:ilvl="0" w:tplc="63262EC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4CA2AF7"/>
    <w:multiLevelType w:val="hybridMultilevel"/>
    <w:tmpl w:val="E5D0F7AE"/>
    <w:lvl w:ilvl="0" w:tplc="3ACCF0BC">
      <w:start w:val="2"/>
      <w:numFmt w:val="low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49EA499B"/>
    <w:multiLevelType w:val="multilevel"/>
    <w:tmpl w:val="12E09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F347BE"/>
    <w:multiLevelType w:val="multilevel"/>
    <w:tmpl w:val="30CEB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8C0BAA"/>
    <w:multiLevelType w:val="hybridMultilevel"/>
    <w:tmpl w:val="07FE1F7C"/>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3" w15:restartNumberingAfterBreak="0">
    <w:nsid w:val="567E6E1F"/>
    <w:multiLevelType w:val="hybridMultilevel"/>
    <w:tmpl w:val="9D3218D8"/>
    <w:lvl w:ilvl="0" w:tplc="5DD2AF98">
      <w:start w:val="1"/>
      <w:numFmt w:val="bullet"/>
      <w:lvlText w:val=""/>
      <w:lvlJc w:val="left"/>
      <w:pPr>
        <w:ind w:left="1146" w:hanging="360"/>
      </w:pPr>
      <w:rPr>
        <w:rFonts w:ascii="Symbol" w:hAnsi="Symbol" w:hint="default"/>
        <w:sz w:val="18"/>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4" w15:restartNumberingAfterBreak="0">
    <w:nsid w:val="56FC54A7"/>
    <w:multiLevelType w:val="hybridMultilevel"/>
    <w:tmpl w:val="DE18FA6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5988015A"/>
    <w:multiLevelType w:val="hybridMultilevel"/>
    <w:tmpl w:val="64A80DF4"/>
    <w:lvl w:ilvl="0" w:tplc="240A0017">
      <w:start w:val="1"/>
      <w:numFmt w:val="lowerLetter"/>
      <w:lvlText w:val="%1)"/>
      <w:lvlJc w:val="left"/>
      <w:pPr>
        <w:ind w:left="1713" w:hanging="360"/>
      </w:p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26" w15:restartNumberingAfterBreak="0">
    <w:nsid w:val="5B96601E"/>
    <w:multiLevelType w:val="hybridMultilevel"/>
    <w:tmpl w:val="77EE6148"/>
    <w:lvl w:ilvl="0" w:tplc="8FA6545E">
      <w:start w:val="1"/>
      <w:numFmt w:val="decimal"/>
      <w:lvlText w:val="%1)"/>
      <w:lvlJc w:val="left"/>
      <w:pPr>
        <w:ind w:left="1211"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5D430EFB"/>
    <w:multiLevelType w:val="hybridMultilevel"/>
    <w:tmpl w:val="42CC0762"/>
    <w:lvl w:ilvl="0" w:tplc="225CAE9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DAE3484"/>
    <w:multiLevelType w:val="hybridMultilevel"/>
    <w:tmpl w:val="51301494"/>
    <w:lvl w:ilvl="0" w:tplc="359E502E">
      <w:start w:val="1"/>
      <w:numFmt w:val="lowerLetter"/>
      <w:lvlText w:val="%1)"/>
      <w:lvlJc w:val="left"/>
      <w:pPr>
        <w:ind w:left="990" w:hanging="63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FD70EC3"/>
    <w:multiLevelType w:val="hybridMultilevel"/>
    <w:tmpl w:val="FCB2015C"/>
    <w:lvl w:ilvl="0" w:tplc="4DAAC75E">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5373B29"/>
    <w:multiLevelType w:val="hybridMultilevel"/>
    <w:tmpl w:val="F59AA6FE"/>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31" w15:restartNumberingAfterBreak="0">
    <w:nsid w:val="67A9092C"/>
    <w:multiLevelType w:val="hybridMultilevel"/>
    <w:tmpl w:val="FEE05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883B68"/>
    <w:multiLevelType w:val="hybridMultilevel"/>
    <w:tmpl w:val="B93831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F392744"/>
    <w:multiLevelType w:val="hybridMultilevel"/>
    <w:tmpl w:val="50C04FDE"/>
    <w:lvl w:ilvl="0" w:tplc="2E804A40">
      <w:start w:val="1"/>
      <w:numFmt w:val="decimal"/>
      <w:pStyle w:val="NotesHeading"/>
      <w:lvlText w:val="%1."/>
      <w:lvlJc w:val="left"/>
      <w:pPr>
        <w:tabs>
          <w:tab w:val="num" w:pos="720"/>
        </w:tabs>
        <w:ind w:left="720" w:hanging="360"/>
      </w:pPr>
      <w:rPr>
        <w:rFonts w:ascii="Verdana" w:hAnsi="Verdana" w:hint="default"/>
        <w:b/>
        <w:i w:val="0"/>
        <w:sz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A30201"/>
    <w:multiLevelType w:val="hybridMultilevel"/>
    <w:tmpl w:val="60D43234"/>
    <w:lvl w:ilvl="0" w:tplc="240A0001">
      <w:start w:val="1"/>
      <w:numFmt w:val="bullet"/>
      <w:lvlText w:val=""/>
      <w:lvlJc w:val="left"/>
      <w:pPr>
        <w:ind w:left="1145" w:hanging="360"/>
      </w:pPr>
      <w:rPr>
        <w:rFonts w:ascii="Symbol" w:hAnsi="Symbol" w:hint="default"/>
      </w:rPr>
    </w:lvl>
    <w:lvl w:ilvl="1" w:tplc="240A0003" w:tentative="1">
      <w:start w:val="1"/>
      <w:numFmt w:val="bullet"/>
      <w:lvlText w:val="o"/>
      <w:lvlJc w:val="left"/>
      <w:pPr>
        <w:ind w:left="1865" w:hanging="360"/>
      </w:pPr>
      <w:rPr>
        <w:rFonts w:ascii="Courier New" w:hAnsi="Courier New" w:cs="Courier New" w:hint="default"/>
      </w:rPr>
    </w:lvl>
    <w:lvl w:ilvl="2" w:tplc="240A0005" w:tentative="1">
      <w:start w:val="1"/>
      <w:numFmt w:val="bullet"/>
      <w:lvlText w:val=""/>
      <w:lvlJc w:val="left"/>
      <w:pPr>
        <w:ind w:left="2585" w:hanging="360"/>
      </w:pPr>
      <w:rPr>
        <w:rFonts w:ascii="Wingdings" w:hAnsi="Wingdings" w:hint="default"/>
      </w:rPr>
    </w:lvl>
    <w:lvl w:ilvl="3" w:tplc="240A0001" w:tentative="1">
      <w:start w:val="1"/>
      <w:numFmt w:val="bullet"/>
      <w:lvlText w:val=""/>
      <w:lvlJc w:val="left"/>
      <w:pPr>
        <w:ind w:left="3305" w:hanging="360"/>
      </w:pPr>
      <w:rPr>
        <w:rFonts w:ascii="Symbol" w:hAnsi="Symbol" w:hint="default"/>
      </w:rPr>
    </w:lvl>
    <w:lvl w:ilvl="4" w:tplc="240A0003" w:tentative="1">
      <w:start w:val="1"/>
      <w:numFmt w:val="bullet"/>
      <w:lvlText w:val="o"/>
      <w:lvlJc w:val="left"/>
      <w:pPr>
        <w:ind w:left="4025" w:hanging="360"/>
      </w:pPr>
      <w:rPr>
        <w:rFonts w:ascii="Courier New" w:hAnsi="Courier New" w:cs="Courier New" w:hint="default"/>
      </w:rPr>
    </w:lvl>
    <w:lvl w:ilvl="5" w:tplc="240A0005" w:tentative="1">
      <w:start w:val="1"/>
      <w:numFmt w:val="bullet"/>
      <w:lvlText w:val=""/>
      <w:lvlJc w:val="left"/>
      <w:pPr>
        <w:ind w:left="4745" w:hanging="360"/>
      </w:pPr>
      <w:rPr>
        <w:rFonts w:ascii="Wingdings" w:hAnsi="Wingdings" w:hint="default"/>
      </w:rPr>
    </w:lvl>
    <w:lvl w:ilvl="6" w:tplc="240A0001" w:tentative="1">
      <w:start w:val="1"/>
      <w:numFmt w:val="bullet"/>
      <w:lvlText w:val=""/>
      <w:lvlJc w:val="left"/>
      <w:pPr>
        <w:ind w:left="5465" w:hanging="360"/>
      </w:pPr>
      <w:rPr>
        <w:rFonts w:ascii="Symbol" w:hAnsi="Symbol" w:hint="default"/>
      </w:rPr>
    </w:lvl>
    <w:lvl w:ilvl="7" w:tplc="240A0003" w:tentative="1">
      <w:start w:val="1"/>
      <w:numFmt w:val="bullet"/>
      <w:lvlText w:val="o"/>
      <w:lvlJc w:val="left"/>
      <w:pPr>
        <w:ind w:left="6185" w:hanging="360"/>
      </w:pPr>
      <w:rPr>
        <w:rFonts w:ascii="Courier New" w:hAnsi="Courier New" w:cs="Courier New" w:hint="default"/>
      </w:rPr>
    </w:lvl>
    <w:lvl w:ilvl="8" w:tplc="240A0005" w:tentative="1">
      <w:start w:val="1"/>
      <w:numFmt w:val="bullet"/>
      <w:lvlText w:val=""/>
      <w:lvlJc w:val="left"/>
      <w:pPr>
        <w:ind w:left="6905" w:hanging="360"/>
      </w:pPr>
      <w:rPr>
        <w:rFonts w:ascii="Wingdings" w:hAnsi="Wingdings" w:hint="default"/>
      </w:rPr>
    </w:lvl>
  </w:abstractNum>
  <w:abstractNum w:abstractNumId="35" w15:restartNumberingAfterBreak="0">
    <w:nsid w:val="7DC96D0A"/>
    <w:multiLevelType w:val="multilevel"/>
    <w:tmpl w:val="DC648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7"/>
  </w:num>
  <w:num w:numId="3">
    <w:abstractNumId w:val="34"/>
  </w:num>
  <w:num w:numId="4">
    <w:abstractNumId w:val="12"/>
  </w:num>
  <w:num w:numId="5">
    <w:abstractNumId w:val="32"/>
  </w:num>
  <w:num w:numId="6">
    <w:abstractNumId w:val="25"/>
  </w:num>
  <w:num w:numId="7">
    <w:abstractNumId w:val="1"/>
  </w:num>
  <w:num w:numId="8">
    <w:abstractNumId w:val="2"/>
  </w:num>
  <w:num w:numId="9">
    <w:abstractNumId w:val="30"/>
  </w:num>
  <w:num w:numId="10">
    <w:abstractNumId w:val="22"/>
  </w:num>
  <w:num w:numId="11">
    <w:abstractNumId w:val="16"/>
  </w:num>
  <w:num w:numId="12">
    <w:abstractNumId w:val="0"/>
  </w:num>
  <w:num w:numId="13">
    <w:abstractNumId w:val="10"/>
  </w:num>
  <w:num w:numId="14">
    <w:abstractNumId w:val="5"/>
  </w:num>
  <w:num w:numId="15">
    <w:abstractNumId w:val="15"/>
  </w:num>
  <w:num w:numId="16">
    <w:abstractNumId w:val="18"/>
  </w:num>
  <w:num w:numId="17">
    <w:abstractNumId w:val="28"/>
  </w:num>
  <w:num w:numId="18">
    <w:abstractNumId w:val="29"/>
  </w:num>
  <w:num w:numId="19">
    <w:abstractNumId w:val="19"/>
  </w:num>
  <w:num w:numId="20">
    <w:abstractNumId w:val="8"/>
  </w:num>
  <w:num w:numId="21">
    <w:abstractNumId w:val="23"/>
  </w:num>
  <w:num w:numId="22">
    <w:abstractNumId w:val="17"/>
  </w:num>
  <w:num w:numId="23">
    <w:abstractNumId w:val="3"/>
  </w:num>
  <w:num w:numId="24">
    <w:abstractNumId w:val="24"/>
  </w:num>
  <w:num w:numId="25">
    <w:abstractNumId w:val="26"/>
  </w:num>
  <w:num w:numId="26">
    <w:abstractNumId w:val="14"/>
  </w:num>
  <w:num w:numId="27">
    <w:abstractNumId w:val="4"/>
  </w:num>
  <w:num w:numId="28">
    <w:abstractNumId w:val="13"/>
  </w:num>
  <w:num w:numId="29">
    <w:abstractNumId w:val="31"/>
  </w:num>
  <w:num w:numId="30">
    <w:abstractNumId w:val="6"/>
  </w:num>
  <w:num w:numId="31">
    <w:abstractNumId w:val="7"/>
  </w:num>
  <w:num w:numId="32">
    <w:abstractNumId w:val="35"/>
  </w:num>
  <w:num w:numId="33">
    <w:abstractNumId w:val="20"/>
  </w:num>
  <w:num w:numId="34">
    <w:abstractNumId w:val="21"/>
  </w:num>
  <w:num w:numId="35">
    <w:abstractNumId w:val="9"/>
  </w:num>
  <w:num w:numId="36">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85"/>
    <w:rsid w:val="00000016"/>
    <w:rsid w:val="00000148"/>
    <w:rsid w:val="00000762"/>
    <w:rsid w:val="00000D49"/>
    <w:rsid w:val="00000DC9"/>
    <w:rsid w:val="00000DF9"/>
    <w:rsid w:val="00000E7C"/>
    <w:rsid w:val="00000F3C"/>
    <w:rsid w:val="00001147"/>
    <w:rsid w:val="00001F1D"/>
    <w:rsid w:val="00001FB1"/>
    <w:rsid w:val="00001FB4"/>
    <w:rsid w:val="00002AEB"/>
    <w:rsid w:val="00002ED4"/>
    <w:rsid w:val="00002FC6"/>
    <w:rsid w:val="0000347F"/>
    <w:rsid w:val="00003500"/>
    <w:rsid w:val="000050E2"/>
    <w:rsid w:val="00005A80"/>
    <w:rsid w:val="00005CFF"/>
    <w:rsid w:val="000061D8"/>
    <w:rsid w:val="0000627A"/>
    <w:rsid w:val="0000662F"/>
    <w:rsid w:val="00006732"/>
    <w:rsid w:val="00006A44"/>
    <w:rsid w:val="00007254"/>
    <w:rsid w:val="00007DEE"/>
    <w:rsid w:val="000105DD"/>
    <w:rsid w:val="00010DC3"/>
    <w:rsid w:val="00011697"/>
    <w:rsid w:val="000116EF"/>
    <w:rsid w:val="00011AAC"/>
    <w:rsid w:val="0001215B"/>
    <w:rsid w:val="00012539"/>
    <w:rsid w:val="00012540"/>
    <w:rsid w:val="00012842"/>
    <w:rsid w:val="000128B4"/>
    <w:rsid w:val="00012A2C"/>
    <w:rsid w:val="00012ED6"/>
    <w:rsid w:val="00012F31"/>
    <w:rsid w:val="000134E3"/>
    <w:rsid w:val="00013666"/>
    <w:rsid w:val="000137B5"/>
    <w:rsid w:val="00013960"/>
    <w:rsid w:val="000139E9"/>
    <w:rsid w:val="000141CE"/>
    <w:rsid w:val="0001449A"/>
    <w:rsid w:val="00014CFD"/>
    <w:rsid w:val="0001509D"/>
    <w:rsid w:val="00017354"/>
    <w:rsid w:val="0001740D"/>
    <w:rsid w:val="00017436"/>
    <w:rsid w:val="00017452"/>
    <w:rsid w:val="0001758D"/>
    <w:rsid w:val="00017B5E"/>
    <w:rsid w:val="00017C70"/>
    <w:rsid w:val="000200C5"/>
    <w:rsid w:val="000200E9"/>
    <w:rsid w:val="000200FF"/>
    <w:rsid w:val="00020875"/>
    <w:rsid w:val="00020D46"/>
    <w:rsid w:val="00021B87"/>
    <w:rsid w:val="00021B93"/>
    <w:rsid w:val="0002223C"/>
    <w:rsid w:val="000226A4"/>
    <w:rsid w:val="00022D38"/>
    <w:rsid w:val="00023287"/>
    <w:rsid w:val="00023A4F"/>
    <w:rsid w:val="00024D6C"/>
    <w:rsid w:val="000250D9"/>
    <w:rsid w:val="0002520E"/>
    <w:rsid w:val="0002581A"/>
    <w:rsid w:val="00025E3E"/>
    <w:rsid w:val="00025E5B"/>
    <w:rsid w:val="000269A8"/>
    <w:rsid w:val="000269C0"/>
    <w:rsid w:val="00026A07"/>
    <w:rsid w:val="00027154"/>
    <w:rsid w:val="00027736"/>
    <w:rsid w:val="00027A8A"/>
    <w:rsid w:val="00027EC4"/>
    <w:rsid w:val="00027F0E"/>
    <w:rsid w:val="000305B6"/>
    <w:rsid w:val="00030749"/>
    <w:rsid w:val="00030B2D"/>
    <w:rsid w:val="00031B7B"/>
    <w:rsid w:val="00032432"/>
    <w:rsid w:val="00032D9D"/>
    <w:rsid w:val="00032F93"/>
    <w:rsid w:val="000335BB"/>
    <w:rsid w:val="00033E93"/>
    <w:rsid w:val="00033EB6"/>
    <w:rsid w:val="00034076"/>
    <w:rsid w:val="0003407A"/>
    <w:rsid w:val="000344E6"/>
    <w:rsid w:val="000349E1"/>
    <w:rsid w:val="00034D5B"/>
    <w:rsid w:val="00035220"/>
    <w:rsid w:val="0003650B"/>
    <w:rsid w:val="00036635"/>
    <w:rsid w:val="0003698F"/>
    <w:rsid w:val="00036A02"/>
    <w:rsid w:val="00036C6D"/>
    <w:rsid w:val="00036CEC"/>
    <w:rsid w:val="00037D60"/>
    <w:rsid w:val="0004085B"/>
    <w:rsid w:val="00040CD6"/>
    <w:rsid w:val="00041525"/>
    <w:rsid w:val="00041578"/>
    <w:rsid w:val="00041735"/>
    <w:rsid w:val="0004173E"/>
    <w:rsid w:val="0004190A"/>
    <w:rsid w:val="00041A02"/>
    <w:rsid w:val="00041D17"/>
    <w:rsid w:val="00041FAE"/>
    <w:rsid w:val="00042037"/>
    <w:rsid w:val="000423AB"/>
    <w:rsid w:val="00042463"/>
    <w:rsid w:val="000442E0"/>
    <w:rsid w:val="000444C9"/>
    <w:rsid w:val="000447B9"/>
    <w:rsid w:val="00044C40"/>
    <w:rsid w:val="00044F53"/>
    <w:rsid w:val="00045075"/>
    <w:rsid w:val="000456AC"/>
    <w:rsid w:val="00045E68"/>
    <w:rsid w:val="000460D3"/>
    <w:rsid w:val="0004621B"/>
    <w:rsid w:val="0004626F"/>
    <w:rsid w:val="000462C5"/>
    <w:rsid w:val="0004632D"/>
    <w:rsid w:val="00047271"/>
    <w:rsid w:val="00047362"/>
    <w:rsid w:val="00047588"/>
    <w:rsid w:val="000475D1"/>
    <w:rsid w:val="000477AF"/>
    <w:rsid w:val="0004782D"/>
    <w:rsid w:val="00050437"/>
    <w:rsid w:val="000506D7"/>
    <w:rsid w:val="00050CB1"/>
    <w:rsid w:val="0005150E"/>
    <w:rsid w:val="00051543"/>
    <w:rsid w:val="00051C66"/>
    <w:rsid w:val="00052EB8"/>
    <w:rsid w:val="00053008"/>
    <w:rsid w:val="00053331"/>
    <w:rsid w:val="00053492"/>
    <w:rsid w:val="000534DA"/>
    <w:rsid w:val="00053523"/>
    <w:rsid w:val="0005387C"/>
    <w:rsid w:val="00053887"/>
    <w:rsid w:val="00053A01"/>
    <w:rsid w:val="00053C1A"/>
    <w:rsid w:val="0005448A"/>
    <w:rsid w:val="00054B68"/>
    <w:rsid w:val="00054DFA"/>
    <w:rsid w:val="000550B9"/>
    <w:rsid w:val="000552B4"/>
    <w:rsid w:val="00055F1F"/>
    <w:rsid w:val="00056424"/>
    <w:rsid w:val="00056EA5"/>
    <w:rsid w:val="000603B5"/>
    <w:rsid w:val="000604B2"/>
    <w:rsid w:val="000608F0"/>
    <w:rsid w:val="00060A75"/>
    <w:rsid w:val="00060AA3"/>
    <w:rsid w:val="00060B77"/>
    <w:rsid w:val="00060C66"/>
    <w:rsid w:val="00061540"/>
    <w:rsid w:val="000617D5"/>
    <w:rsid w:val="00061DEF"/>
    <w:rsid w:val="0006247A"/>
    <w:rsid w:val="000626CB"/>
    <w:rsid w:val="00062BCC"/>
    <w:rsid w:val="00062ECB"/>
    <w:rsid w:val="000639C7"/>
    <w:rsid w:val="00063D7B"/>
    <w:rsid w:val="000642BE"/>
    <w:rsid w:val="0006494D"/>
    <w:rsid w:val="00064B87"/>
    <w:rsid w:val="00064DE0"/>
    <w:rsid w:val="00065083"/>
    <w:rsid w:val="00065C46"/>
    <w:rsid w:val="00065C93"/>
    <w:rsid w:val="00065FC4"/>
    <w:rsid w:val="000660C0"/>
    <w:rsid w:val="0006625C"/>
    <w:rsid w:val="00066751"/>
    <w:rsid w:val="00066AA5"/>
    <w:rsid w:val="00067119"/>
    <w:rsid w:val="000700CA"/>
    <w:rsid w:val="000705AE"/>
    <w:rsid w:val="000708B4"/>
    <w:rsid w:val="000708DA"/>
    <w:rsid w:val="00071098"/>
    <w:rsid w:val="000711F4"/>
    <w:rsid w:val="00071422"/>
    <w:rsid w:val="00072377"/>
    <w:rsid w:val="000723B0"/>
    <w:rsid w:val="00072776"/>
    <w:rsid w:val="00072D9E"/>
    <w:rsid w:val="00072DF4"/>
    <w:rsid w:val="0007317D"/>
    <w:rsid w:val="0007336E"/>
    <w:rsid w:val="000739F5"/>
    <w:rsid w:val="00073FE9"/>
    <w:rsid w:val="0007442E"/>
    <w:rsid w:val="00074974"/>
    <w:rsid w:val="000757A2"/>
    <w:rsid w:val="00075E33"/>
    <w:rsid w:val="00075E66"/>
    <w:rsid w:val="00076327"/>
    <w:rsid w:val="0007693C"/>
    <w:rsid w:val="00076E6E"/>
    <w:rsid w:val="00077075"/>
    <w:rsid w:val="000777FC"/>
    <w:rsid w:val="000778D6"/>
    <w:rsid w:val="00077B20"/>
    <w:rsid w:val="00077E17"/>
    <w:rsid w:val="00080826"/>
    <w:rsid w:val="000811B7"/>
    <w:rsid w:val="00081D6D"/>
    <w:rsid w:val="00081DBD"/>
    <w:rsid w:val="00081F3C"/>
    <w:rsid w:val="00081FCE"/>
    <w:rsid w:val="00082122"/>
    <w:rsid w:val="00082C07"/>
    <w:rsid w:val="000831EF"/>
    <w:rsid w:val="00083359"/>
    <w:rsid w:val="000833F6"/>
    <w:rsid w:val="000838A3"/>
    <w:rsid w:val="00083ED2"/>
    <w:rsid w:val="000846CD"/>
    <w:rsid w:val="00084A62"/>
    <w:rsid w:val="00084C7C"/>
    <w:rsid w:val="00084F56"/>
    <w:rsid w:val="0008563C"/>
    <w:rsid w:val="00085839"/>
    <w:rsid w:val="000858D3"/>
    <w:rsid w:val="00085AEF"/>
    <w:rsid w:val="00085F45"/>
    <w:rsid w:val="000862DC"/>
    <w:rsid w:val="00086585"/>
    <w:rsid w:val="000866D8"/>
    <w:rsid w:val="00086C0F"/>
    <w:rsid w:val="00086E89"/>
    <w:rsid w:val="00087079"/>
    <w:rsid w:val="00087151"/>
    <w:rsid w:val="0008759A"/>
    <w:rsid w:val="00087E6B"/>
    <w:rsid w:val="0009028A"/>
    <w:rsid w:val="00090646"/>
    <w:rsid w:val="00090667"/>
    <w:rsid w:val="0009073D"/>
    <w:rsid w:val="000907E7"/>
    <w:rsid w:val="000908A5"/>
    <w:rsid w:val="00090CB1"/>
    <w:rsid w:val="00091112"/>
    <w:rsid w:val="00091DD3"/>
    <w:rsid w:val="00091EB3"/>
    <w:rsid w:val="00092890"/>
    <w:rsid w:val="000928AF"/>
    <w:rsid w:val="00092BBA"/>
    <w:rsid w:val="00092F4A"/>
    <w:rsid w:val="00093212"/>
    <w:rsid w:val="000937EE"/>
    <w:rsid w:val="00093994"/>
    <w:rsid w:val="00093DB9"/>
    <w:rsid w:val="00093FE5"/>
    <w:rsid w:val="00094280"/>
    <w:rsid w:val="00094572"/>
    <w:rsid w:val="00094E3C"/>
    <w:rsid w:val="000954D3"/>
    <w:rsid w:val="000954EB"/>
    <w:rsid w:val="00095584"/>
    <w:rsid w:val="00095802"/>
    <w:rsid w:val="00095D15"/>
    <w:rsid w:val="000961BC"/>
    <w:rsid w:val="000962CD"/>
    <w:rsid w:val="00096B96"/>
    <w:rsid w:val="000970FC"/>
    <w:rsid w:val="000972EA"/>
    <w:rsid w:val="000975DA"/>
    <w:rsid w:val="00097CCA"/>
    <w:rsid w:val="000A0070"/>
    <w:rsid w:val="000A0DF5"/>
    <w:rsid w:val="000A109E"/>
    <w:rsid w:val="000A188F"/>
    <w:rsid w:val="000A19C9"/>
    <w:rsid w:val="000A1B1D"/>
    <w:rsid w:val="000A296B"/>
    <w:rsid w:val="000A345A"/>
    <w:rsid w:val="000A3591"/>
    <w:rsid w:val="000A36BD"/>
    <w:rsid w:val="000A3852"/>
    <w:rsid w:val="000A3943"/>
    <w:rsid w:val="000A3A65"/>
    <w:rsid w:val="000A3BF2"/>
    <w:rsid w:val="000A3D91"/>
    <w:rsid w:val="000A3E80"/>
    <w:rsid w:val="000A425D"/>
    <w:rsid w:val="000A42BF"/>
    <w:rsid w:val="000A448E"/>
    <w:rsid w:val="000A54B6"/>
    <w:rsid w:val="000A5636"/>
    <w:rsid w:val="000A60BC"/>
    <w:rsid w:val="000A63D0"/>
    <w:rsid w:val="000A6B6F"/>
    <w:rsid w:val="000A72F8"/>
    <w:rsid w:val="000A7402"/>
    <w:rsid w:val="000B0239"/>
    <w:rsid w:val="000B0A9C"/>
    <w:rsid w:val="000B0DA3"/>
    <w:rsid w:val="000B0E1B"/>
    <w:rsid w:val="000B1F15"/>
    <w:rsid w:val="000B1F7E"/>
    <w:rsid w:val="000B22B0"/>
    <w:rsid w:val="000B246D"/>
    <w:rsid w:val="000B2539"/>
    <w:rsid w:val="000B26C5"/>
    <w:rsid w:val="000B2778"/>
    <w:rsid w:val="000B2B4D"/>
    <w:rsid w:val="000B2BE2"/>
    <w:rsid w:val="000B369D"/>
    <w:rsid w:val="000B3F2B"/>
    <w:rsid w:val="000B44E0"/>
    <w:rsid w:val="000B4E21"/>
    <w:rsid w:val="000B4FBB"/>
    <w:rsid w:val="000B530F"/>
    <w:rsid w:val="000B5A90"/>
    <w:rsid w:val="000B5E16"/>
    <w:rsid w:val="000B6131"/>
    <w:rsid w:val="000B632D"/>
    <w:rsid w:val="000B6BD6"/>
    <w:rsid w:val="000B6E7C"/>
    <w:rsid w:val="000B707A"/>
    <w:rsid w:val="000B7B1C"/>
    <w:rsid w:val="000B7B42"/>
    <w:rsid w:val="000B7B5E"/>
    <w:rsid w:val="000B7B9E"/>
    <w:rsid w:val="000B7D80"/>
    <w:rsid w:val="000B7E70"/>
    <w:rsid w:val="000C03BE"/>
    <w:rsid w:val="000C05CB"/>
    <w:rsid w:val="000C0D5B"/>
    <w:rsid w:val="000C0E00"/>
    <w:rsid w:val="000C1343"/>
    <w:rsid w:val="000C1B02"/>
    <w:rsid w:val="000C1B3A"/>
    <w:rsid w:val="000C20D7"/>
    <w:rsid w:val="000C2173"/>
    <w:rsid w:val="000C2912"/>
    <w:rsid w:val="000C2E0E"/>
    <w:rsid w:val="000C2F40"/>
    <w:rsid w:val="000C3142"/>
    <w:rsid w:val="000C33E3"/>
    <w:rsid w:val="000C3BE7"/>
    <w:rsid w:val="000C3F1A"/>
    <w:rsid w:val="000C3F77"/>
    <w:rsid w:val="000C41BC"/>
    <w:rsid w:val="000C4416"/>
    <w:rsid w:val="000C451B"/>
    <w:rsid w:val="000C4723"/>
    <w:rsid w:val="000C568D"/>
    <w:rsid w:val="000C56D6"/>
    <w:rsid w:val="000C5818"/>
    <w:rsid w:val="000C60BD"/>
    <w:rsid w:val="000C6371"/>
    <w:rsid w:val="000C79B7"/>
    <w:rsid w:val="000D02AC"/>
    <w:rsid w:val="000D0871"/>
    <w:rsid w:val="000D0B19"/>
    <w:rsid w:val="000D0EED"/>
    <w:rsid w:val="000D13A9"/>
    <w:rsid w:val="000D1A2C"/>
    <w:rsid w:val="000D1D43"/>
    <w:rsid w:val="000D239F"/>
    <w:rsid w:val="000D244A"/>
    <w:rsid w:val="000D2FED"/>
    <w:rsid w:val="000D3493"/>
    <w:rsid w:val="000D3B1B"/>
    <w:rsid w:val="000D492A"/>
    <w:rsid w:val="000D49F3"/>
    <w:rsid w:val="000D4D90"/>
    <w:rsid w:val="000D50C6"/>
    <w:rsid w:val="000D5681"/>
    <w:rsid w:val="000D613D"/>
    <w:rsid w:val="000D62B0"/>
    <w:rsid w:val="000D666B"/>
    <w:rsid w:val="000D69AE"/>
    <w:rsid w:val="000D6BA2"/>
    <w:rsid w:val="000D6DF0"/>
    <w:rsid w:val="000D732E"/>
    <w:rsid w:val="000D7A65"/>
    <w:rsid w:val="000E087B"/>
    <w:rsid w:val="000E0CC2"/>
    <w:rsid w:val="000E0F5C"/>
    <w:rsid w:val="000E16E7"/>
    <w:rsid w:val="000E224B"/>
    <w:rsid w:val="000E23B1"/>
    <w:rsid w:val="000E2AA7"/>
    <w:rsid w:val="000E2AE2"/>
    <w:rsid w:val="000E31ED"/>
    <w:rsid w:val="000E4336"/>
    <w:rsid w:val="000E457E"/>
    <w:rsid w:val="000E495B"/>
    <w:rsid w:val="000E4A6F"/>
    <w:rsid w:val="000E523F"/>
    <w:rsid w:val="000E527D"/>
    <w:rsid w:val="000E5A37"/>
    <w:rsid w:val="000E61BE"/>
    <w:rsid w:val="000E65F2"/>
    <w:rsid w:val="000E670F"/>
    <w:rsid w:val="000E6855"/>
    <w:rsid w:val="000E6A61"/>
    <w:rsid w:val="000E6A7B"/>
    <w:rsid w:val="000E6C05"/>
    <w:rsid w:val="000E6E94"/>
    <w:rsid w:val="000E721C"/>
    <w:rsid w:val="000E74E2"/>
    <w:rsid w:val="000E788E"/>
    <w:rsid w:val="000E7B64"/>
    <w:rsid w:val="000F0372"/>
    <w:rsid w:val="000F0378"/>
    <w:rsid w:val="000F0855"/>
    <w:rsid w:val="000F10BE"/>
    <w:rsid w:val="000F111C"/>
    <w:rsid w:val="000F16BE"/>
    <w:rsid w:val="000F17D7"/>
    <w:rsid w:val="000F18BA"/>
    <w:rsid w:val="000F234E"/>
    <w:rsid w:val="000F273F"/>
    <w:rsid w:val="000F27BD"/>
    <w:rsid w:val="000F2E17"/>
    <w:rsid w:val="000F308F"/>
    <w:rsid w:val="000F30B6"/>
    <w:rsid w:val="000F3234"/>
    <w:rsid w:val="000F32D5"/>
    <w:rsid w:val="000F36E6"/>
    <w:rsid w:val="000F3777"/>
    <w:rsid w:val="000F3B31"/>
    <w:rsid w:val="000F3E15"/>
    <w:rsid w:val="000F3F37"/>
    <w:rsid w:val="000F3FAF"/>
    <w:rsid w:val="000F44FA"/>
    <w:rsid w:val="000F492E"/>
    <w:rsid w:val="000F5CEB"/>
    <w:rsid w:val="000F5E9C"/>
    <w:rsid w:val="000F60A9"/>
    <w:rsid w:val="000F61F0"/>
    <w:rsid w:val="000F6538"/>
    <w:rsid w:val="000F698B"/>
    <w:rsid w:val="000F6BF4"/>
    <w:rsid w:val="000F7795"/>
    <w:rsid w:val="000F79BF"/>
    <w:rsid w:val="000F7B4D"/>
    <w:rsid w:val="000F7DA4"/>
    <w:rsid w:val="000F7E4F"/>
    <w:rsid w:val="001004F5"/>
    <w:rsid w:val="001005BE"/>
    <w:rsid w:val="00100743"/>
    <w:rsid w:val="00100764"/>
    <w:rsid w:val="00100D35"/>
    <w:rsid w:val="00100ED7"/>
    <w:rsid w:val="00100F86"/>
    <w:rsid w:val="00101AC8"/>
    <w:rsid w:val="001020ED"/>
    <w:rsid w:val="001023DC"/>
    <w:rsid w:val="0010260C"/>
    <w:rsid w:val="001026A6"/>
    <w:rsid w:val="0010294A"/>
    <w:rsid w:val="00102C4A"/>
    <w:rsid w:val="001031C1"/>
    <w:rsid w:val="0010347B"/>
    <w:rsid w:val="00103532"/>
    <w:rsid w:val="001035D3"/>
    <w:rsid w:val="001036A0"/>
    <w:rsid w:val="00103A4B"/>
    <w:rsid w:val="00103CD8"/>
    <w:rsid w:val="00103D43"/>
    <w:rsid w:val="00104DFD"/>
    <w:rsid w:val="00105249"/>
    <w:rsid w:val="00106AC3"/>
    <w:rsid w:val="00107014"/>
    <w:rsid w:val="00107234"/>
    <w:rsid w:val="00107AC9"/>
    <w:rsid w:val="0011023B"/>
    <w:rsid w:val="00110CC9"/>
    <w:rsid w:val="00110F72"/>
    <w:rsid w:val="00111816"/>
    <w:rsid w:val="00111FEC"/>
    <w:rsid w:val="00112D4B"/>
    <w:rsid w:val="0011330B"/>
    <w:rsid w:val="00113580"/>
    <w:rsid w:val="001135DC"/>
    <w:rsid w:val="00114123"/>
    <w:rsid w:val="00114632"/>
    <w:rsid w:val="00114D0F"/>
    <w:rsid w:val="0011545B"/>
    <w:rsid w:val="00116015"/>
    <w:rsid w:val="00116799"/>
    <w:rsid w:val="00117B72"/>
    <w:rsid w:val="0012053C"/>
    <w:rsid w:val="001206F4"/>
    <w:rsid w:val="001208A1"/>
    <w:rsid w:val="001208DB"/>
    <w:rsid w:val="00120987"/>
    <w:rsid w:val="00120E62"/>
    <w:rsid w:val="00120FBF"/>
    <w:rsid w:val="0012134D"/>
    <w:rsid w:val="0012158A"/>
    <w:rsid w:val="001217CD"/>
    <w:rsid w:val="0012243B"/>
    <w:rsid w:val="00122E29"/>
    <w:rsid w:val="00123383"/>
    <w:rsid w:val="001234F9"/>
    <w:rsid w:val="00123C42"/>
    <w:rsid w:val="0012417A"/>
    <w:rsid w:val="00124315"/>
    <w:rsid w:val="00124646"/>
    <w:rsid w:val="00124947"/>
    <w:rsid w:val="00124D81"/>
    <w:rsid w:val="0012528A"/>
    <w:rsid w:val="00125C05"/>
    <w:rsid w:val="00125C7D"/>
    <w:rsid w:val="001273DF"/>
    <w:rsid w:val="0012758E"/>
    <w:rsid w:val="00127A57"/>
    <w:rsid w:val="00127AB0"/>
    <w:rsid w:val="00127F9D"/>
    <w:rsid w:val="0013041C"/>
    <w:rsid w:val="001310FF"/>
    <w:rsid w:val="001317C8"/>
    <w:rsid w:val="00131EC1"/>
    <w:rsid w:val="0013271C"/>
    <w:rsid w:val="001329B4"/>
    <w:rsid w:val="00132E27"/>
    <w:rsid w:val="00132ED4"/>
    <w:rsid w:val="00132F83"/>
    <w:rsid w:val="00133184"/>
    <w:rsid w:val="00133C41"/>
    <w:rsid w:val="0013449A"/>
    <w:rsid w:val="00134D43"/>
    <w:rsid w:val="00134E6E"/>
    <w:rsid w:val="001358D1"/>
    <w:rsid w:val="00135D21"/>
    <w:rsid w:val="001369D9"/>
    <w:rsid w:val="00136A0C"/>
    <w:rsid w:val="00136A22"/>
    <w:rsid w:val="00136C3D"/>
    <w:rsid w:val="00136C81"/>
    <w:rsid w:val="00136EDC"/>
    <w:rsid w:val="00137201"/>
    <w:rsid w:val="001378C6"/>
    <w:rsid w:val="001379D6"/>
    <w:rsid w:val="00137A2E"/>
    <w:rsid w:val="00137CD6"/>
    <w:rsid w:val="00137D2F"/>
    <w:rsid w:val="00140141"/>
    <w:rsid w:val="00140D3D"/>
    <w:rsid w:val="0014157F"/>
    <w:rsid w:val="00142137"/>
    <w:rsid w:val="00142CB3"/>
    <w:rsid w:val="00143689"/>
    <w:rsid w:val="00143737"/>
    <w:rsid w:val="001439E9"/>
    <w:rsid w:val="00143EED"/>
    <w:rsid w:val="00144140"/>
    <w:rsid w:val="001443EA"/>
    <w:rsid w:val="0014466F"/>
    <w:rsid w:val="00144964"/>
    <w:rsid w:val="00144F2C"/>
    <w:rsid w:val="0014513F"/>
    <w:rsid w:val="00145183"/>
    <w:rsid w:val="00145303"/>
    <w:rsid w:val="00145DCE"/>
    <w:rsid w:val="00146672"/>
    <w:rsid w:val="00146F21"/>
    <w:rsid w:val="00146FF4"/>
    <w:rsid w:val="001470F8"/>
    <w:rsid w:val="00147C97"/>
    <w:rsid w:val="00147CAE"/>
    <w:rsid w:val="0015014B"/>
    <w:rsid w:val="00150255"/>
    <w:rsid w:val="00150553"/>
    <w:rsid w:val="00151554"/>
    <w:rsid w:val="00151A4B"/>
    <w:rsid w:val="001521FC"/>
    <w:rsid w:val="00153B66"/>
    <w:rsid w:val="00153F59"/>
    <w:rsid w:val="001540DE"/>
    <w:rsid w:val="001543A7"/>
    <w:rsid w:val="0015476B"/>
    <w:rsid w:val="00154AB4"/>
    <w:rsid w:val="00155145"/>
    <w:rsid w:val="001553F7"/>
    <w:rsid w:val="0015573D"/>
    <w:rsid w:val="001557AF"/>
    <w:rsid w:val="00155BC5"/>
    <w:rsid w:val="00155CCA"/>
    <w:rsid w:val="00155F06"/>
    <w:rsid w:val="00156226"/>
    <w:rsid w:val="00156250"/>
    <w:rsid w:val="0015625F"/>
    <w:rsid w:val="0015638D"/>
    <w:rsid w:val="00156653"/>
    <w:rsid w:val="00156661"/>
    <w:rsid w:val="0015710A"/>
    <w:rsid w:val="00157959"/>
    <w:rsid w:val="00157D5A"/>
    <w:rsid w:val="00157F81"/>
    <w:rsid w:val="00160DE3"/>
    <w:rsid w:val="00160F79"/>
    <w:rsid w:val="00160FCA"/>
    <w:rsid w:val="001611CA"/>
    <w:rsid w:val="0016124C"/>
    <w:rsid w:val="001614A0"/>
    <w:rsid w:val="00161828"/>
    <w:rsid w:val="00161AE9"/>
    <w:rsid w:val="00161F3D"/>
    <w:rsid w:val="00162103"/>
    <w:rsid w:val="00162AB8"/>
    <w:rsid w:val="00162CB2"/>
    <w:rsid w:val="00162FE6"/>
    <w:rsid w:val="0016300B"/>
    <w:rsid w:val="00163DE4"/>
    <w:rsid w:val="00163E41"/>
    <w:rsid w:val="00163FCA"/>
    <w:rsid w:val="00164F6C"/>
    <w:rsid w:val="001650E3"/>
    <w:rsid w:val="0016511E"/>
    <w:rsid w:val="001651D6"/>
    <w:rsid w:val="001655FE"/>
    <w:rsid w:val="001656EF"/>
    <w:rsid w:val="001658AF"/>
    <w:rsid w:val="00165A51"/>
    <w:rsid w:val="00165EF6"/>
    <w:rsid w:val="00166548"/>
    <w:rsid w:val="001665ED"/>
    <w:rsid w:val="00167EB7"/>
    <w:rsid w:val="00167EF1"/>
    <w:rsid w:val="0017082A"/>
    <w:rsid w:val="00171380"/>
    <w:rsid w:val="001717CF"/>
    <w:rsid w:val="001718A6"/>
    <w:rsid w:val="001725A8"/>
    <w:rsid w:val="00172935"/>
    <w:rsid w:val="00172BC9"/>
    <w:rsid w:val="00172CB4"/>
    <w:rsid w:val="00172F8C"/>
    <w:rsid w:val="00173428"/>
    <w:rsid w:val="00173CC1"/>
    <w:rsid w:val="00173CF4"/>
    <w:rsid w:val="001758AC"/>
    <w:rsid w:val="00175942"/>
    <w:rsid w:val="00175CE9"/>
    <w:rsid w:val="00175D30"/>
    <w:rsid w:val="00175F04"/>
    <w:rsid w:val="0017632B"/>
    <w:rsid w:val="001765D8"/>
    <w:rsid w:val="00176DB4"/>
    <w:rsid w:val="00176FC5"/>
    <w:rsid w:val="00177230"/>
    <w:rsid w:val="00177A6B"/>
    <w:rsid w:val="00177C1D"/>
    <w:rsid w:val="001803E8"/>
    <w:rsid w:val="0018040A"/>
    <w:rsid w:val="0018076F"/>
    <w:rsid w:val="00181139"/>
    <w:rsid w:val="001812CB"/>
    <w:rsid w:val="00181CF7"/>
    <w:rsid w:val="00182472"/>
    <w:rsid w:val="001827D6"/>
    <w:rsid w:val="00182C20"/>
    <w:rsid w:val="0018353F"/>
    <w:rsid w:val="0018435D"/>
    <w:rsid w:val="00184636"/>
    <w:rsid w:val="001849BF"/>
    <w:rsid w:val="00184C29"/>
    <w:rsid w:val="00184D9C"/>
    <w:rsid w:val="00185328"/>
    <w:rsid w:val="00185AFB"/>
    <w:rsid w:val="001864BE"/>
    <w:rsid w:val="001864EB"/>
    <w:rsid w:val="001866A7"/>
    <w:rsid w:val="00186913"/>
    <w:rsid w:val="00186B87"/>
    <w:rsid w:val="00186BDE"/>
    <w:rsid w:val="0018725A"/>
    <w:rsid w:val="00187A49"/>
    <w:rsid w:val="00187F18"/>
    <w:rsid w:val="00187FDF"/>
    <w:rsid w:val="00190935"/>
    <w:rsid w:val="00190E3E"/>
    <w:rsid w:val="00190ED7"/>
    <w:rsid w:val="001910E4"/>
    <w:rsid w:val="001912A2"/>
    <w:rsid w:val="001913C4"/>
    <w:rsid w:val="00191DAE"/>
    <w:rsid w:val="00192D6E"/>
    <w:rsid w:val="001932BD"/>
    <w:rsid w:val="00193A83"/>
    <w:rsid w:val="00193C21"/>
    <w:rsid w:val="00194294"/>
    <w:rsid w:val="00194721"/>
    <w:rsid w:val="0019477F"/>
    <w:rsid w:val="0019480D"/>
    <w:rsid w:val="00194EA4"/>
    <w:rsid w:val="00196377"/>
    <w:rsid w:val="001966C2"/>
    <w:rsid w:val="001974A3"/>
    <w:rsid w:val="001974B1"/>
    <w:rsid w:val="00197F7E"/>
    <w:rsid w:val="001A02EF"/>
    <w:rsid w:val="001A0A40"/>
    <w:rsid w:val="001A0B25"/>
    <w:rsid w:val="001A0D41"/>
    <w:rsid w:val="001A1572"/>
    <w:rsid w:val="001A1A54"/>
    <w:rsid w:val="001A2345"/>
    <w:rsid w:val="001A2427"/>
    <w:rsid w:val="001A250C"/>
    <w:rsid w:val="001A2C35"/>
    <w:rsid w:val="001A34B7"/>
    <w:rsid w:val="001A354C"/>
    <w:rsid w:val="001A4082"/>
    <w:rsid w:val="001A4135"/>
    <w:rsid w:val="001A45BE"/>
    <w:rsid w:val="001A4DC8"/>
    <w:rsid w:val="001A5068"/>
    <w:rsid w:val="001A5357"/>
    <w:rsid w:val="001A53C8"/>
    <w:rsid w:val="001A53D6"/>
    <w:rsid w:val="001A5AB1"/>
    <w:rsid w:val="001A5EFB"/>
    <w:rsid w:val="001A5F58"/>
    <w:rsid w:val="001A6117"/>
    <w:rsid w:val="001A612E"/>
    <w:rsid w:val="001A633D"/>
    <w:rsid w:val="001A6CB8"/>
    <w:rsid w:val="001A71B8"/>
    <w:rsid w:val="001A72BE"/>
    <w:rsid w:val="001A73E0"/>
    <w:rsid w:val="001A74CE"/>
    <w:rsid w:val="001A7531"/>
    <w:rsid w:val="001A7DE9"/>
    <w:rsid w:val="001A7FFB"/>
    <w:rsid w:val="001B0058"/>
    <w:rsid w:val="001B027D"/>
    <w:rsid w:val="001B0431"/>
    <w:rsid w:val="001B0A59"/>
    <w:rsid w:val="001B0CD5"/>
    <w:rsid w:val="001B15AC"/>
    <w:rsid w:val="001B1941"/>
    <w:rsid w:val="001B1A4B"/>
    <w:rsid w:val="001B2511"/>
    <w:rsid w:val="001B3063"/>
    <w:rsid w:val="001B311E"/>
    <w:rsid w:val="001B315B"/>
    <w:rsid w:val="001B3457"/>
    <w:rsid w:val="001B37EE"/>
    <w:rsid w:val="001B3B5A"/>
    <w:rsid w:val="001B413F"/>
    <w:rsid w:val="001B442B"/>
    <w:rsid w:val="001B4E87"/>
    <w:rsid w:val="001B54EC"/>
    <w:rsid w:val="001B55AA"/>
    <w:rsid w:val="001B59E0"/>
    <w:rsid w:val="001B5A2A"/>
    <w:rsid w:val="001B5F0F"/>
    <w:rsid w:val="001B6CAE"/>
    <w:rsid w:val="001B78F2"/>
    <w:rsid w:val="001B7C3A"/>
    <w:rsid w:val="001B7F00"/>
    <w:rsid w:val="001B7FA8"/>
    <w:rsid w:val="001C0072"/>
    <w:rsid w:val="001C06D8"/>
    <w:rsid w:val="001C0AAE"/>
    <w:rsid w:val="001C1023"/>
    <w:rsid w:val="001C129D"/>
    <w:rsid w:val="001C1738"/>
    <w:rsid w:val="001C2FFA"/>
    <w:rsid w:val="001C30BD"/>
    <w:rsid w:val="001C35B1"/>
    <w:rsid w:val="001C4435"/>
    <w:rsid w:val="001C44F1"/>
    <w:rsid w:val="001C4577"/>
    <w:rsid w:val="001C45FC"/>
    <w:rsid w:val="001C564A"/>
    <w:rsid w:val="001C5E64"/>
    <w:rsid w:val="001C6259"/>
    <w:rsid w:val="001C6811"/>
    <w:rsid w:val="001C6E0D"/>
    <w:rsid w:val="001C7334"/>
    <w:rsid w:val="001C7454"/>
    <w:rsid w:val="001C77B2"/>
    <w:rsid w:val="001D00E1"/>
    <w:rsid w:val="001D0230"/>
    <w:rsid w:val="001D035C"/>
    <w:rsid w:val="001D0D56"/>
    <w:rsid w:val="001D1023"/>
    <w:rsid w:val="001D165D"/>
    <w:rsid w:val="001D1680"/>
    <w:rsid w:val="001D1BBF"/>
    <w:rsid w:val="001D22FF"/>
    <w:rsid w:val="001D2982"/>
    <w:rsid w:val="001D3975"/>
    <w:rsid w:val="001D3CD2"/>
    <w:rsid w:val="001D3F2F"/>
    <w:rsid w:val="001D4076"/>
    <w:rsid w:val="001D40CB"/>
    <w:rsid w:val="001D4848"/>
    <w:rsid w:val="001D4ACA"/>
    <w:rsid w:val="001D4CB3"/>
    <w:rsid w:val="001D5010"/>
    <w:rsid w:val="001D52A4"/>
    <w:rsid w:val="001D5909"/>
    <w:rsid w:val="001D5E3F"/>
    <w:rsid w:val="001D5F77"/>
    <w:rsid w:val="001D6711"/>
    <w:rsid w:val="001D6AB5"/>
    <w:rsid w:val="001D6DEA"/>
    <w:rsid w:val="001D6EC6"/>
    <w:rsid w:val="001D7475"/>
    <w:rsid w:val="001D7955"/>
    <w:rsid w:val="001D7ACE"/>
    <w:rsid w:val="001E036F"/>
    <w:rsid w:val="001E03C6"/>
    <w:rsid w:val="001E0DC3"/>
    <w:rsid w:val="001E14CE"/>
    <w:rsid w:val="001E17EA"/>
    <w:rsid w:val="001E22BF"/>
    <w:rsid w:val="001E31CB"/>
    <w:rsid w:val="001E37C6"/>
    <w:rsid w:val="001E3B2D"/>
    <w:rsid w:val="001E3C8A"/>
    <w:rsid w:val="001E3DE0"/>
    <w:rsid w:val="001E405D"/>
    <w:rsid w:val="001E447C"/>
    <w:rsid w:val="001E45C0"/>
    <w:rsid w:val="001E488F"/>
    <w:rsid w:val="001E4A45"/>
    <w:rsid w:val="001E4D93"/>
    <w:rsid w:val="001E4DCE"/>
    <w:rsid w:val="001E4DE2"/>
    <w:rsid w:val="001E4EF2"/>
    <w:rsid w:val="001E52FE"/>
    <w:rsid w:val="001E6EE7"/>
    <w:rsid w:val="001E7331"/>
    <w:rsid w:val="001E7562"/>
    <w:rsid w:val="001E7B60"/>
    <w:rsid w:val="001F0782"/>
    <w:rsid w:val="001F089D"/>
    <w:rsid w:val="001F1E05"/>
    <w:rsid w:val="001F25A6"/>
    <w:rsid w:val="001F2647"/>
    <w:rsid w:val="001F2A29"/>
    <w:rsid w:val="001F31ED"/>
    <w:rsid w:val="001F35B7"/>
    <w:rsid w:val="001F4FE3"/>
    <w:rsid w:val="001F573A"/>
    <w:rsid w:val="001F5834"/>
    <w:rsid w:val="001F59D5"/>
    <w:rsid w:val="001F5D94"/>
    <w:rsid w:val="001F5FCF"/>
    <w:rsid w:val="001F649E"/>
    <w:rsid w:val="001F671C"/>
    <w:rsid w:val="001F737D"/>
    <w:rsid w:val="001F73B8"/>
    <w:rsid w:val="001F74AA"/>
    <w:rsid w:val="001F7586"/>
    <w:rsid w:val="0020026E"/>
    <w:rsid w:val="0020070D"/>
    <w:rsid w:val="00200FA0"/>
    <w:rsid w:val="00201151"/>
    <w:rsid w:val="00201290"/>
    <w:rsid w:val="00201997"/>
    <w:rsid w:val="00202181"/>
    <w:rsid w:val="00202D38"/>
    <w:rsid w:val="00203185"/>
    <w:rsid w:val="0020329E"/>
    <w:rsid w:val="002034F3"/>
    <w:rsid w:val="002038C0"/>
    <w:rsid w:val="00203C01"/>
    <w:rsid w:val="00203C67"/>
    <w:rsid w:val="00203E95"/>
    <w:rsid w:val="0020410F"/>
    <w:rsid w:val="002044C1"/>
    <w:rsid w:val="00204803"/>
    <w:rsid w:val="002048D9"/>
    <w:rsid w:val="00204A8F"/>
    <w:rsid w:val="00204D8F"/>
    <w:rsid w:val="00205409"/>
    <w:rsid w:val="00205436"/>
    <w:rsid w:val="00205950"/>
    <w:rsid w:val="00205A79"/>
    <w:rsid w:val="00207AD7"/>
    <w:rsid w:val="0021002F"/>
    <w:rsid w:val="0021059D"/>
    <w:rsid w:val="00210C33"/>
    <w:rsid w:val="00210C36"/>
    <w:rsid w:val="00210C5C"/>
    <w:rsid w:val="00210CE1"/>
    <w:rsid w:val="00210CEC"/>
    <w:rsid w:val="00211058"/>
    <w:rsid w:val="002112DB"/>
    <w:rsid w:val="002115E6"/>
    <w:rsid w:val="002119BA"/>
    <w:rsid w:val="00211BCD"/>
    <w:rsid w:val="00211D96"/>
    <w:rsid w:val="00212129"/>
    <w:rsid w:val="002121A2"/>
    <w:rsid w:val="002128E3"/>
    <w:rsid w:val="00212983"/>
    <w:rsid w:val="00212D49"/>
    <w:rsid w:val="00212ED7"/>
    <w:rsid w:val="00212FFA"/>
    <w:rsid w:val="00213630"/>
    <w:rsid w:val="00213733"/>
    <w:rsid w:val="002137BF"/>
    <w:rsid w:val="00214A39"/>
    <w:rsid w:val="00215A3C"/>
    <w:rsid w:val="00215B44"/>
    <w:rsid w:val="00215BA2"/>
    <w:rsid w:val="00215C19"/>
    <w:rsid w:val="0021601A"/>
    <w:rsid w:val="00216D70"/>
    <w:rsid w:val="00217090"/>
    <w:rsid w:val="002179C6"/>
    <w:rsid w:val="00217DAB"/>
    <w:rsid w:val="00217DB0"/>
    <w:rsid w:val="00217F42"/>
    <w:rsid w:val="00220095"/>
    <w:rsid w:val="00220A03"/>
    <w:rsid w:val="00220C9C"/>
    <w:rsid w:val="002211B1"/>
    <w:rsid w:val="002214C5"/>
    <w:rsid w:val="00221507"/>
    <w:rsid w:val="00221B90"/>
    <w:rsid w:val="00221BFC"/>
    <w:rsid w:val="00221F15"/>
    <w:rsid w:val="00221FE8"/>
    <w:rsid w:val="002226DB"/>
    <w:rsid w:val="00222A89"/>
    <w:rsid w:val="00222F1B"/>
    <w:rsid w:val="00222FE1"/>
    <w:rsid w:val="002237CC"/>
    <w:rsid w:val="00224062"/>
    <w:rsid w:val="00224611"/>
    <w:rsid w:val="002247A6"/>
    <w:rsid w:val="00224D15"/>
    <w:rsid w:val="00225295"/>
    <w:rsid w:val="002259C7"/>
    <w:rsid w:val="002263EF"/>
    <w:rsid w:val="00227838"/>
    <w:rsid w:val="00227CB2"/>
    <w:rsid w:val="002308E4"/>
    <w:rsid w:val="00231844"/>
    <w:rsid w:val="002318AC"/>
    <w:rsid w:val="00231F73"/>
    <w:rsid w:val="00231FE6"/>
    <w:rsid w:val="00232198"/>
    <w:rsid w:val="002328AF"/>
    <w:rsid w:val="00232B5E"/>
    <w:rsid w:val="00232EF8"/>
    <w:rsid w:val="0023339F"/>
    <w:rsid w:val="0023341F"/>
    <w:rsid w:val="00233D83"/>
    <w:rsid w:val="00234179"/>
    <w:rsid w:val="00234245"/>
    <w:rsid w:val="00234FA8"/>
    <w:rsid w:val="002353AA"/>
    <w:rsid w:val="00235983"/>
    <w:rsid w:val="00236019"/>
    <w:rsid w:val="00236B63"/>
    <w:rsid w:val="002371F6"/>
    <w:rsid w:val="00237EAB"/>
    <w:rsid w:val="00240AD3"/>
    <w:rsid w:val="00241055"/>
    <w:rsid w:val="00241538"/>
    <w:rsid w:val="002415EB"/>
    <w:rsid w:val="00241745"/>
    <w:rsid w:val="00241B96"/>
    <w:rsid w:val="00241F2C"/>
    <w:rsid w:val="0024242D"/>
    <w:rsid w:val="00242AB6"/>
    <w:rsid w:val="00243184"/>
    <w:rsid w:val="002432A9"/>
    <w:rsid w:val="002434B9"/>
    <w:rsid w:val="00243617"/>
    <w:rsid w:val="00243827"/>
    <w:rsid w:val="00243A83"/>
    <w:rsid w:val="00243AFD"/>
    <w:rsid w:val="00243D6C"/>
    <w:rsid w:val="0024429F"/>
    <w:rsid w:val="00244750"/>
    <w:rsid w:val="00244DB5"/>
    <w:rsid w:val="0024519F"/>
    <w:rsid w:val="002452BC"/>
    <w:rsid w:val="002456DC"/>
    <w:rsid w:val="002457E6"/>
    <w:rsid w:val="002458C6"/>
    <w:rsid w:val="002458FA"/>
    <w:rsid w:val="00246053"/>
    <w:rsid w:val="002462FE"/>
    <w:rsid w:val="00246678"/>
    <w:rsid w:val="0024674B"/>
    <w:rsid w:val="00246786"/>
    <w:rsid w:val="00246BF8"/>
    <w:rsid w:val="00246F6A"/>
    <w:rsid w:val="00247741"/>
    <w:rsid w:val="00247935"/>
    <w:rsid w:val="00247C43"/>
    <w:rsid w:val="00247C7A"/>
    <w:rsid w:val="00247E14"/>
    <w:rsid w:val="0025054B"/>
    <w:rsid w:val="0025056C"/>
    <w:rsid w:val="00250987"/>
    <w:rsid w:val="00250F9A"/>
    <w:rsid w:val="0025116F"/>
    <w:rsid w:val="00251520"/>
    <w:rsid w:val="00251804"/>
    <w:rsid w:val="00251AAA"/>
    <w:rsid w:val="00251AC2"/>
    <w:rsid w:val="00251C5D"/>
    <w:rsid w:val="00252EE6"/>
    <w:rsid w:val="0025312F"/>
    <w:rsid w:val="00253216"/>
    <w:rsid w:val="00253A75"/>
    <w:rsid w:val="00253F1B"/>
    <w:rsid w:val="002545F5"/>
    <w:rsid w:val="002548C6"/>
    <w:rsid w:val="00255190"/>
    <w:rsid w:val="0025599A"/>
    <w:rsid w:val="00255B9D"/>
    <w:rsid w:val="00255F78"/>
    <w:rsid w:val="0025621E"/>
    <w:rsid w:val="002567C3"/>
    <w:rsid w:val="00256D29"/>
    <w:rsid w:val="002578DF"/>
    <w:rsid w:val="00257908"/>
    <w:rsid w:val="00260A18"/>
    <w:rsid w:val="00260A7F"/>
    <w:rsid w:val="0026112C"/>
    <w:rsid w:val="00261131"/>
    <w:rsid w:val="002620BA"/>
    <w:rsid w:val="00263308"/>
    <w:rsid w:val="00263545"/>
    <w:rsid w:val="00263CA2"/>
    <w:rsid w:val="00263EF7"/>
    <w:rsid w:val="00264095"/>
    <w:rsid w:val="002640E7"/>
    <w:rsid w:val="00264215"/>
    <w:rsid w:val="002644D3"/>
    <w:rsid w:val="00265658"/>
    <w:rsid w:val="002659BF"/>
    <w:rsid w:val="00265B8B"/>
    <w:rsid w:val="00265C45"/>
    <w:rsid w:val="002660CF"/>
    <w:rsid w:val="002660E3"/>
    <w:rsid w:val="0026620C"/>
    <w:rsid w:val="002665D7"/>
    <w:rsid w:val="00266A27"/>
    <w:rsid w:val="00266EDE"/>
    <w:rsid w:val="0026712C"/>
    <w:rsid w:val="00267FE0"/>
    <w:rsid w:val="00270779"/>
    <w:rsid w:val="0027099E"/>
    <w:rsid w:val="002713DD"/>
    <w:rsid w:val="00271748"/>
    <w:rsid w:val="00271F93"/>
    <w:rsid w:val="00272BA0"/>
    <w:rsid w:val="002733C8"/>
    <w:rsid w:val="0027361C"/>
    <w:rsid w:val="00273F0C"/>
    <w:rsid w:val="002740CA"/>
    <w:rsid w:val="00274372"/>
    <w:rsid w:val="002743F7"/>
    <w:rsid w:val="0027524D"/>
    <w:rsid w:val="00275294"/>
    <w:rsid w:val="002753D3"/>
    <w:rsid w:val="0027570E"/>
    <w:rsid w:val="00275756"/>
    <w:rsid w:val="00275801"/>
    <w:rsid w:val="00275B2A"/>
    <w:rsid w:val="00275B91"/>
    <w:rsid w:val="00275F46"/>
    <w:rsid w:val="0027673D"/>
    <w:rsid w:val="00276AEC"/>
    <w:rsid w:val="00276D55"/>
    <w:rsid w:val="0027730E"/>
    <w:rsid w:val="00277A1F"/>
    <w:rsid w:val="00277ABF"/>
    <w:rsid w:val="00280047"/>
    <w:rsid w:val="002800A7"/>
    <w:rsid w:val="002801B7"/>
    <w:rsid w:val="002801C0"/>
    <w:rsid w:val="00280719"/>
    <w:rsid w:val="002807EC"/>
    <w:rsid w:val="00281119"/>
    <w:rsid w:val="0028146A"/>
    <w:rsid w:val="002816B2"/>
    <w:rsid w:val="002817E9"/>
    <w:rsid w:val="00281E00"/>
    <w:rsid w:val="00281F90"/>
    <w:rsid w:val="0028217E"/>
    <w:rsid w:val="00282D28"/>
    <w:rsid w:val="00283DA4"/>
    <w:rsid w:val="00284063"/>
    <w:rsid w:val="002854F0"/>
    <w:rsid w:val="00285B29"/>
    <w:rsid w:val="00285BE6"/>
    <w:rsid w:val="0028623F"/>
    <w:rsid w:val="002863F5"/>
    <w:rsid w:val="002865B7"/>
    <w:rsid w:val="00286E39"/>
    <w:rsid w:val="00287931"/>
    <w:rsid w:val="00290374"/>
    <w:rsid w:val="00290546"/>
    <w:rsid w:val="00290650"/>
    <w:rsid w:val="002906AE"/>
    <w:rsid w:val="00290B40"/>
    <w:rsid w:val="002910E5"/>
    <w:rsid w:val="00291632"/>
    <w:rsid w:val="0029185C"/>
    <w:rsid w:val="00291B2B"/>
    <w:rsid w:val="00291B4D"/>
    <w:rsid w:val="0029226D"/>
    <w:rsid w:val="0029330B"/>
    <w:rsid w:val="00293DE2"/>
    <w:rsid w:val="0029405C"/>
    <w:rsid w:val="00294594"/>
    <w:rsid w:val="00294D14"/>
    <w:rsid w:val="00295EC8"/>
    <w:rsid w:val="002960CA"/>
    <w:rsid w:val="00296A83"/>
    <w:rsid w:val="00296C14"/>
    <w:rsid w:val="00296D35"/>
    <w:rsid w:val="00296DA9"/>
    <w:rsid w:val="002970CD"/>
    <w:rsid w:val="002974D2"/>
    <w:rsid w:val="00297763"/>
    <w:rsid w:val="00297BDD"/>
    <w:rsid w:val="002A05B2"/>
    <w:rsid w:val="002A05B9"/>
    <w:rsid w:val="002A0778"/>
    <w:rsid w:val="002A0D60"/>
    <w:rsid w:val="002A15C1"/>
    <w:rsid w:val="002A15DC"/>
    <w:rsid w:val="002A21E1"/>
    <w:rsid w:val="002A2E14"/>
    <w:rsid w:val="002A4035"/>
    <w:rsid w:val="002A4195"/>
    <w:rsid w:val="002A4724"/>
    <w:rsid w:val="002A494C"/>
    <w:rsid w:val="002A50F1"/>
    <w:rsid w:val="002A5C03"/>
    <w:rsid w:val="002A5C92"/>
    <w:rsid w:val="002A6175"/>
    <w:rsid w:val="002A617E"/>
    <w:rsid w:val="002A6560"/>
    <w:rsid w:val="002A6A38"/>
    <w:rsid w:val="002A6CF8"/>
    <w:rsid w:val="002A7155"/>
    <w:rsid w:val="002A726C"/>
    <w:rsid w:val="002A7407"/>
    <w:rsid w:val="002A7527"/>
    <w:rsid w:val="002A781D"/>
    <w:rsid w:val="002A7942"/>
    <w:rsid w:val="002A797F"/>
    <w:rsid w:val="002A7E09"/>
    <w:rsid w:val="002B010A"/>
    <w:rsid w:val="002B0314"/>
    <w:rsid w:val="002B0C89"/>
    <w:rsid w:val="002B0E94"/>
    <w:rsid w:val="002B1363"/>
    <w:rsid w:val="002B16D3"/>
    <w:rsid w:val="002B1F56"/>
    <w:rsid w:val="002B2091"/>
    <w:rsid w:val="002B276E"/>
    <w:rsid w:val="002B2D7E"/>
    <w:rsid w:val="002B3E77"/>
    <w:rsid w:val="002B4257"/>
    <w:rsid w:val="002B45C6"/>
    <w:rsid w:val="002B4F3C"/>
    <w:rsid w:val="002B5000"/>
    <w:rsid w:val="002B55DF"/>
    <w:rsid w:val="002B5984"/>
    <w:rsid w:val="002B69B7"/>
    <w:rsid w:val="002B69D0"/>
    <w:rsid w:val="002B6D16"/>
    <w:rsid w:val="002C014E"/>
    <w:rsid w:val="002C0166"/>
    <w:rsid w:val="002C0349"/>
    <w:rsid w:val="002C0CBE"/>
    <w:rsid w:val="002C0DE0"/>
    <w:rsid w:val="002C0E05"/>
    <w:rsid w:val="002C16A4"/>
    <w:rsid w:val="002C1E99"/>
    <w:rsid w:val="002C1F23"/>
    <w:rsid w:val="002C22EC"/>
    <w:rsid w:val="002C231C"/>
    <w:rsid w:val="002C2535"/>
    <w:rsid w:val="002C25FE"/>
    <w:rsid w:val="002C3373"/>
    <w:rsid w:val="002C3634"/>
    <w:rsid w:val="002C3CA8"/>
    <w:rsid w:val="002C44B9"/>
    <w:rsid w:val="002C495F"/>
    <w:rsid w:val="002C4C0C"/>
    <w:rsid w:val="002C4FA2"/>
    <w:rsid w:val="002C53C9"/>
    <w:rsid w:val="002C60B4"/>
    <w:rsid w:val="002C6AAB"/>
    <w:rsid w:val="002C742D"/>
    <w:rsid w:val="002C75AE"/>
    <w:rsid w:val="002D04CB"/>
    <w:rsid w:val="002D06CA"/>
    <w:rsid w:val="002D1243"/>
    <w:rsid w:val="002D1704"/>
    <w:rsid w:val="002D175B"/>
    <w:rsid w:val="002D178D"/>
    <w:rsid w:val="002D18DB"/>
    <w:rsid w:val="002D1A8A"/>
    <w:rsid w:val="002D1BFB"/>
    <w:rsid w:val="002D1E62"/>
    <w:rsid w:val="002D21EB"/>
    <w:rsid w:val="002D26C3"/>
    <w:rsid w:val="002D2AC6"/>
    <w:rsid w:val="002D2BD7"/>
    <w:rsid w:val="002D2CE6"/>
    <w:rsid w:val="002D32D0"/>
    <w:rsid w:val="002D4E8F"/>
    <w:rsid w:val="002D503F"/>
    <w:rsid w:val="002D5DB7"/>
    <w:rsid w:val="002D5EA8"/>
    <w:rsid w:val="002D618F"/>
    <w:rsid w:val="002D6B94"/>
    <w:rsid w:val="002D6FD0"/>
    <w:rsid w:val="002D7929"/>
    <w:rsid w:val="002E004A"/>
    <w:rsid w:val="002E0381"/>
    <w:rsid w:val="002E0DB6"/>
    <w:rsid w:val="002E1161"/>
    <w:rsid w:val="002E13E8"/>
    <w:rsid w:val="002E1CF9"/>
    <w:rsid w:val="002E1D8B"/>
    <w:rsid w:val="002E2075"/>
    <w:rsid w:val="002E24EC"/>
    <w:rsid w:val="002E2578"/>
    <w:rsid w:val="002E294A"/>
    <w:rsid w:val="002E339C"/>
    <w:rsid w:val="002E3452"/>
    <w:rsid w:val="002E3928"/>
    <w:rsid w:val="002E3E19"/>
    <w:rsid w:val="002E3E60"/>
    <w:rsid w:val="002E3E6D"/>
    <w:rsid w:val="002E4656"/>
    <w:rsid w:val="002E46C1"/>
    <w:rsid w:val="002E481F"/>
    <w:rsid w:val="002E4ABB"/>
    <w:rsid w:val="002E4B96"/>
    <w:rsid w:val="002E5185"/>
    <w:rsid w:val="002E65DE"/>
    <w:rsid w:val="002E6C6A"/>
    <w:rsid w:val="002E709F"/>
    <w:rsid w:val="002F05FC"/>
    <w:rsid w:val="002F0AA8"/>
    <w:rsid w:val="002F13DB"/>
    <w:rsid w:val="002F1487"/>
    <w:rsid w:val="002F1584"/>
    <w:rsid w:val="002F1815"/>
    <w:rsid w:val="002F1C9E"/>
    <w:rsid w:val="002F2399"/>
    <w:rsid w:val="002F41D2"/>
    <w:rsid w:val="002F442C"/>
    <w:rsid w:val="002F470B"/>
    <w:rsid w:val="002F56DC"/>
    <w:rsid w:val="002F6A05"/>
    <w:rsid w:val="002F6E03"/>
    <w:rsid w:val="002F7552"/>
    <w:rsid w:val="002F77D8"/>
    <w:rsid w:val="002F7811"/>
    <w:rsid w:val="0030020F"/>
    <w:rsid w:val="0030028E"/>
    <w:rsid w:val="00300C37"/>
    <w:rsid w:val="003015BD"/>
    <w:rsid w:val="00301EE2"/>
    <w:rsid w:val="003020F8"/>
    <w:rsid w:val="00302B01"/>
    <w:rsid w:val="00303D6B"/>
    <w:rsid w:val="00304356"/>
    <w:rsid w:val="00304857"/>
    <w:rsid w:val="00304B2E"/>
    <w:rsid w:val="00304DC0"/>
    <w:rsid w:val="00304EDE"/>
    <w:rsid w:val="00304EF4"/>
    <w:rsid w:val="00305A32"/>
    <w:rsid w:val="00305CD5"/>
    <w:rsid w:val="003060DF"/>
    <w:rsid w:val="00306719"/>
    <w:rsid w:val="0030692D"/>
    <w:rsid w:val="00306A1F"/>
    <w:rsid w:val="0030725C"/>
    <w:rsid w:val="00307490"/>
    <w:rsid w:val="0030789D"/>
    <w:rsid w:val="003078F8"/>
    <w:rsid w:val="003118EC"/>
    <w:rsid w:val="00311BFA"/>
    <w:rsid w:val="00311FEE"/>
    <w:rsid w:val="003122D4"/>
    <w:rsid w:val="0031263A"/>
    <w:rsid w:val="003128B6"/>
    <w:rsid w:val="00312AF2"/>
    <w:rsid w:val="00312D00"/>
    <w:rsid w:val="00312D1F"/>
    <w:rsid w:val="0031324B"/>
    <w:rsid w:val="00313839"/>
    <w:rsid w:val="00313CFA"/>
    <w:rsid w:val="00313E61"/>
    <w:rsid w:val="0031412E"/>
    <w:rsid w:val="003148F6"/>
    <w:rsid w:val="00315287"/>
    <w:rsid w:val="0031548E"/>
    <w:rsid w:val="00315D65"/>
    <w:rsid w:val="00315DE1"/>
    <w:rsid w:val="003161A0"/>
    <w:rsid w:val="00316203"/>
    <w:rsid w:val="00316EBD"/>
    <w:rsid w:val="00317135"/>
    <w:rsid w:val="00317242"/>
    <w:rsid w:val="00320381"/>
    <w:rsid w:val="00320B91"/>
    <w:rsid w:val="00320FB1"/>
    <w:rsid w:val="003218D2"/>
    <w:rsid w:val="00321B32"/>
    <w:rsid w:val="00322544"/>
    <w:rsid w:val="00322EB8"/>
    <w:rsid w:val="0032358C"/>
    <w:rsid w:val="003236BA"/>
    <w:rsid w:val="00323A5F"/>
    <w:rsid w:val="00323C85"/>
    <w:rsid w:val="00323DCE"/>
    <w:rsid w:val="00323E2A"/>
    <w:rsid w:val="003240E5"/>
    <w:rsid w:val="00324130"/>
    <w:rsid w:val="0032437A"/>
    <w:rsid w:val="0032551C"/>
    <w:rsid w:val="00325854"/>
    <w:rsid w:val="003261BD"/>
    <w:rsid w:val="00326232"/>
    <w:rsid w:val="0032741F"/>
    <w:rsid w:val="0032793B"/>
    <w:rsid w:val="00327B7B"/>
    <w:rsid w:val="0033033D"/>
    <w:rsid w:val="003308A1"/>
    <w:rsid w:val="00331140"/>
    <w:rsid w:val="00331637"/>
    <w:rsid w:val="00331B10"/>
    <w:rsid w:val="00331D7F"/>
    <w:rsid w:val="0033236C"/>
    <w:rsid w:val="00332B0E"/>
    <w:rsid w:val="00332CC9"/>
    <w:rsid w:val="003333C4"/>
    <w:rsid w:val="003334EF"/>
    <w:rsid w:val="00333AE1"/>
    <w:rsid w:val="00333CA7"/>
    <w:rsid w:val="00333D2F"/>
    <w:rsid w:val="00333FB4"/>
    <w:rsid w:val="0033400A"/>
    <w:rsid w:val="003340D2"/>
    <w:rsid w:val="00334379"/>
    <w:rsid w:val="003343E8"/>
    <w:rsid w:val="003344AB"/>
    <w:rsid w:val="00334708"/>
    <w:rsid w:val="00334A30"/>
    <w:rsid w:val="00334E42"/>
    <w:rsid w:val="003357F6"/>
    <w:rsid w:val="00335C5A"/>
    <w:rsid w:val="00335ED9"/>
    <w:rsid w:val="003360D3"/>
    <w:rsid w:val="00336266"/>
    <w:rsid w:val="003367DA"/>
    <w:rsid w:val="00336B6D"/>
    <w:rsid w:val="00337AB9"/>
    <w:rsid w:val="00337ED1"/>
    <w:rsid w:val="003400CE"/>
    <w:rsid w:val="00340492"/>
    <w:rsid w:val="00340523"/>
    <w:rsid w:val="003407C1"/>
    <w:rsid w:val="00340EF1"/>
    <w:rsid w:val="00341141"/>
    <w:rsid w:val="0034151E"/>
    <w:rsid w:val="0034195D"/>
    <w:rsid w:val="00341FC0"/>
    <w:rsid w:val="00342081"/>
    <w:rsid w:val="00342787"/>
    <w:rsid w:val="00342B9D"/>
    <w:rsid w:val="00342C10"/>
    <w:rsid w:val="00342F41"/>
    <w:rsid w:val="003432C1"/>
    <w:rsid w:val="00343552"/>
    <w:rsid w:val="0034384F"/>
    <w:rsid w:val="00343B51"/>
    <w:rsid w:val="00343CBC"/>
    <w:rsid w:val="003446E1"/>
    <w:rsid w:val="003449C2"/>
    <w:rsid w:val="00344E97"/>
    <w:rsid w:val="00345772"/>
    <w:rsid w:val="0034578A"/>
    <w:rsid w:val="00345925"/>
    <w:rsid w:val="00345A9F"/>
    <w:rsid w:val="00345B0C"/>
    <w:rsid w:val="00345D55"/>
    <w:rsid w:val="00345D9D"/>
    <w:rsid w:val="00345DA3"/>
    <w:rsid w:val="00345FEB"/>
    <w:rsid w:val="003462D1"/>
    <w:rsid w:val="00346A4E"/>
    <w:rsid w:val="003479FA"/>
    <w:rsid w:val="00347A88"/>
    <w:rsid w:val="0035042A"/>
    <w:rsid w:val="00350B5A"/>
    <w:rsid w:val="00350DCA"/>
    <w:rsid w:val="00351074"/>
    <w:rsid w:val="003518FB"/>
    <w:rsid w:val="00351DBD"/>
    <w:rsid w:val="00351E09"/>
    <w:rsid w:val="00351F73"/>
    <w:rsid w:val="00352AF6"/>
    <w:rsid w:val="00353A9F"/>
    <w:rsid w:val="00353D64"/>
    <w:rsid w:val="00354274"/>
    <w:rsid w:val="003548A0"/>
    <w:rsid w:val="00354D83"/>
    <w:rsid w:val="00354E77"/>
    <w:rsid w:val="0035502D"/>
    <w:rsid w:val="00355AE8"/>
    <w:rsid w:val="00355C8F"/>
    <w:rsid w:val="00355DA5"/>
    <w:rsid w:val="00355F5B"/>
    <w:rsid w:val="00355F90"/>
    <w:rsid w:val="00356466"/>
    <w:rsid w:val="00356D6E"/>
    <w:rsid w:val="0035714E"/>
    <w:rsid w:val="003571D3"/>
    <w:rsid w:val="003573E2"/>
    <w:rsid w:val="003578A1"/>
    <w:rsid w:val="00357F3D"/>
    <w:rsid w:val="0036031D"/>
    <w:rsid w:val="00360342"/>
    <w:rsid w:val="00360633"/>
    <w:rsid w:val="00360EEE"/>
    <w:rsid w:val="00360F60"/>
    <w:rsid w:val="00361181"/>
    <w:rsid w:val="0036145F"/>
    <w:rsid w:val="0036148D"/>
    <w:rsid w:val="00361842"/>
    <w:rsid w:val="00361C6D"/>
    <w:rsid w:val="003630CF"/>
    <w:rsid w:val="003632BA"/>
    <w:rsid w:val="0036370F"/>
    <w:rsid w:val="00363F06"/>
    <w:rsid w:val="00363F0F"/>
    <w:rsid w:val="0036482B"/>
    <w:rsid w:val="00364CBF"/>
    <w:rsid w:val="00364F32"/>
    <w:rsid w:val="00365641"/>
    <w:rsid w:val="00365CFA"/>
    <w:rsid w:val="00365F86"/>
    <w:rsid w:val="0036639F"/>
    <w:rsid w:val="0036679B"/>
    <w:rsid w:val="00366B40"/>
    <w:rsid w:val="00366D58"/>
    <w:rsid w:val="00367361"/>
    <w:rsid w:val="0036736F"/>
    <w:rsid w:val="00367577"/>
    <w:rsid w:val="003675D9"/>
    <w:rsid w:val="00367E12"/>
    <w:rsid w:val="003702B1"/>
    <w:rsid w:val="003708EF"/>
    <w:rsid w:val="00370BEB"/>
    <w:rsid w:val="00370E49"/>
    <w:rsid w:val="00371781"/>
    <w:rsid w:val="00371B87"/>
    <w:rsid w:val="0037213F"/>
    <w:rsid w:val="00372DE3"/>
    <w:rsid w:val="00372FF1"/>
    <w:rsid w:val="00373294"/>
    <w:rsid w:val="003732BB"/>
    <w:rsid w:val="003732C2"/>
    <w:rsid w:val="00373E06"/>
    <w:rsid w:val="00373F2C"/>
    <w:rsid w:val="00374079"/>
    <w:rsid w:val="00374260"/>
    <w:rsid w:val="00374D7A"/>
    <w:rsid w:val="00375498"/>
    <w:rsid w:val="00375FC2"/>
    <w:rsid w:val="00376595"/>
    <w:rsid w:val="00376ABA"/>
    <w:rsid w:val="00376AC7"/>
    <w:rsid w:val="00376F93"/>
    <w:rsid w:val="00377B9D"/>
    <w:rsid w:val="00377F2A"/>
    <w:rsid w:val="00377FC4"/>
    <w:rsid w:val="0038024A"/>
    <w:rsid w:val="00380CEF"/>
    <w:rsid w:val="00380EEE"/>
    <w:rsid w:val="00382270"/>
    <w:rsid w:val="0038294F"/>
    <w:rsid w:val="00382B4D"/>
    <w:rsid w:val="0038454D"/>
    <w:rsid w:val="00384E44"/>
    <w:rsid w:val="00385150"/>
    <w:rsid w:val="0038534D"/>
    <w:rsid w:val="0038547C"/>
    <w:rsid w:val="00385555"/>
    <w:rsid w:val="0038564E"/>
    <w:rsid w:val="00385CFC"/>
    <w:rsid w:val="00385E8C"/>
    <w:rsid w:val="00385F81"/>
    <w:rsid w:val="00386141"/>
    <w:rsid w:val="00386270"/>
    <w:rsid w:val="00386690"/>
    <w:rsid w:val="00386814"/>
    <w:rsid w:val="003868D6"/>
    <w:rsid w:val="00386C35"/>
    <w:rsid w:val="0038704E"/>
    <w:rsid w:val="00387721"/>
    <w:rsid w:val="0038781B"/>
    <w:rsid w:val="00387D15"/>
    <w:rsid w:val="0039065E"/>
    <w:rsid w:val="00390758"/>
    <w:rsid w:val="003915D8"/>
    <w:rsid w:val="0039164A"/>
    <w:rsid w:val="003919A1"/>
    <w:rsid w:val="00391FDA"/>
    <w:rsid w:val="00392218"/>
    <w:rsid w:val="00392DC6"/>
    <w:rsid w:val="00392FF7"/>
    <w:rsid w:val="0039351B"/>
    <w:rsid w:val="00393B43"/>
    <w:rsid w:val="00393C1C"/>
    <w:rsid w:val="00393EB0"/>
    <w:rsid w:val="0039438C"/>
    <w:rsid w:val="003943F5"/>
    <w:rsid w:val="00394D99"/>
    <w:rsid w:val="00394E14"/>
    <w:rsid w:val="00394EDA"/>
    <w:rsid w:val="0039506C"/>
    <w:rsid w:val="00395840"/>
    <w:rsid w:val="00395C19"/>
    <w:rsid w:val="003960E4"/>
    <w:rsid w:val="0039612C"/>
    <w:rsid w:val="00396406"/>
    <w:rsid w:val="0039653C"/>
    <w:rsid w:val="00396654"/>
    <w:rsid w:val="003967B3"/>
    <w:rsid w:val="0039686D"/>
    <w:rsid w:val="00397095"/>
    <w:rsid w:val="00397102"/>
    <w:rsid w:val="0039741C"/>
    <w:rsid w:val="003A02C6"/>
    <w:rsid w:val="003A055D"/>
    <w:rsid w:val="003A0F7A"/>
    <w:rsid w:val="003A11D4"/>
    <w:rsid w:val="003A13D0"/>
    <w:rsid w:val="003A19C0"/>
    <w:rsid w:val="003A1B4A"/>
    <w:rsid w:val="003A1F03"/>
    <w:rsid w:val="003A1FFA"/>
    <w:rsid w:val="003A20B3"/>
    <w:rsid w:val="003A233C"/>
    <w:rsid w:val="003A2AD5"/>
    <w:rsid w:val="003A2EEE"/>
    <w:rsid w:val="003A2F9E"/>
    <w:rsid w:val="003A30E4"/>
    <w:rsid w:val="003A35F1"/>
    <w:rsid w:val="003A3A7D"/>
    <w:rsid w:val="003A3F99"/>
    <w:rsid w:val="003A3FD8"/>
    <w:rsid w:val="003A432B"/>
    <w:rsid w:val="003A4C39"/>
    <w:rsid w:val="003A4CE7"/>
    <w:rsid w:val="003A4CF8"/>
    <w:rsid w:val="003A4D94"/>
    <w:rsid w:val="003A5478"/>
    <w:rsid w:val="003A58BA"/>
    <w:rsid w:val="003A6310"/>
    <w:rsid w:val="003A6818"/>
    <w:rsid w:val="003A709E"/>
    <w:rsid w:val="003A744E"/>
    <w:rsid w:val="003A7C2F"/>
    <w:rsid w:val="003A7CCB"/>
    <w:rsid w:val="003B0595"/>
    <w:rsid w:val="003B0689"/>
    <w:rsid w:val="003B0B85"/>
    <w:rsid w:val="003B0CCE"/>
    <w:rsid w:val="003B0F1C"/>
    <w:rsid w:val="003B13D9"/>
    <w:rsid w:val="003B18AB"/>
    <w:rsid w:val="003B18FD"/>
    <w:rsid w:val="003B1AF1"/>
    <w:rsid w:val="003B30EE"/>
    <w:rsid w:val="003B327B"/>
    <w:rsid w:val="003B349C"/>
    <w:rsid w:val="003B3C28"/>
    <w:rsid w:val="003B4152"/>
    <w:rsid w:val="003B4199"/>
    <w:rsid w:val="003B4232"/>
    <w:rsid w:val="003B46BA"/>
    <w:rsid w:val="003B49B3"/>
    <w:rsid w:val="003B4F9D"/>
    <w:rsid w:val="003B557E"/>
    <w:rsid w:val="003B597B"/>
    <w:rsid w:val="003B5C10"/>
    <w:rsid w:val="003B5D88"/>
    <w:rsid w:val="003B6923"/>
    <w:rsid w:val="003B7242"/>
    <w:rsid w:val="003B76F8"/>
    <w:rsid w:val="003B7956"/>
    <w:rsid w:val="003B7D6A"/>
    <w:rsid w:val="003C05AC"/>
    <w:rsid w:val="003C06A7"/>
    <w:rsid w:val="003C08B1"/>
    <w:rsid w:val="003C0985"/>
    <w:rsid w:val="003C09F3"/>
    <w:rsid w:val="003C0A67"/>
    <w:rsid w:val="003C0B85"/>
    <w:rsid w:val="003C0CC3"/>
    <w:rsid w:val="003C0EED"/>
    <w:rsid w:val="003C1461"/>
    <w:rsid w:val="003C1629"/>
    <w:rsid w:val="003C184D"/>
    <w:rsid w:val="003C1BF8"/>
    <w:rsid w:val="003C1C52"/>
    <w:rsid w:val="003C1D57"/>
    <w:rsid w:val="003C1D76"/>
    <w:rsid w:val="003C1EEA"/>
    <w:rsid w:val="003C2C2E"/>
    <w:rsid w:val="003C2D5D"/>
    <w:rsid w:val="003C2EAB"/>
    <w:rsid w:val="003C3209"/>
    <w:rsid w:val="003C4109"/>
    <w:rsid w:val="003C47E8"/>
    <w:rsid w:val="003C4FE4"/>
    <w:rsid w:val="003C4FFA"/>
    <w:rsid w:val="003C53E5"/>
    <w:rsid w:val="003C581C"/>
    <w:rsid w:val="003C5CA4"/>
    <w:rsid w:val="003C5E03"/>
    <w:rsid w:val="003C6306"/>
    <w:rsid w:val="003C6391"/>
    <w:rsid w:val="003C6B68"/>
    <w:rsid w:val="003C6D57"/>
    <w:rsid w:val="003C6FE7"/>
    <w:rsid w:val="003C7808"/>
    <w:rsid w:val="003C7951"/>
    <w:rsid w:val="003C7F5C"/>
    <w:rsid w:val="003D070E"/>
    <w:rsid w:val="003D0925"/>
    <w:rsid w:val="003D141D"/>
    <w:rsid w:val="003D259F"/>
    <w:rsid w:val="003D277D"/>
    <w:rsid w:val="003D2985"/>
    <w:rsid w:val="003D2A72"/>
    <w:rsid w:val="003D33B7"/>
    <w:rsid w:val="003D3568"/>
    <w:rsid w:val="003D3B88"/>
    <w:rsid w:val="003D3CDE"/>
    <w:rsid w:val="003D4464"/>
    <w:rsid w:val="003D47DF"/>
    <w:rsid w:val="003D536A"/>
    <w:rsid w:val="003D536B"/>
    <w:rsid w:val="003D6216"/>
    <w:rsid w:val="003D7C7C"/>
    <w:rsid w:val="003D7D31"/>
    <w:rsid w:val="003E0186"/>
    <w:rsid w:val="003E1251"/>
    <w:rsid w:val="003E1617"/>
    <w:rsid w:val="003E1645"/>
    <w:rsid w:val="003E1D3F"/>
    <w:rsid w:val="003E2505"/>
    <w:rsid w:val="003E2E1A"/>
    <w:rsid w:val="003E2F57"/>
    <w:rsid w:val="003E3690"/>
    <w:rsid w:val="003E43FA"/>
    <w:rsid w:val="003E4430"/>
    <w:rsid w:val="003E4602"/>
    <w:rsid w:val="003E464E"/>
    <w:rsid w:val="003E4B63"/>
    <w:rsid w:val="003E52A8"/>
    <w:rsid w:val="003E52B2"/>
    <w:rsid w:val="003E5983"/>
    <w:rsid w:val="003E5B42"/>
    <w:rsid w:val="003E614C"/>
    <w:rsid w:val="003E67DC"/>
    <w:rsid w:val="003E6C44"/>
    <w:rsid w:val="003E6D64"/>
    <w:rsid w:val="003E6F86"/>
    <w:rsid w:val="003E6FFF"/>
    <w:rsid w:val="003E71D5"/>
    <w:rsid w:val="003E76A6"/>
    <w:rsid w:val="003F04F5"/>
    <w:rsid w:val="003F0A79"/>
    <w:rsid w:val="003F0BC2"/>
    <w:rsid w:val="003F0CA6"/>
    <w:rsid w:val="003F0DF9"/>
    <w:rsid w:val="003F0FB1"/>
    <w:rsid w:val="003F1401"/>
    <w:rsid w:val="003F1858"/>
    <w:rsid w:val="003F1CEB"/>
    <w:rsid w:val="003F20C9"/>
    <w:rsid w:val="003F2310"/>
    <w:rsid w:val="003F2C30"/>
    <w:rsid w:val="003F2D7B"/>
    <w:rsid w:val="003F3503"/>
    <w:rsid w:val="003F45FE"/>
    <w:rsid w:val="003F4D19"/>
    <w:rsid w:val="003F4F01"/>
    <w:rsid w:val="003F534B"/>
    <w:rsid w:val="003F6037"/>
    <w:rsid w:val="003F60AE"/>
    <w:rsid w:val="003F6112"/>
    <w:rsid w:val="003F611B"/>
    <w:rsid w:val="003F615C"/>
    <w:rsid w:val="003F62BF"/>
    <w:rsid w:val="003F6E36"/>
    <w:rsid w:val="003F7929"/>
    <w:rsid w:val="0040131E"/>
    <w:rsid w:val="00401CAE"/>
    <w:rsid w:val="00402726"/>
    <w:rsid w:val="00402883"/>
    <w:rsid w:val="00403898"/>
    <w:rsid w:val="004041A3"/>
    <w:rsid w:val="00404972"/>
    <w:rsid w:val="004051B9"/>
    <w:rsid w:val="00405A74"/>
    <w:rsid w:val="004066D4"/>
    <w:rsid w:val="004067C9"/>
    <w:rsid w:val="004069A8"/>
    <w:rsid w:val="00406B4D"/>
    <w:rsid w:val="00406CD8"/>
    <w:rsid w:val="00406D69"/>
    <w:rsid w:val="004074F7"/>
    <w:rsid w:val="00407FBB"/>
    <w:rsid w:val="00410DE9"/>
    <w:rsid w:val="00410F65"/>
    <w:rsid w:val="00410FB0"/>
    <w:rsid w:val="00411BBA"/>
    <w:rsid w:val="004125EF"/>
    <w:rsid w:val="00412DF2"/>
    <w:rsid w:val="00412F1A"/>
    <w:rsid w:val="00413312"/>
    <w:rsid w:val="004141DF"/>
    <w:rsid w:val="004147A2"/>
    <w:rsid w:val="00414894"/>
    <w:rsid w:val="00414957"/>
    <w:rsid w:val="00414B2D"/>
    <w:rsid w:val="00414DBC"/>
    <w:rsid w:val="004159FA"/>
    <w:rsid w:val="004166A9"/>
    <w:rsid w:val="004174A6"/>
    <w:rsid w:val="004175EB"/>
    <w:rsid w:val="004176CD"/>
    <w:rsid w:val="00417913"/>
    <w:rsid w:val="00420511"/>
    <w:rsid w:val="00420569"/>
    <w:rsid w:val="00420A99"/>
    <w:rsid w:val="00421030"/>
    <w:rsid w:val="00421A2B"/>
    <w:rsid w:val="00421DA9"/>
    <w:rsid w:val="00422184"/>
    <w:rsid w:val="004223F3"/>
    <w:rsid w:val="0042337F"/>
    <w:rsid w:val="004233E2"/>
    <w:rsid w:val="0042340B"/>
    <w:rsid w:val="004235B7"/>
    <w:rsid w:val="00423DE4"/>
    <w:rsid w:val="00423F4C"/>
    <w:rsid w:val="004242CB"/>
    <w:rsid w:val="00424705"/>
    <w:rsid w:val="0042542D"/>
    <w:rsid w:val="0042557A"/>
    <w:rsid w:val="00425A05"/>
    <w:rsid w:val="0042615D"/>
    <w:rsid w:val="0042629F"/>
    <w:rsid w:val="004262C5"/>
    <w:rsid w:val="0042641D"/>
    <w:rsid w:val="00426532"/>
    <w:rsid w:val="00426C41"/>
    <w:rsid w:val="00426F31"/>
    <w:rsid w:val="00427883"/>
    <w:rsid w:val="00427C03"/>
    <w:rsid w:val="00427C41"/>
    <w:rsid w:val="00427E30"/>
    <w:rsid w:val="00430398"/>
    <w:rsid w:val="00430406"/>
    <w:rsid w:val="00430446"/>
    <w:rsid w:val="00430663"/>
    <w:rsid w:val="00431162"/>
    <w:rsid w:val="00431245"/>
    <w:rsid w:val="004314AA"/>
    <w:rsid w:val="00431731"/>
    <w:rsid w:val="00431FA7"/>
    <w:rsid w:val="0043283B"/>
    <w:rsid w:val="004329A4"/>
    <w:rsid w:val="00432A6C"/>
    <w:rsid w:val="00432FBA"/>
    <w:rsid w:val="004331AD"/>
    <w:rsid w:val="00433571"/>
    <w:rsid w:val="004335D9"/>
    <w:rsid w:val="00433738"/>
    <w:rsid w:val="00433F6A"/>
    <w:rsid w:val="00434224"/>
    <w:rsid w:val="00434C4A"/>
    <w:rsid w:val="004351A6"/>
    <w:rsid w:val="004354EA"/>
    <w:rsid w:val="004356E2"/>
    <w:rsid w:val="00435AE4"/>
    <w:rsid w:val="00436532"/>
    <w:rsid w:val="00437552"/>
    <w:rsid w:val="004377D9"/>
    <w:rsid w:val="00437821"/>
    <w:rsid w:val="004400EA"/>
    <w:rsid w:val="00440538"/>
    <w:rsid w:val="004405DD"/>
    <w:rsid w:val="004406DA"/>
    <w:rsid w:val="00440981"/>
    <w:rsid w:val="00440C8F"/>
    <w:rsid w:val="00441DF2"/>
    <w:rsid w:val="00442AE9"/>
    <w:rsid w:val="004438FE"/>
    <w:rsid w:val="004439AA"/>
    <w:rsid w:val="004443ED"/>
    <w:rsid w:val="004446AD"/>
    <w:rsid w:val="00444ACB"/>
    <w:rsid w:val="00444B0F"/>
    <w:rsid w:val="00444F10"/>
    <w:rsid w:val="0044692A"/>
    <w:rsid w:val="00446CC5"/>
    <w:rsid w:val="0044730F"/>
    <w:rsid w:val="004476AE"/>
    <w:rsid w:val="00447BD2"/>
    <w:rsid w:val="00447C1D"/>
    <w:rsid w:val="00447C4E"/>
    <w:rsid w:val="004501BF"/>
    <w:rsid w:val="004502EA"/>
    <w:rsid w:val="00450300"/>
    <w:rsid w:val="00450789"/>
    <w:rsid w:val="004509A9"/>
    <w:rsid w:val="00450B39"/>
    <w:rsid w:val="00450E6C"/>
    <w:rsid w:val="0045142B"/>
    <w:rsid w:val="0045150E"/>
    <w:rsid w:val="0045165E"/>
    <w:rsid w:val="00451680"/>
    <w:rsid w:val="004525F5"/>
    <w:rsid w:val="0045306F"/>
    <w:rsid w:val="0045376D"/>
    <w:rsid w:val="0045396F"/>
    <w:rsid w:val="00453CA4"/>
    <w:rsid w:val="00453EC7"/>
    <w:rsid w:val="004540BF"/>
    <w:rsid w:val="004542C3"/>
    <w:rsid w:val="00454365"/>
    <w:rsid w:val="004543B2"/>
    <w:rsid w:val="00454C99"/>
    <w:rsid w:val="00455633"/>
    <w:rsid w:val="00455E2C"/>
    <w:rsid w:val="00456206"/>
    <w:rsid w:val="00456483"/>
    <w:rsid w:val="00456B4E"/>
    <w:rsid w:val="00460023"/>
    <w:rsid w:val="004604A1"/>
    <w:rsid w:val="00460540"/>
    <w:rsid w:val="0046074A"/>
    <w:rsid w:val="00461158"/>
    <w:rsid w:val="0046125F"/>
    <w:rsid w:val="004615C3"/>
    <w:rsid w:val="00461B50"/>
    <w:rsid w:val="0046244B"/>
    <w:rsid w:val="004624E4"/>
    <w:rsid w:val="00462D7A"/>
    <w:rsid w:val="0046305C"/>
    <w:rsid w:val="00463109"/>
    <w:rsid w:val="00463127"/>
    <w:rsid w:val="004635D8"/>
    <w:rsid w:val="00464314"/>
    <w:rsid w:val="00464487"/>
    <w:rsid w:val="004648CA"/>
    <w:rsid w:val="00464B98"/>
    <w:rsid w:val="00464D01"/>
    <w:rsid w:val="00464E5D"/>
    <w:rsid w:val="00465736"/>
    <w:rsid w:val="00465A8F"/>
    <w:rsid w:val="00465B78"/>
    <w:rsid w:val="0046668D"/>
    <w:rsid w:val="00466735"/>
    <w:rsid w:val="004668C9"/>
    <w:rsid w:val="004673AC"/>
    <w:rsid w:val="0046763A"/>
    <w:rsid w:val="00467661"/>
    <w:rsid w:val="004677A4"/>
    <w:rsid w:val="00467AA3"/>
    <w:rsid w:val="004706B3"/>
    <w:rsid w:val="00470E7D"/>
    <w:rsid w:val="0047142C"/>
    <w:rsid w:val="0047189B"/>
    <w:rsid w:val="004718BD"/>
    <w:rsid w:val="00471CD0"/>
    <w:rsid w:val="0047221F"/>
    <w:rsid w:val="004724B5"/>
    <w:rsid w:val="00472F5C"/>
    <w:rsid w:val="0047311C"/>
    <w:rsid w:val="0047442C"/>
    <w:rsid w:val="00474C12"/>
    <w:rsid w:val="00474C70"/>
    <w:rsid w:val="00474C8A"/>
    <w:rsid w:val="00474FBA"/>
    <w:rsid w:val="004759A4"/>
    <w:rsid w:val="00475BDC"/>
    <w:rsid w:val="00476089"/>
    <w:rsid w:val="004763E0"/>
    <w:rsid w:val="00476F69"/>
    <w:rsid w:val="00477478"/>
    <w:rsid w:val="00477C7F"/>
    <w:rsid w:val="00477EB5"/>
    <w:rsid w:val="004800ED"/>
    <w:rsid w:val="004801AA"/>
    <w:rsid w:val="0048069F"/>
    <w:rsid w:val="004807F9"/>
    <w:rsid w:val="00482037"/>
    <w:rsid w:val="0048373E"/>
    <w:rsid w:val="004839BD"/>
    <w:rsid w:val="00483C29"/>
    <w:rsid w:val="00483F0E"/>
    <w:rsid w:val="00484EA7"/>
    <w:rsid w:val="0048538E"/>
    <w:rsid w:val="004857E7"/>
    <w:rsid w:val="00485A0D"/>
    <w:rsid w:val="00485AB7"/>
    <w:rsid w:val="00485DEA"/>
    <w:rsid w:val="004860F2"/>
    <w:rsid w:val="00486141"/>
    <w:rsid w:val="004869C8"/>
    <w:rsid w:val="00486F4A"/>
    <w:rsid w:val="0048708F"/>
    <w:rsid w:val="004879C9"/>
    <w:rsid w:val="00487B5A"/>
    <w:rsid w:val="004902C8"/>
    <w:rsid w:val="00490729"/>
    <w:rsid w:val="004908BA"/>
    <w:rsid w:val="004908EE"/>
    <w:rsid w:val="004909B1"/>
    <w:rsid w:val="00490CD4"/>
    <w:rsid w:val="004913AA"/>
    <w:rsid w:val="004913D9"/>
    <w:rsid w:val="004920E8"/>
    <w:rsid w:val="004923D2"/>
    <w:rsid w:val="004923F0"/>
    <w:rsid w:val="00492548"/>
    <w:rsid w:val="00492766"/>
    <w:rsid w:val="0049287F"/>
    <w:rsid w:val="00492AFD"/>
    <w:rsid w:val="0049327C"/>
    <w:rsid w:val="0049386A"/>
    <w:rsid w:val="004954E7"/>
    <w:rsid w:val="00495D5D"/>
    <w:rsid w:val="00495F7D"/>
    <w:rsid w:val="00496CFB"/>
    <w:rsid w:val="004971B3"/>
    <w:rsid w:val="004974FA"/>
    <w:rsid w:val="004976E8"/>
    <w:rsid w:val="00497E33"/>
    <w:rsid w:val="004A0262"/>
    <w:rsid w:val="004A07FC"/>
    <w:rsid w:val="004A0A43"/>
    <w:rsid w:val="004A0B90"/>
    <w:rsid w:val="004A0C87"/>
    <w:rsid w:val="004A0CF9"/>
    <w:rsid w:val="004A0F5D"/>
    <w:rsid w:val="004A1002"/>
    <w:rsid w:val="004A1610"/>
    <w:rsid w:val="004A1E52"/>
    <w:rsid w:val="004A1F99"/>
    <w:rsid w:val="004A2796"/>
    <w:rsid w:val="004A29F8"/>
    <w:rsid w:val="004A33EB"/>
    <w:rsid w:val="004A34C8"/>
    <w:rsid w:val="004A3A86"/>
    <w:rsid w:val="004A3E14"/>
    <w:rsid w:val="004A3F7A"/>
    <w:rsid w:val="004A42B8"/>
    <w:rsid w:val="004A4D9A"/>
    <w:rsid w:val="004A4F5E"/>
    <w:rsid w:val="004A5386"/>
    <w:rsid w:val="004A6899"/>
    <w:rsid w:val="004A7229"/>
    <w:rsid w:val="004B0180"/>
    <w:rsid w:val="004B0380"/>
    <w:rsid w:val="004B05A7"/>
    <w:rsid w:val="004B08CA"/>
    <w:rsid w:val="004B0A91"/>
    <w:rsid w:val="004B116A"/>
    <w:rsid w:val="004B1455"/>
    <w:rsid w:val="004B1822"/>
    <w:rsid w:val="004B1F4D"/>
    <w:rsid w:val="004B2298"/>
    <w:rsid w:val="004B2E52"/>
    <w:rsid w:val="004B2F30"/>
    <w:rsid w:val="004B3F6A"/>
    <w:rsid w:val="004B4471"/>
    <w:rsid w:val="004B4AC4"/>
    <w:rsid w:val="004B4E93"/>
    <w:rsid w:val="004B4EAF"/>
    <w:rsid w:val="004B4EFF"/>
    <w:rsid w:val="004B57FB"/>
    <w:rsid w:val="004B5E1E"/>
    <w:rsid w:val="004B66A1"/>
    <w:rsid w:val="004B6941"/>
    <w:rsid w:val="004B7613"/>
    <w:rsid w:val="004C04D1"/>
    <w:rsid w:val="004C0572"/>
    <w:rsid w:val="004C1234"/>
    <w:rsid w:val="004C1B20"/>
    <w:rsid w:val="004C1CE1"/>
    <w:rsid w:val="004C1E29"/>
    <w:rsid w:val="004C2277"/>
    <w:rsid w:val="004C3911"/>
    <w:rsid w:val="004C3B02"/>
    <w:rsid w:val="004C3EA5"/>
    <w:rsid w:val="004C4982"/>
    <w:rsid w:val="004C4A07"/>
    <w:rsid w:val="004C4B12"/>
    <w:rsid w:val="004C4BB8"/>
    <w:rsid w:val="004C4BEF"/>
    <w:rsid w:val="004C4CCE"/>
    <w:rsid w:val="004C4D6C"/>
    <w:rsid w:val="004C6B30"/>
    <w:rsid w:val="004C7052"/>
    <w:rsid w:val="004C742C"/>
    <w:rsid w:val="004C7494"/>
    <w:rsid w:val="004C76E2"/>
    <w:rsid w:val="004C788D"/>
    <w:rsid w:val="004C7B43"/>
    <w:rsid w:val="004D1B55"/>
    <w:rsid w:val="004D1B86"/>
    <w:rsid w:val="004D2089"/>
    <w:rsid w:val="004D27FE"/>
    <w:rsid w:val="004D4173"/>
    <w:rsid w:val="004D41BA"/>
    <w:rsid w:val="004D442C"/>
    <w:rsid w:val="004D5459"/>
    <w:rsid w:val="004D5998"/>
    <w:rsid w:val="004D5F65"/>
    <w:rsid w:val="004D6C00"/>
    <w:rsid w:val="004D6C97"/>
    <w:rsid w:val="004D6F32"/>
    <w:rsid w:val="004D7BB0"/>
    <w:rsid w:val="004E04D7"/>
    <w:rsid w:val="004E0796"/>
    <w:rsid w:val="004E0A11"/>
    <w:rsid w:val="004E13C2"/>
    <w:rsid w:val="004E1A1B"/>
    <w:rsid w:val="004E1C77"/>
    <w:rsid w:val="004E2285"/>
    <w:rsid w:val="004E33C3"/>
    <w:rsid w:val="004E3A33"/>
    <w:rsid w:val="004E4477"/>
    <w:rsid w:val="004E4613"/>
    <w:rsid w:val="004E4F3B"/>
    <w:rsid w:val="004E5763"/>
    <w:rsid w:val="004E5C6F"/>
    <w:rsid w:val="004E5C8C"/>
    <w:rsid w:val="004E6010"/>
    <w:rsid w:val="004E6C53"/>
    <w:rsid w:val="004E6D57"/>
    <w:rsid w:val="004E6E2C"/>
    <w:rsid w:val="004E7815"/>
    <w:rsid w:val="004E7DDF"/>
    <w:rsid w:val="004F009F"/>
    <w:rsid w:val="004F043C"/>
    <w:rsid w:val="004F052E"/>
    <w:rsid w:val="004F09A9"/>
    <w:rsid w:val="004F1466"/>
    <w:rsid w:val="004F1853"/>
    <w:rsid w:val="004F1992"/>
    <w:rsid w:val="004F19D0"/>
    <w:rsid w:val="004F26B2"/>
    <w:rsid w:val="004F2B3B"/>
    <w:rsid w:val="004F2BC0"/>
    <w:rsid w:val="004F3F66"/>
    <w:rsid w:val="004F46E5"/>
    <w:rsid w:val="004F5014"/>
    <w:rsid w:val="004F50D8"/>
    <w:rsid w:val="004F551F"/>
    <w:rsid w:val="004F5AEC"/>
    <w:rsid w:val="004F5E4D"/>
    <w:rsid w:val="004F636E"/>
    <w:rsid w:val="004F684D"/>
    <w:rsid w:val="004F7234"/>
    <w:rsid w:val="004F7453"/>
    <w:rsid w:val="004F766D"/>
    <w:rsid w:val="004F798D"/>
    <w:rsid w:val="004F7AAE"/>
    <w:rsid w:val="005000B0"/>
    <w:rsid w:val="00500123"/>
    <w:rsid w:val="00500488"/>
    <w:rsid w:val="005007B5"/>
    <w:rsid w:val="00500E5B"/>
    <w:rsid w:val="005016D6"/>
    <w:rsid w:val="00502852"/>
    <w:rsid w:val="005028CF"/>
    <w:rsid w:val="00502EC0"/>
    <w:rsid w:val="00502EE5"/>
    <w:rsid w:val="00503A2B"/>
    <w:rsid w:val="00503A4A"/>
    <w:rsid w:val="00503A88"/>
    <w:rsid w:val="00503AFE"/>
    <w:rsid w:val="00504C51"/>
    <w:rsid w:val="00505392"/>
    <w:rsid w:val="00505541"/>
    <w:rsid w:val="00505545"/>
    <w:rsid w:val="005055C1"/>
    <w:rsid w:val="00505B80"/>
    <w:rsid w:val="00506036"/>
    <w:rsid w:val="00506154"/>
    <w:rsid w:val="0050622C"/>
    <w:rsid w:val="005062C9"/>
    <w:rsid w:val="00506441"/>
    <w:rsid w:val="005070E0"/>
    <w:rsid w:val="00507785"/>
    <w:rsid w:val="00507A7B"/>
    <w:rsid w:val="00507BF9"/>
    <w:rsid w:val="005101A5"/>
    <w:rsid w:val="00510281"/>
    <w:rsid w:val="005103AA"/>
    <w:rsid w:val="00510823"/>
    <w:rsid w:val="005109F3"/>
    <w:rsid w:val="005110AA"/>
    <w:rsid w:val="00511131"/>
    <w:rsid w:val="00511151"/>
    <w:rsid w:val="00512330"/>
    <w:rsid w:val="005125B0"/>
    <w:rsid w:val="00512648"/>
    <w:rsid w:val="005143CD"/>
    <w:rsid w:val="00514ED8"/>
    <w:rsid w:val="005157E5"/>
    <w:rsid w:val="005159DA"/>
    <w:rsid w:val="00515B6B"/>
    <w:rsid w:val="00515EDA"/>
    <w:rsid w:val="005169FD"/>
    <w:rsid w:val="00516BDD"/>
    <w:rsid w:val="00517230"/>
    <w:rsid w:val="005174E3"/>
    <w:rsid w:val="00517E38"/>
    <w:rsid w:val="005204DA"/>
    <w:rsid w:val="00520AA7"/>
    <w:rsid w:val="00520BE3"/>
    <w:rsid w:val="00520F46"/>
    <w:rsid w:val="00520F99"/>
    <w:rsid w:val="005215A3"/>
    <w:rsid w:val="005218A9"/>
    <w:rsid w:val="00521E46"/>
    <w:rsid w:val="00522157"/>
    <w:rsid w:val="00523712"/>
    <w:rsid w:val="00523B55"/>
    <w:rsid w:val="005245C2"/>
    <w:rsid w:val="00524720"/>
    <w:rsid w:val="00524D57"/>
    <w:rsid w:val="00525587"/>
    <w:rsid w:val="00525F8E"/>
    <w:rsid w:val="00526236"/>
    <w:rsid w:val="005265B8"/>
    <w:rsid w:val="005266BF"/>
    <w:rsid w:val="005268A0"/>
    <w:rsid w:val="005269EC"/>
    <w:rsid w:val="005270B3"/>
    <w:rsid w:val="005279C8"/>
    <w:rsid w:val="00527D65"/>
    <w:rsid w:val="00530448"/>
    <w:rsid w:val="00530E54"/>
    <w:rsid w:val="00530E91"/>
    <w:rsid w:val="00530F14"/>
    <w:rsid w:val="0053127F"/>
    <w:rsid w:val="005317D9"/>
    <w:rsid w:val="00531866"/>
    <w:rsid w:val="00531C8C"/>
    <w:rsid w:val="00531CB5"/>
    <w:rsid w:val="00532026"/>
    <w:rsid w:val="00532121"/>
    <w:rsid w:val="005326A4"/>
    <w:rsid w:val="00532CCE"/>
    <w:rsid w:val="00533775"/>
    <w:rsid w:val="005339E8"/>
    <w:rsid w:val="00533DDB"/>
    <w:rsid w:val="005345C8"/>
    <w:rsid w:val="00534AE2"/>
    <w:rsid w:val="00535060"/>
    <w:rsid w:val="00535291"/>
    <w:rsid w:val="00535848"/>
    <w:rsid w:val="00535EB4"/>
    <w:rsid w:val="005378A2"/>
    <w:rsid w:val="00537CF7"/>
    <w:rsid w:val="00537CFA"/>
    <w:rsid w:val="00537D3B"/>
    <w:rsid w:val="00537E79"/>
    <w:rsid w:val="00540471"/>
    <w:rsid w:val="005406EE"/>
    <w:rsid w:val="00540756"/>
    <w:rsid w:val="00540ECD"/>
    <w:rsid w:val="00541033"/>
    <w:rsid w:val="005414BD"/>
    <w:rsid w:val="005414FF"/>
    <w:rsid w:val="00542592"/>
    <w:rsid w:val="00542D6F"/>
    <w:rsid w:val="0054398B"/>
    <w:rsid w:val="00544DEE"/>
    <w:rsid w:val="005450A5"/>
    <w:rsid w:val="00547821"/>
    <w:rsid w:val="005478EC"/>
    <w:rsid w:val="00547D9E"/>
    <w:rsid w:val="00547F02"/>
    <w:rsid w:val="00547FD4"/>
    <w:rsid w:val="005504B9"/>
    <w:rsid w:val="005504F5"/>
    <w:rsid w:val="00550C88"/>
    <w:rsid w:val="00550FBE"/>
    <w:rsid w:val="005513DE"/>
    <w:rsid w:val="00551528"/>
    <w:rsid w:val="005523C5"/>
    <w:rsid w:val="005523E1"/>
    <w:rsid w:val="00552593"/>
    <w:rsid w:val="0055278E"/>
    <w:rsid w:val="0055292A"/>
    <w:rsid w:val="005529B6"/>
    <w:rsid w:val="00553075"/>
    <w:rsid w:val="00553220"/>
    <w:rsid w:val="00553578"/>
    <w:rsid w:val="00553C47"/>
    <w:rsid w:val="005540D7"/>
    <w:rsid w:val="005543C5"/>
    <w:rsid w:val="005554C8"/>
    <w:rsid w:val="00555687"/>
    <w:rsid w:val="00555967"/>
    <w:rsid w:val="00555E7C"/>
    <w:rsid w:val="005562DD"/>
    <w:rsid w:val="0055644C"/>
    <w:rsid w:val="00556907"/>
    <w:rsid w:val="0055703F"/>
    <w:rsid w:val="00557105"/>
    <w:rsid w:val="00557319"/>
    <w:rsid w:val="00557446"/>
    <w:rsid w:val="005574E9"/>
    <w:rsid w:val="005601A9"/>
    <w:rsid w:val="00560263"/>
    <w:rsid w:val="005607D0"/>
    <w:rsid w:val="00560ACF"/>
    <w:rsid w:val="00560FCC"/>
    <w:rsid w:val="00561C75"/>
    <w:rsid w:val="00562B42"/>
    <w:rsid w:val="00562C50"/>
    <w:rsid w:val="00563070"/>
    <w:rsid w:val="00563164"/>
    <w:rsid w:val="0056353B"/>
    <w:rsid w:val="0056410F"/>
    <w:rsid w:val="00565179"/>
    <w:rsid w:val="00565227"/>
    <w:rsid w:val="00565443"/>
    <w:rsid w:val="00565452"/>
    <w:rsid w:val="005654EA"/>
    <w:rsid w:val="005654FB"/>
    <w:rsid w:val="00565CC7"/>
    <w:rsid w:val="0056637C"/>
    <w:rsid w:val="005665DD"/>
    <w:rsid w:val="005665FB"/>
    <w:rsid w:val="00566A82"/>
    <w:rsid w:val="00566BB4"/>
    <w:rsid w:val="00566E7B"/>
    <w:rsid w:val="00566F9A"/>
    <w:rsid w:val="00567055"/>
    <w:rsid w:val="005672A8"/>
    <w:rsid w:val="005675C2"/>
    <w:rsid w:val="00567621"/>
    <w:rsid w:val="0056792B"/>
    <w:rsid w:val="0056794B"/>
    <w:rsid w:val="005700F4"/>
    <w:rsid w:val="005703E7"/>
    <w:rsid w:val="005708EA"/>
    <w:rsid w:val="0057184C"/>
    <w:rsid w:val="00571A5B"/>
    <w:rsid w:val="00571D89"/>
    <w:rsid w:val="00571E38"/>
    <w:rsid w:val="00572437"/>
    <w:rsid w:val="00572481"/>
    <w:rsid w:val="00572A58"/>
    <w:rsid w:val="00572DE1"/>
    <w:rsid w:val="005730C8"/>
    <w:rsid w:val="005731DC"/>
    <w:rsid w:val="005734BB"/>
    <w:rsid w:val="00573A5D"/>
    <w:rsid w:val="00573BFC"/>
    <w:rsid w:val="00574088"/>
    <w:rsid w:val="005741D8"/>
    <w:rsid w:val="0057427A"/>
    <w:rsid w:val="00574299"/>
    <w:rsid w:val="005744AF"/>
    <w:rsid w:val="0057477E"/>
    <w:rsid w:val="0057490A"/>
    <w:rsid w:val="00574F69"/>
    <w:rsid w:val="005755B0"/>
    <w:rsid w:val="00575706"/>
    <w:rsid w:val="00575DA9"/>
    <w:rsid w:val="005760C5"/>
    <w:rsid w:val="005767B8"/>
    <w:rsid w:val="00576AB9"/>
    <w:rsid w:val="00576C08"/>
    <w:rsid w:val="00576F56"/>
    <w:rsid w:val="0057704F"/>
    <w:rsid w:val="0057787F"/>
    <w:rsid w:val="00577D9E"/>
    <w:rsid w:val="00577DB5"/>
    <w:rsid w:val="0058070C"/>
    <w:rsid w:val="0058085B"/>
    <w:rsid w:val="0058088B"/>
    <w:rsid w:val="00580B6B"/>
    <w:rsid w:val="00580C7E"/>
    <w:rsid w:val="00580FA2"/>
    <w:rsid w:val="00581275"/>
    <w:rsid w:val="00581515"/>
    <w:rsid w:val="00581C45"/>
    <w:rsid w:val="00581D87"/>
    <w:rsid w:val="00581F1F"/>
    <w:rsid w:val="005821FD"/>
    <w:rsid w:val="00582696"/>
    <w:rsid w:val="00582918"/>
    <w:rsid w:val="00582E19"/>
    <w:rsid w:val="00582F3C"/>
    <w:rsid w:val="005837F6"/>
    <w:rsid w:val="00583EFB"/>
    <w:rsid w:val="0058479C"/>
    <w:rsid w:val="00585B78"/>
    <w:rsid w:val="00585F50"/>
    <w:rsid w:val="00586131"/>
    <w:rsid w:val="00587891"/>
    <w:rsid w:val="005878DC"/>
    <w:rsid w:val="005878EE"/>
    <w:rsid w:val="00587B6A"/>
    <w:rsid w:val="00587DB5"/>
    <w:rsid w:val="00591028"/>
    <w:rsid w:val="00591422"/>
    <w:rsid w:val="00591501"/>
    <w:rsid w:val="00591976"/>
    <w:rsid w:val="00592121"/>
    <w:rsid w:val="0059323C"/>
    <w:rsid w:val="005937F8"/>
    <w:rsid w:val="00593D7E"/>
    <w:rsid w:val="005944AC"/>
    <w:rsid w:val="005946DA"/>
    <w:rsid w:val="00594797"/>
    <w:rsid w:val="00594D2F"/>
    <w:rsid w:val="005950F1"/>
    <w:rsid w:val="00595F3F"/>
    <w:rsid w:val="00596047"/>
    <w:rsid w:val="005960CB"/>
    <w:rsid w:val="00596248"/>
    <w:rsid w:val="00596686"/>
    <w:rsid w:val="00596F8F"/>
    <w:rsid w:val="005977DB"/>
    <w:rsid w:val="00597A0D"/>
    <w:rsid w:val="005A02A9"/>
    <w:rsid w:val="005A0555"/>
    <w:rsid w:val="005A0A3B"/>
    <w:rsid w:val="005A0EED"/>
    <w:rsid w:val="005A10C8"/>
    <w:rsid w:val="005A1129"/>
    <w:rsid w:val="005A13AE"/>
    <w:rsid w:val="005A1520"/>
    <w:rsid w:val="005A1909"/>
    <w:rsid w:val="005A1A39"/>
    <w:rsid w:val="005A2180"/>
    <w:rsid w:val="005A2483"/>
    <w:rsid w:val="005A2A43"/>
    <w:rsid w:val="005A2B28"/>
    <w:rsid w:val="005A359D"/>
    <w:rsid w:val="005A3640"/>
    <w:rsid w:val="005A3ED5"/>
    <w:rsid w:val="005A3F9A"/>
    <w:rsid w:val="005A408A"/>
    <w:rsid w:val="005A4216"/>
    <w:rsid w:val="005A44D2"/>
    <w:rsid w:val="005A47BE"/>
    <w:rsid w:val="005A4CC4"/>
    <w:rsid w:val="005A4DC7"/>
    <w:rsid w:val="005A4DFB"/>
    <w:rsid w:val="005A5144"/>
    <w:rsid w:val="005A564C"/>
    <w:rsid w:val="005A59C1"/>
    <w:rsid w:val="005A60DE"/>
    <w:rsid w:val="005A61FB"/>
    <w:rsid w:val="005A687A"/>
    <w:rsid w:val="005A6B3D"/>
    <w:rsid w:val="005A6D96"/>
    <w:rsid w:val="005A7ABB"/>
    <w:rsid w:val="005A7C09"/>
    <w:rsid w:val="005B000C"/>
    <w:rsid w:val="005B05F4"/>
    <w:rsid w:val="005B0621"/>
    <w:rsid w:val="005B0A9A"/>
    <w:rsid w:val="005B10B8"/>
    <w:rsid w:val="005B2DC5"/>
    <w:rsid w:val="005B3167"/>
    <w:rsid w:val="005B34A1"/>
    <w:rsid w:val="005B37C9"/>
    <w:rsid w:val="005B3D57"/>
    <w:rsid w:val="005B4FEA"/>
    <w:rsid w:val="005B52DD"/>
    <w:rsid w:val="005B538B"/>
    <w:rsid w:val="005B5A26"/>
    <w:rsid w:val="005B5CDE"/>
    <w:rsid w:val="005B5ED6"/>
    <w:rsid w:val="005B6674"/>
    <w:rsid w:val="005B75CB"/>
    <w:rsid w:val="005C106B"/>
    <w:rsid w:val="005C149F"/>
    <w:rsid w:val="005C25C7"/>
    <w:rsid w:val="005C29F4"/>
    <w:rsid w:val="005C3164"/>
    <w:rsid w:val="005C3341"/>
    <w:rsid w:val="005C3B83"/>
    <w:rsid w:val="005C3FFF"/>
    <w:rsid w:val="005C40D2"/>
    <w:rsid w:val="005C416F"/>
    <w:rsid w:val="005C41C4"/>
    <w:rsid w:val="005C41E7"/>
    <w:rsid w:val="005C565B"/>
    <w:rsid w:val="005C5AB9"/>
    <w:rsid w:val="005C6596"/>
    <w:rsid w:val="005C68EF"/>
    <w:rsid w:val="005C6CBB"/>
    <w:rsid w:val="005C7891"/>
    <w:rsid w:val="005C7C7F"/>
    <w:rsid w:val="005D0030"/>
    <w:rsid w:val="005D0087"/>
    <w:rsid w:val="005D05E3"/>
    <w:rsid w:val="005D0FB1"/>
    <w:rsid w:val="005D1381"/>
    <w:rsid w:val="005D23F6"/>
    <w:rsid w:val="005D2899"/>
    <w:rsid w:val="005D2B29"/>
    <w:rsid w:val="005D2E91"/>
    <w:rsid w:val="005D304C"/>
    <w:rsid w:val="005D337C"/>
    <w:rsid w:val="005D351E"/>
    <w:rsid w:val="005D3AD6"/>
    <w:rsid w:val="005D3F71"/>
    <w:rsid w:val="005D42E5"/>
    <w:rsid w:val="005D4347"/>
    <w:rsid w:val="005D496D"/>
    <w:rsid w:val="005D4DE9"/>
    <w:rsid w:val="005D58C1"/>
    <w:rsid w:val="005D5928"/>
    <w:rsid w:val="005D5DA4"/>
    <w:rsid w:val="005D6A0E"/>
    <w:rsid w:val="005D6C3A"/>
    <w:rsid w:val="005D78E5"/>
    <w:rsid w:val="005E025A"/>
    <w:rsid w:val="005E09A3"/>
    <w:rsid w:val="005E0B00"/>
    <w:rsid w:val="005E0B81"/>
    <w:rsid w:val="005E0DB8"/>
    <w:rsid w:val="005E0F29"/>
    <w:rsid w:val="005E14E5"/>
    <w:rsid w:val="005E1738"/>
    <w:rsid w:val="005E29C2"/>
    <w:rsid w:val="005E30C2"/>
    <w:rsid w:val="005E33E9"/>
    <w:rsid w:val="005E46C1"/>
    <w:rsid w:val="005E5825"/>
    <w:rsid w:val="005E5D6A"/>
    <w:rsid w:val="005E5D7E"/>
    <w:rsid w:val="005E6005"/>
    <w:rsid w:val="005E622F"/>
    <w:rsid w:val="005E6353"/>
    <w:rsid w:val="005E698A"/>
    <w:rsid w:val="005E7296"/>
    <w:rsid w:val="005F0C9E"/>
    <w:rsid w:val="005F0D2C"/>
    <w:rsid w:val="005F13C4"/>
    <w:rsid w:val="005F13D2"/>
    <w:rsid w:val="005F1BB9"/>
    <w:rsid w:val="005F26C6"/>
    <w:rsid w:val="005F275A"/>
    <w:rsid w:val="005F278B"/>
    <w:rsid w:val="005F284F"/>
    <w:rsid w:val="005F2BFE"/>
    <w:rsid w:val="005F2D0E"/>
    <w:rsid w:val="005F2F0E"/>
    <w:rsid w:val="005F329D"/>
    <w:rsid w:val="005F33CD"/>
    <w:rsid w:val="005F38FB"/>
    <w:rsid w:val="005F41B3"/>
    <w:rsid w:val="005F472E"/>
    <w:rsid w:val="005F4F37"/>
    <w:rsid w:val="005F54CE"/>
    <w:rsid w:val="005F562A"/>
    <w:rsid w:val="005F58E2"/>
    <w:rsid w:val="005F5A70"/>
    <w:rsid w:val="005F5DE2"/>
    <w:rsid w:val="005F5EFD"/>
    <w:rsid w:val="005F5F9D"/>
    <w:rsid w:val="005F6088"/>
    <w:rsid w:val="005F6B39"/>
    <w:rsid w:val="005F6CDF"/>
    <w:rsid w:val="005F6EB6"/>
    <w:rsid w:val="005F778E"/>
    <w:rsid w:val="005F7AF9"/>
    <w:rsid w:val="00600388"/>
    <w:rsid w:val="00600E38"/>
    <w:rsid w:val="00600F97"/>
    <w:rsid w:val="0060132F"/>
    <w:rsid w:val="00601540"/>
    <w:rsid w:val="00601712"/>
    <w:rsid w:val="00601B46"/>
    <w:rsid w:val="00602174"/>
    <w:rsid w:val="00602AE3"/>
    <w:rsid w:val="00602DE6"/>
    <w:rsid w:val="00602E63"/>
    <w:rsid w:val="00603703"/>
    <w:rsid w:val="00603884"/>
    <w:rsid w:val="0060391A"/>
    <w:rsid w:val="00603972"/>
    <w:rsid w:val="00603BC8"/>
    <w:rsid w:val="00603BFD"/>
    <w:rsid w:val="00603CD2"/>
    <w:rsid w:val="00603DF3"/>
    <w:rsid w:val="00603E32"/>
    <w:rsid w:val="00604870"/>
    <w:rsid w:val="00604C0F"/>
    <w:rsid w:val="00605136"/>
    <w:rsid w:val="006054D2"/>
    <w:rsid w:val="00605577"/>
    <w:rsid w:val="00605824"/>
    <w:rsid w:val="00605A41"/>
    <w:rsid w:val="00605C18"/>
    <w:rsid w:val="00605DB6"/>
    <w:rsid w:val="006060BC"/>
    <w:rsid w:val="006064C5"/>
    <w:rsid w:val="006065E2"/>
    <w:rsid w:val="006069EF"/>
    <w:rsid w:val="00607668"/>
    <w:rsid w:val="00607924"/>
    <w:rsid w:val="00607AB3"/>
    <w:rsid w:val="00607C10"/>
    <w:rsid w:val="006100AF"/>
    <w:rsid w:val="00610A64"/>
    <w:rsid w:val="00610D02"/>
    <w:rsid w:val="006110D1"/>
    <w:rsid w:val="00611C0A"/>
    <w:rsid w:val="006124F7"/>
    <w:rsid w:val="00612729"/>
    <w:rsid w:val="0061299D"/>
    <w:rsid w:val="00612C67"/>
    <w:rsid w:val="00612F20"/>
    <w:rsid w:val="006132C9"/>
    <w:rsid w:val="0061349D"/>
    <w:rsid w:val="006138D2"/>
    <w:rsid w:val="00613AB1"/>
    <w:rsid w:val="00613D88"/>
    <w:rsid w:val="00613E9D"/>
    <w:rsid w:val="006143CE"/>
    <w:rsid w:val="0061497F"/>
    <w:rsid w:val="00614A52"/>
    <w:rsid w:val="00614DE7"/>
    <w:rsid w:val="00614F3E"/>
    <w:rsid w:val="006155AD"/>
    <w:rsid w:val="00615926"/>
    <w:rsid w:val="00615941"/>
    <w:rsid w:val="00615A57"/>
    <w:rsid w:val="0061607F"/>
    <w:rsid w:val="006162A6"/>
    <w:rsid w:val="006162D3"/>
    <w:rsid w:val="006167AC"/>
    <w:rsid w:val="006168AE"/>
    <w:rsid w:val="00616CCA"/>
    <w:rsid w:val="00616EA9"/>
    <w:rsid w:val="00617196"/>
    <w:rsid w:val="00617827"/>
    <w:rsid w:val="006201C2"/>
    <w:rsid w:val="006207EC"/>
    <w:rsid w:val="00620B19"/>
    <w:rsid w:val="00620D41"/>
    <w:rsid w:val="006211E2"/>
    <w:rsid w:val="00621A27"/>
    <w:rsid w:val="0062200C"/>
    <w:rsid w:val="006223AE"/>
    <w:rsid w:val="00622C2C"/>
    <w:rsid w:val="00622CFA"/>
    <w:rsid w:val="00622E42"/>
    <w:rsid w:val="00622F38"/>
    <w:rsid w:val="006236C8"/>
    <w:rsid w:val="00623763"/>
    <w:rsid w:val="00623AEB"/>
    <w:rsid w:val="00623B2D"/>
    <w:rsid w:val="00623ED5"/>
    <w:rsid w:val="006240FC"/>
    <w:rsid w:val="00624A1E"/>
    <w:rsid w:val="00624B5A"/>
    <w:rsid w:val="00625224"/>
    <w:rsid w:val="00625B32"/>
    <w:rsid w:val="00625BC5"/>
    <w:rsid w:val="0062633E"/>
    <w:rsid w:val="00626BBE"/>
    <w:rsid w:val="00626C53"/>
    <w:rsid w:val="0062748F"/>
    <w:rsid w:val="0062760D"/>
    <w:rsid w:val="00627D7C"/>
    <w:rsid w:val="00630A0D"/>
    <w:rsid w:val="00630AD8"/>
    <w:rsid w:val="00631118"/>
    <w:rsid w:val="00631329"/>
    <w:rsid w:val="0063157A"/>
    <w:rsid w:val="00631DDC"/>
    <w:rsid w:val="00631DDF"/>
    <w:rsid w:val="006323A8"/>
    <w:rsid w:val="00632A08"/>
    <w:rsid w:val="00632FD4"/>
    <w:rsid w:val="00633169"/>
    <w:rsid w:val="006331EB"/>
    <w:rsid w:val="00633A6D"/>
    <w:rsid w:val="00633F6E"/>
    <w:rsid w:val="006340B7"/>
    <w:rsid w:val="00634707"/>
    <w:rsid w:val="00635143"/>
    <w:rsid w:val="0063525B"/>
    <w:rsid w:val="00636FDF"/>
    <w:rsid w:val="00637092"/>
    <w:rsid w:val="006371AA"/>
    <w:rsid w:val="00637388"/>
    <w:rsid w:val="00640A1A"/>
    <w:rsid w:val="00640D0F"/>
    <w:rsid w:val="00640D63"/>
    <w:rsid w:val="00641005"/>
    <w:rsid w:val="006411C1"/>
    <w:rsid w:val="00641331"/>
    <w:rsid w:val="006413F8"/>
    <w:rsid w:val="0064174A"/>
    <w:rsid w:val="00642266"/>
    <w:rsid w:val="0064234A"/>
    <w:rsid w:val="00642352"/>
    <w:rsid w:val="0064258A"/>
    <w:rsid w:val="006425BA"/>
    <w:rsid w:val="0064299A"/>
    <w:rsid w:val="00642EA1"/>
    <w:rsid w:val="006434EF"/>
    <w:rsid w:val="0064410E"/>
    <w:rsid w:val="006444B4"/>
    <w:rsid w:val="00644884"/>
    <w:rsid w:val="00644AA4"/>
    <w:rsid w:val="00644AF3"/>
    <w:rsid w:val="0064522F"/>
    <w:rsid w:val="00645A51"/>
    <w:rsid w:val="00645E49"/>
    <w:rsid w:val="00646728"/>
    <w:rsid w:val="0064697C"/>
    <w:rsid w:val="00646CD3"/>
    <w:rsid w:val="0064724D"/>
    <w:rsid w:val="006475B9"/>
    <w:rsid w:val="006478DA"/>
    <w:rsid w:val="00647AEA"/>
    <w:rsid w:val="00647CCB"/>
    <w:rsid w:val="00647E26"/>
    <w:rsid w:val="00650313"/>
    <w:rsid w:val="006504E8"/>
    <w:rsid w:val="00650A98"/>
    <w:rsid w:val="00650D27"/>
    <w:rsid w:val="00651BE0"/>
    <w:rsid w:val="00652273"/>
    <w:rsid w:val="006535D0"/>
    <w:rsid w:val="006543FF"/>
    <w:rsid w:val="00654BF2"/>
    <w:rsid w:val="006552C3"/>
    <w:rsid w:val="0065542B"/>
    <w:rsid w:val="00655569"/>
    <w:rsid w:val="00655975"/>
    <w:rsid w:val="00655B3F"/>
    <w:rsid w:val="006562FF"/>
    <w:rsid w:val="00656587"/>
    <w:rsid w:val="00657172"/>
    <w:rsid w:val="00657771"/>
    <w:rsid w:val="0065786D"/>
    <w:rsid w:val="00660000"/>
    <w:rsid w:val="00660230"/>
    <w:rsid w:val="00661CFF"/>
    <w:rsid w:val="0066220D"/>
    <w:rsid w:val="00662566"/>
    <w:rsid w:val="006626FA"/>
    <w:rsid w:val="006636ED"/>
    <w:rsid w:val="00663876"/>
    <w:rsid w:val="0066395B"/>
    <w:rsid w:val="00664861"/>
    <w:rsid w:val="00664BF7"/>
    <w:rsid w:val="00665360"/>
    <w:rsid w:val="00665666"/>
    <w:rsid w:val="00665D5F"/>
    <w:rsid w:val="00665E60"/>
    <w:rsid w:val="00666364"/>
    <w:rsid w:val="006663DA"/>
    <w:rsid w:val="0066649E"/>
    <w:rsid w:val="006673EB"/>
    <w:rsid w:val="006675B5"/>
    <w:rsid w:val="006678AC"/>
    <w:rsid w:val="00667FD3"/>
    <w:rsid w:val="00670110"/>
    <w:rsid w:val="00670270"/>
    <w:rsid w:val="00670DA0"/>
    <w:rsid w:val="0067119C"/>
    <w:rsid w:val="0067168D"/>
    <w:rsid w:val="00671DE1"/>
    <w:rsid w:val="00671E6E"/>
    <w:rsid w:val="006720B5"/>
    <w:rsid w:val="006720CA"/>
    <w:rsid w:val="006725EE"/>
    <w:rsid w:val="00672A76"/>
    <w:rsid w:val="006733D9"/>
    <w:rsid w:val="006736EF"/>
    <w:rsid w:val="00673C94"/>
    <w:rsid w:val="00673E74"/>
    <w:rsid w:val="00673E7E"/>
    <w:rsid w:val="00674718"/>
    <w:rsid w:val="00674752"/>
    <w:rsid w:val="006747DB"/>
    <w:rsid w:val="00674984"/>
    <w:rsid w:val="00674CD3"/>
    <w:rsid w:val="00674E46"/>
    <w:rsid w:val="00675054"/>
    <w:rsid w:val="006752DB"/>
    <w:rsid w:val="00675860"/>
    <w:rsid w:val="00675E44"/>
    <w:rsid w:val="00676053"/>
    <w:rsid w:val="006760AD"/>
    <w:rsid w:val="00676127"/>
    <w:rsid w:val="00676142"/>
    <w:rsid w:val="00676B93"/>
    <w:rsid w:val="0067748E"/>
    <w:rsid w:val="00677491"/>
    <w:rsid w:val="0067777F"/>
    <w:rsid w:val="0067796F"/>
    <w:rsid w:val="0067799F"/>
    <w:rsid w:val="00677D96"/>
    <w:rsid w:val="00677E89"/>
    <w:rsid w:val="00677F0A"/>
    <w:rsid w:val="0068067C"/>
    <w:rsid w:val="00680E0A"/>
    <w:rsid w:val="006813A0"/>
    <w:rsid w:val="006816CF"/>
    <w:rsid w:val="00681941"/>
    <w:rsid w:val="0068198A"/>
    <w:rsid w:val="00681A5B"/>
    <w:rsid w:val="00681AAA"/>
    <w:rsid w:val="00681BA2"/>
    <w:rsid w:val="0068226E"/>
    <w:rsid w:val="006825C3"/>
    <w:rsid w:val="006826A2"/>
    <w:rsid w:val="00683A5A"/>
    <w:rsid w:val="00683DB6"/>
    <w:rsid w:val="006849E0"/>
    <w:rsid w:val="00684CBA"/>
    <w:rsid w:val="00685175"/>
    <w:rsid w:val="00685409"/>
    <w:rsid w:val="00685ABB"/>
    <w:rsid w:val="00685FB4"/>
    <w:rsid w:val="006862CD"/>
    <w:rsid w:val="00686690"/>
    <w:rsid w:val="00686A33"/>
    <w:rsid w:val="0068772B"/>
    <w:rsid w:val="00687931"/>
    <w:rsid w:val="00687D73"/>
    <w:rsid w:val="00690161"/>
    <w:rsid w:val="00690210"/>
    <w:rsid w:val="0069058E"/>
    <w:rsid w:val="00690771"/>
    <w:rsid w:val="006909E7"/>
    <w:rsid w:val="00690BA2"/>
    <w:rsid w:val="00690C06"/>
    <w:rsid w:val="0069111C"/>
    <w:rsid w:val="006911AD"/>
    <w:rsid w:val="0069121E"/>
    <w:rsid w:val="006919F1"/>
    <w:rsid w:val="0069219B"/>
    <w:rsid w:val="00692BC0"/>
    <w:rsid w:val="00692C74"/>
    <w:rsid w:val="00693A34"/>
    <w:rsid w:val="006940E2"/>
    <w:rsid w:val="0069418C"/>
    <w:rsid w:val="00694352"/>
    <w:rsid w:val="006944E0"/>
    <w:rsid w:val="00694A75"/>
    <w:rsid w:val="00694D9F"/>
    <w:rsid w:val="00694FAF"/>
    <w:rsid w:val="006950E2"/>
    <w:rsid w:val="00695290"/>
    <w:rsid w:val="0069561E"/>
    <w:rsid w:val="0069613A"/>
    <w:rsid w:val="00696284"/>
    <w:rsid w:val="006963B7"/>
    <w:rsid w:val="00696B70"/>
    <w:rsid w:val="00696D0F"/>
    <w:rsid w:val="00697A10"/>
    <w:rsid w:val="006A0482"/>
    <w:rsid w:val="006A0580"/>
    <w:rsid w:val="006A0599"/>
    <w:rsid w:val="006A065D"/>
    <w:rsid w:val="006A0B76"/>
    <w:rsid w:val="006A1155"/>
    <w:rsid w:val="006A1340"/>
    <w:rsid w:val="006A26C8"/>
    <w:rsid w:val="006A2E83"/>
    <w:rsid w:val="006A2F5B"/>
    <w:rsid w:val="006A3211"/>
    <w:rsid w:val="006A3564"/>
    <w:rsid w:val="006A3AD3"/>
    <w:rsid w:val="006A41B4"/>
    <w:rsid w:val="006A437E"/>
    <w:rsid w:val="006A438F"/>
    <w:rsid w:val="006A454E"/>
    <w:rsid w:val="006A48D0"/>
    <w:rsid w:val="006A48FA"/>
    <w:rsid w:val="006A4E9B"/>
    <w:rsid w:val="006A52FA"/>
    <w:rsid w:val="006A54BD"/>
    <w:rsid w:val="006A5740"/>
    <w:rsid w:val="006A5B94"/>
    <w:rsid w:val="006A5C09"/>
    <w:rsid w:val="006A5C5D"/>
    <w:rsid w:val="006A604E"/>
    <w:rsid w:val="006A657C"/>
    <w:rsid w:val="006A6C50"/>
    <w:rsid w:val="006A72FC"/>
    <w:rsid w:val="006A7397"/>
    <w:rsid w:val="006A79E1"/>
    <w:rsid w:val="006A7AA2"/>
    <w:rsid w:val="006B03F7"/>
    <w:rsid w:val="006B093A"/>
    <w:rsid w:val="006B0CA9"/>
    <w:rsid w:val="006B1505"/>
    <w:rsid w:val="006B177A"/>
    <w:rsid w:val="006B1A17"/>
    <w:rsid w:val="006B1C72"/>
    <w:rsid w:val="006B1EE0"/>
    <w:rsid w:val="006B2030"/>
    <w:rsid w:val="006B210C"/>
    <w:rsid w:val="006B2613"/>
    <w:rsid w:val="006B2D3F"/>
    <w:rsid w:val="006B2D7E"/>
    <w:rsid w:val="006B2F22"/>
    <w:rsid w:val="006B2FCC"/>
    <w:rsid w:val="006B30A5"/>
    <w:rsid w:val="006B33B9"/>
    <w:rsid w:val="006B33FF"/>
    <w:rsid w:val="006B42B5"/>
    <w:rsid w:val="006B442A"/>
    <w:rsid w:val="006B4889"/>
    <w:rsid w:val="006B495A"/>
    <w:rsid w:val="006B497F"/>
    <w:rsid w:val="006B4BC7"/>
    <w:rsid w:val="006B4C56"/>
    <w:rsid w:val="006B527D"/>
    <w:rsid w:val="006B6014"/>
    <w:rsid w:val="006B617F"/>
    <w:rsid w:val="006B6756"/>
    <w:rsid w:val="006B72B5"/>
    <w:rsid w:val="006B7A52"/>
    <w:rsid w:val="006B7D13"/>
    <w:rsid w:val="006B7E68"/>
    <w:rsid w:val="006B7F2C"/>
    <w:rsid w:val="006C04F5"/>
    <w:rsid w:val="006C156D"/>
    <w:rsid w:val="006C1983"/>
    <w:rsid w:val="006C1C20"/>
    <w:rsid w:val="006C1EDF"/>
    <w:rsid w:val="006C2144"/>
    <w:rsid w:val="006C274D"/>
    <w:rsid w:val="006C29B5"/>
    <w:rsid w:val="006C2A0F"/>
    <w:rsid w:val="006C2BF0"/>
    <w:rsid w:val="006C2D05"/>
    <w:rsid w:val="006C34D1"/>
    <w:rsid w:val="006C3BD9"/>
    <w:rsid w:val="006C41F6"/>
    <w:rsid w:val="006C4361"/>
    <w:rsid w:val="006C469B"/>
    <w:rsid w:val="006C533E"/>
    <w:rsid w:val="006C5E18"/>
    <w:rsid w:val="006C6AD4"/>
    <w:rsid w:val="006C6E3E"/>
    <w:rsid w:val="006C6F62"/>
    <w:rsid w:val="006C70D9"/>
    <w:rsid w:val="006C7459"/>
    <w:rsid w:val="006C7719"/>
    <w:rsid w:val="006C77D1"/>
    <w:rsid w:val="006C7B47"/>
    <w:rsid w:val="006D0C26"/>
    <w:rsid w:val="006D0EED"/>
    <w:rsid w:val="006D1572"/>
    <w:rsid w:val="006D204C"/>
    <w:rsid w:val="006D23A4"/>
    <w:rsid w:val="006D2452"/>
    <w:rsid w:val="006D2648"/>
    <w:rsid w:val="006D3472"/>
    <w:rsid w:val="006D3514"/>
    <w:rsid w:val="006D3E26"/>
    <w:rsid w:val="006D40EF"/>
    <w:rsid w:val="006D4364"/>
    <w:rsid w:val="006D4842"/>
    <w:rsid w:val="006D5017"/>
    <w:rsid w:val="006D503D"/>
    <w:rsid w:val="006D5895"/>
    <w:rsid w:val="006D5CBD"/>
    <w:rsid w:val="006D6CB5"/>
    <w:rsid w:val="006D7817"/>
    <w:rsid w:val="006D7DD3"/>
    <w:rsid w:val="006D7E3B"/>
    <w:rsid w:val="006D7FBE"/>
    <w:rsid w:val="006E0409"/>
    <w:rsid w:val="006E0503"/>
    <w:rsid w:val="006E0633"/>
    <w:rsid w:val="006E0759"/>
    <w:rsid w:val="006E0ED6"/>
    <w:rsid w:val="006E0F9F"/>
    <w:rsid w:val="006E10C3"/>
    <w:rsid w:val="006E12D9"/>
    <w:rsid w:val="006E1447"/>
    <w:rsid w:val="006E1464"/>
    <w:rsid w:val="006E15E7"/>
    <w:rsid w:val="006E177E"/>
    <w:rsid w:val="006E18BF"/>
    <w:rsid w:val="006E1C08"/>
    <w:rsid w:val="006E1E16"/>
    <w:rsid w:val="006E2153"/>
    <w:rsid w:val="006E2173"/>
    <w:rsid w:val="006E22D4"/>
    <w:rsid w:val="006E2585"/>
    <w:rsid w:val="006E288B"/>
    <w:rsid w:val="006E2C74"/>
    <w:rsid w:val="006E2DCC"/>
    <w:rsid w:val="006E3BF1"/>
    <w:rsid w:val="006E4071"/>
    <w:rsid w:val="006E4A60"/>
    <w:rsid w:val="006E4D5E"/>
    <w:rsid w:val="006E4EBB"/>
    <w:rsid w:val="006E5C63"/>
    <w:rsid w:val="006E60E9"/>
    <w:rsid w:val="006E6D1F"/>
    <w:rsid w:val="006E6EFD"/>
    <w:rsid w:val="006E7096"/>
    <w:rsid w:val="006E7B82"/>
    <w:rsid w:val="006F0528"/>
    <w:rsid w:val="006F0BB6"/>
    <w:rsid w:val="006F0EF4"/>
    <w:rsid w:val="006F1090"/>
    <w:rsid w:val="006F1563"/>
    <w:rsid w:val="006F1F64"/>
    <w:rsid w:val="006F21ED"/>
    <w:rsid w:val="006F26C4"/>
    <w:rsid w:val="006F2774"/>
    <w:rsid w:val="006F3179"/>
    <w:rsid w:val="006F3324"/>
    <w:rsid w:val="006F3BBC"/>
    <w:rsid w:val="006F4B2C"/>
    <w:rsid w:val="006F4E82"/>
    <w:rsid w:val="006F4F34"/>
    <w:rsid w:val="006F5A11"/>
    <w:rsid w:val="006F5AC8"/>
    <w:rsid w:val="006F5BEF"/>
    <w:rsid w:val="006F64C0"/>
    <w:rsid w:val="006F6590"/>
    <w:rsid w:val="006F6867"/>
    <w:rsid w:val="006F733C"/>
    <w:rsid w:val="006F7925"/>
    <w:rsid w:val="007001FB"/>
    <w:rsid w:val="00700FA2"/>
    <w:rsid w:val="00701A61"/>
    <w:rsid w:val="00702225"/>
    <w:rsid w:val="00702324"/>
    <w:rsid w:val="0070264E"/>
    <w:rsid w:val="0070272B"/>
    <w:rsid w:val="00702880"/>
    <w:rsid w:val="00702E57"/>
    <w:rsid w:val="00703136"/>
    <w:rsid w:val="00703631"/>
    <w:rsid w:val="00703DFE"/>
    <w:rsid w:val="00703FE5"/>
    <w:rsid w:val="007047D7"/>
    <w:rsid w:val="00705287"/>
    <w:rsid w:val="0070546A"/>
    <w:rsid w:val="007054D6"/>
    <w:rsid w:val="007056C7"/>
    <w:rsid w:val="007057FA"/>
    <w:rsid w:val="00705A9E"/>
    <w:rsid w:val="00705B79"/>
    <w:rsid w:val="00706624"/>
    <w:rsid w:val="00706656"/>
    <w:rsid w:val="007066D6"/>
    <w:rsid w:val="007069C6"/>
    <w:rsid w:val="00707488"/>
    <w:rsid w:val="00707F0B"/>
    <w:rsid w:val="007108D2"/>
    <w:rsid w:val="00710F32"/>
    <w:rsid w:val="00711005"/>
    <w:rsid w:val="007111D1"/>
    <w:rsid w:val="0071132C"/>
    <w:rsid w:val="00711AE5"/>
    <w:rsid w:val="00711BFF"/>
    <w:rsid w:val="00711E94"/>
    <w:rsid w:val="00712180"/>
    <w:rsid w:val="0071267E"/>
    <w:rsid w:val="00713840"/>
    <w:rsid w:val="00713D8E"/>
    <w:rsid w:val="007143D9"/>
    <w:rsid w:val="00714712"/>
    <w:rsid w:val="00714B84"/>
    <w:rsid w:val="00714C98"/>
    <w:rsid w:val="00715211"/>
    <w:rsid w:val="00715618"/>
    <w:rsid w:val="0071568F"/>
    <w:rsid w:val="00715E12"/>
    <w:rsid w:val="007164F7"/>
    <w:rsid w:val="00716987"/>
    <w:rsid w:val="007169CB"/>
    <w:rsid w:val="00717012"/>
    <w:rsid w:val="00717D4C"/>
    <w:rsid w:val="00720295"/>
    <w:rsid w:val="00720472"/>
    <w:rsid w:val="007204D4"/>
    <w:rsid w:val="007205B6"/>
    <w:rsid w:val="007205FE"/>
    <w:rsid w:val="00720A1C"/>
    <w:rsid w:val="00721746"/>
    <w:rsid w:val="00721816"/>
    <w:rsid w:val="00721BB8"/>
    <w:rsid w:val="0072256C"/>
    <w:rsid w:val="007227D0"/>
    <w:rsid w:val="0072298B"/>
    <w:rsid w:val="007237AA"/>
    <w:rsid w:val="00723844"/>
    <w:rsid w:val="00723ABB"/>
    <w:rsid w:val="00723ACA"/>
    <w:rsid w:val="00723F08"/>
    <w:rsid w:val="007244EE"/>
    <w:rsid w:val="0072463D"/>
    <w:rsid w:val="007248FA"/>
    <w:rsid w:val="00725148"/>
    <w:rsid w:val="007258D6"/>
    <w:rsid w:val="00725B45"/>
    <w:rsid w:val="007261D9"/>
    <w:rsid w:val="007262F4"/>
    <w:rsid w:val="007264E0"/>
    <w:rsid w:val="00726629"/>
    <w:rsid w:val="00726642"/>
    <w:rsid w:val="00726C04"/>
    <w:rsid w:val="00727CE5"/>
    <w:rsid w:val="00730726"/>
    <w:rsid w:val="00730A30"/>
    <w:rsid w:val="00730A68"/>
    <w:rsid w:val="00730A78"/>
    <w:rsid w:val="007312E6"/>
    <w:rsid w:val="007317DF"/>
    <w:rsid w:val="00731AFF"/>
    <w:rsid w:val="00731C17"/>
    <w:rsid w:val="00731C9B"/>
    <w:rsid w:val="00731D9C"/>
    <w:rsid w:val="00732340"/>
    <w:rsid w:val="00732380"/>
    <w:rsid w:val="0073256A"/>
    <w:rsid w:val="00732F7B"/>
    <w:rsid w:val="00733002"/>
    <w:rsid w:val="007336D9"/>
    <w:rsid w:val="00733B2F"/>
    <w:rsid w:val="00733FE4"/>
    <w:rsid w:val="00734C18"/>
    <w:rsid w:val="00734C8C"/>
    <w:rsid w:val="00734D1E"/>
    <w:rsid w:val="00734FB4"/>
    <w:rsid w:val="00735BD9"/>
    <w:rsid w:val="00735FE3"/>
    <w:rsid w:val="007360CF"/>
    <w:rsid w:val="007361D3"/>
    <w:rsid w:val="00736623"/>
    <w:rsid w:val="007367D2"/>
    <w:rsid w:val="00736B4A"/>
    <w:rsid w:val="00737222"/>
    <w:rsid w:val="007377CC"/>
    <w:rsid w:val="00737CB1"/>
    <w:rsid w:val="0074010A"/>
    <w:rsid w:val="00740A5E"/>
    <w:rsid w:val="00740BF0"/>
    <w:rsid w:val="00740E22"/>
    <w:rsid w:val="0074102F"/>
    <w:rsid w:val="00741508"/>
    <w:rsid w:val="00741586"/>
    <w:rsid w:val="0074176F"/>
    <w:rsid w:val="00741C24"/>
    <w:rsid w:val="0074211A"/>
    <w:rsid w:val="0074252A"/>
    <w:rsid w:val="007429D1"/>
    <w:rsid w:val="00742AAB"/>
    <w:rsid w:val="0074310A"/>
    <w:rsid w:val="00743A7A"/>
    <w:rsid w:val="0074447C"/>
    <w:rsid w:val="00744D13"/>
    <w:rsid w:val="00745448"/>
    <w:rsid w:val="007454A2"/>
    <w:rsid w:val="00745667"/>
    <w:rsid w:val="00745AF2"/>
    <w:rsid w:val="00745F02"/>
    <w:rsid w:val="00746491"/>
    <w:rsid w:val="00746C4C"/>
    <w:rsid w:val="00747036"/>
    <w:rsid w:val="0074767B"/>
    <w:rsid w:val="0075027D"/>
    <w:rsid w:val="007503FA"/>
    <w:rsid w:val="0075067F"/>
    <w:rsid w:val="007508EB"/>
    <w:rsid w:val="00750E3E"/>
    <w:rsid w:val="007511AA"/>
    <w:rsid w:val="007519A5"/>
    <w:rsid w:val="00751E8B"/>
    <w:rsid w:val="00751FF2"/>
    <w:rsid w:val="00752EE7"/>
    <w:rsid w:val="00752F02"/>
    <w:rsid w:val="007538D2"/>
    <w:rsid w:val="00753FB4"/>
    <w:rsid w:val="007541EE"/>
    <w:rsid w:val="00754254"/>
    <w:rsid w:val="00754542"/>
    <w:rsid w:val="0075478E"/>
    <w:rsid w:val="00754BC8"/>
    <w:rsid w:val="00754CD4"/>
    <w:rsid w:val="00754E58"/>
    <w:rsid w:val="007551EB"/>
    <w:rsid w:val="00755406"/>
    <w:rsid w:val="00755C3D"/>
    <w:rsid w:val="00755EDD"/>
    <w:rsid w:val="00756437"/>
    <w:rsid w:val="00756FDA"/>
    <w:rsid w:val="00757552"/>
    <w:rsid w:val="00757B33"/>
    <w:rsid w:val="00757FDB"/>
    <w:rsid w:val="0076036E"/>
    <w:rsid w:val="00760566"/>
    <w:rsid w:val="007610D0"/>
    <w:rsid w:val="00761209"/>
    <w:rsid w:val="00762104"/>
    <w:rsid w:val="00762600"/>
    <w:rsid w:val="00762870"/>
    <w:rsid w:val="007630AE"/>
    <w:rsid w:val="007639F4"/>
    <w:rsid w:val="00763EC2"/>
    <w:rsid w:val="00763F86"/>
    <w:rsid w:val="007648D2"/>
    <w:rsid w:val="0076491C"/>
    <w:rsid w:val="00764CB7"/>
    <w:rsid w:val="00764E84"/>
    <w:rsid w:val="007657EF"/>
    <w:rsid w:val="00765C78"/>
    <w:rsid w:val="00765DCD"/>
    <w:rsid w:val="00765F64"/>
    <w:rsid w:val="00766188"/>
    <w:rsid w:val="0076659C"/>
    <w:rsid w:val="007665FD"/>
    <w:rsid w:val="00766ED9"/>
    <w:rsid w:val="00766F7E"/>
    <w:rsid w:val="00767EBC"/>
    <w:rsid w:val="00770194"/>
    <w:rsid w:val="00770548"/>
    <w:rsid w:val="007709B5"/>
    <w:rsid w:val="00770A03"/>
    <w:rsid w:val="00770D25"/>
    <w:rsid w:val="007717F9"/>
    <w:rsid w:val="00771891"/>
    <w:rsid w:val="00771D52"/>
    <w:rsid w:val="00771F13"/>
    <w:rsid w:val="00771FB4"/>
    <w:rsid w:val="00772055"/>
    <w:rsid w:val="00772F6E"/>
    <w:rsid w:val="007730C2"/>
    <w:rsid w:val="00773365"/>
    <w:rsid w:val="007735C7"/>
    <w:rsid w:val="0077391F"/>
    <w:rsid w:val="00773B62"/>
    <w:rsid w:val="00773EDE"/>
    <w:rsid w:val="007746B5"/>
    <w:rsid w:val="00774738"/>
    <w:rsid w:val="007755E0"/>
    <w:rsid w:val="0077585A"/>
    <w:rsid w:val="0077652F"/>
    <w:rsid w:val="0077663C"/>
    <w:rsid w:val="00776731"/>
    <w:rsid w:val="0077673F"/>
    <w:rsid w:val="00776B09"/>
    <w:rsid w:val="00776E4D"/>
    <w:rsid w:val="00776F18"/>
    <w:rsid w:val="0077709F"/>
    <w:rsid w:val="00777401"/>
    <w:rsid w:val="0077750A"/>
    <w:rsid w:val="0077781D"/>
    <w:rsid w:val="007778D9"/>
    <w:rsid w:val="00777E96"/>
    <w:rsid w:val="00777F78"/>
    <w:rsid w:val="00780844"/>
    <w:rsid w:val="00780864"/>
    <w:rsid w:val="00780C4D"/>
    <w:rsid w:val="00781B1E"/>
    <w:rsid w:val="007824A8"/>
    <w:rsid w:val="007825C1"/>
    <w:rsid w:val="0078369F"/>
    <w:rsid w:val="007841EC"/>
    <w:rsid w:val="00784259"/>
    <w:rsid w:val="0078427D"/>
    <w:rsid w:val="0078435B"/>
    <w:rsid w:val="00784536"/>
    <w:rsid w:val="00784575"/>
    <w:rsid w:val="00784819"/>
    <w:rsid w:val="00784A79"/>
    <w:rsid w:val="00784D1C"/>
    <w:rsid w:val="00785471"/>
    <w:rsid w:val="00786CA6"/>
    <w:rsid w:val="00786CE9"/>
    <w:rsid w:val="007876F7"/>
    <w:rsid w:val="007902EA"/>
    <w:rsid w:val="00790362"/>
    <w:rsid w:val="00790E5B"/>
    <w:rsid w:val="0079134B"/>
    <w:rsid w:val="0079145F"/>
    <w:rsid w:val="00791515"/>
    <w:rsid w:val="0079192F"/>
    <w:rsid w:val="00791CB1"/>
    <w:rsid w:val="00791CD8"/>
    <w:rsid w:val="00792257"/>
    <w:rsid w:val="00792D2A"/>
    <w:rsid w:val="00793115"/>
    <w:rsid w:val="007942DC"/>
    <w:rsid w:val="007945E4"/>
    <w:rsid w:val="0079480C"/>
    <w:rsid w:val="00794F6A"/>
    <w:rsid w:val="00795418"/>
    <w:rsid w:val="00795D09"/>
    <w:rsid w:val="00795F08"/>
    <w:rsid w:val="007963BD"/>
    <w:rsid w:val="00796963"/>
    <w:rsid w:val="00797E14"/>
    <w:rsid w:val="007A0ED7"/>
    <w:rsid w:val="007A108D"/>
    <w:rsid w:val="007A12D8"/>
    <w:rsid w:val="007A1B24"/>
    <w:rsid w:val="007A1FA8"/>
    <w:rsid w:val="007A2042"/>
    <w:rsid w:val="007A2115"/>
    <w:rsid w:val="007A239C"/>
    <w:rsid w:val="007A3A1A"/>
    <w:rsid w:val="007A3EB4"/>
    <w:rsid w:val="007A3FE3"/>
    <w:rsid w:val="007A459B"/>
    <w:rsid w:val="007A45D7"/>
    <w:rsid w:val="007A46C8"/>
    <w:rsid w:val="007A6D58"/>
    <w:rsid w:val="007A6E12"/>
    <w:rsid w:val="007A6E42"/>
    <w:rsid w:val="007A7806"/>
    <w:rsid w:val="007A7AC5"/>
    <w:rsid w:val="007B08D3"/>
    <w:rsid w:val="007B0D27"/>
    <w:rsid w:val="007B101B"/>
    <w:rsid w:val="007B1086"/>
    <w:rsid w:val="007B2904"/>
    <w:rsid w:val="007B2A3D"/>
    <w:rsid w:val="007B3410"/>
    <w:rsid w:val="007B35BF"/>
    <w:rsid w:val="007B3DBC"/>
    <w:rsid w:val="007B4643"/>
    <w:rsid w:val="007B4B9E"/>
    <w:rsid w:val="007B4F92"/>
    <w:rsid w:val="007B5088"/>
    <w:rsid w:val="007B5850"/>
    <w:rsid w:val="007B5B57"/>
    <w:rsid w:val="007B5D4F"/>
    <w:rsid w:val="007B5FB3"/>
    <w:rsid w:val="007B7111"/>
    <w:rsid w:val="007B7149"/>
    <w:rsid w:val="007B75B1"/>
    <w:rsid w:val="007B75E7"/>
    <w:rsid w:val="007B7A86"/>
    <w:rsid w:val="007B7ACB"/>
    <w:rsid w:val="007B7C56"/>
    <w:rsid w:val="007B7D6D"/>
    <w:rsid w:val="007B7EEB"/>
    <w:rsid w:val="007C0604"/>
    <w:rsid w:val="007C07CB"/>
    <w:rsid w:val="007C08C7"/>
    <w:rsid w:val="007C11BA"/>
    <w:rsid w:val="007C2090"/>
    <w:rsid w:val="007C2178"/>
    <w:rsid w:val="007C221D"/>
    <w:rsid w:val="007C2BE2"/>
    <w:rsid w:val="007C2C4B"/>
    <w:rsid w:val="007C2D7B"/>
    <w:rsid w:val="007C2ED4"/>
    <w:rsid w:val="007C3DE1"/>
    <w:rsid w:val="007C43A9"/>
    <w:rsid w:val="007C49A2"/>
    <w:rsid w:val="007C53A8"/>
    <w:rsid w:val="007C59C1"/>
    <w:rsid w:val="007C5F63"/>
    <w:rsid w:val="007C64F7"/>
    <w:rsid w:val="007C6ADF"/>
    <w:rsid w:val="007C6F98"/>
    <w:rsid w:val="007C71A3"/>
    <w:rsid w:val="007C726F"/>
    <w:rsid w:val="007C72D4"/>
    <w:rsid w:val="007C7EF9"/>
    <w:rsid w:val="007C7F00"/>
    <w:rsid w:val="007C7FAC"/>
    <w:rsid w:val="007D02B6"/>
    <w:rsid w:val="007D0E3F"/>
    <w:rsid w:val="007D12DC"/>
    <w:rsid w:val="007D275D"/>
    <w:rsid w:val="007D28E0"/>
    <w:rsid w:val="007D2D7C"/>
    <w:rsid w:val="007D411A"/>
    <w:rsid w:val="007D4565"/>
    <w:rsid w:val="007D58E3"/>
    <w:rsid w:val="007D59F9"/>
    <w:rsid w:val="007D69D3"/>
    <w:rsid w:val="007D6A63"/>
    <w:rsid w:val="007D6A78"/>
    <w:rsid w:val="007D6C9E"/>
    <w:rsid w:val="007D6CE7"/>
    <w:rsid w:val="007D796B"/>
    <w:rsid w:val="007E0127"/>
    <w:rsid w:val="007E0175"/>
    <w:rsid w:val="007E052C"/>
    <w:rsid w:val="007E0BE2"/>
    <w:rsid w:val="007E0E03"/>
    <w:rsid w:val="007E1214"/>
    <w:rsid w:val="007E185A"/>
    <w:rsid w:val="007E1BEA"/>
    <w:rsid w:val="007E2009"/>
    <w:rsid w:val="007E2591"/>
    <w:rsid w:val="007E309B"/>
    <w:rsid w:val="007E3161"/>
    <w:rsid w:val="007E328B"/>
    <w:rsid w:val="007E38A4"/>
    <w:rsid w:val="007E4345"/>
    <w:rsid w:val="007E4787"/>
    <w:rsid w:val="007E4853"/>
    <w:rsid w:val="007E48B3"/>
    <w:rsid w:val="007E52D9"/>
    <w:rsid w:val="007E5BB4"/>
    <w:rsid w:val="007E5C07"/>
    <w:rsid w:val="007E5E17"/>
    <w:rsid w:val="007E6204"/>
    <w:rsid w:val="007E6235"/>
    <w:rsid w:val="007E6254"/>
    <w:rsid w:val="007E678E"/>
    <w:rsid w:val="007E6E24"/>
    <w:rsid w:val="007E6E57"/>
    <w:rsid w:val="007E6EF5"/>
    <w:rsid w:val="007E73C4"/>
    <w:rsid w:val="007E74F0"/>
    <w:rsid w:val="007E77B8"/>
    <w:rsid w:val="007E7844"/>
    <w:rsid w:val="007E7E7A"/>
    <w:rsid w:val="007F0EF7"/>
    <w:rsid w:val="007F220B"/>
    <w:rsid w:val="007F264D"/>
    <w:rsid w:val="007F2E3C"/>
    <w:rsid w:val="007F380E"/>
    <w:rsid w:val="007F39A1"/>
    <w:rsid w:val="007F3B54"/>
    <w:rsid w:val="007F4440"/>
    <w:rsid w:val="007F46D9"/>
    <w:rsid w:val="007F498D"/>
    <w:rsid w:val="007F499C"/>
    <w:rsid w:val="007F4B96"/>
    <w:rsid w:val="007F5688"/>
    <w:rsid w:val="007F5708"/>
    <w:rsid w:val="007F69DD"/>
    <w:rsid w:val="007F6A42"/>
    <w:rsid w:val="007F6D02"/>
    <w:rsid w:val="007F6DBB"/>
    <w:rsid w:val="007F6FE3"/>
    <w:rsid w:val="007F73E0"/>
    <w:rsid w:val="00800544"/>
    <w:rsid w:val="008005E4"/>
    <w:rsid w:val="00800835"/>
    <w:rsid w:val="008012BB"/>
    <w:rsid w:val="0080178D"/>
    <w:rsid w:val="00801891"/>
    <w:rsid w:val="00801EAE"/>
    <w:rsid w:val="00801ECC"/>
    <w:rsid w:val="00802212"/>
    <w:rsid w:val="008022E1"/>
    <w:rsid w:val="00802732"/>
    <w:rsid w:val="00802CBD"/>
    <w:rsid w:val="0080330E"/>
    <w:rsid w:val="00803763"/>
    <w:rsid w:val="008038D9"/>
    <w:rsid w:val="008038FE"/>
    <w:rsid w:val="00803915"/>
    <w:rsid w:val="008051BA"/>
    <w:rsid w:val="00805215"/>
    <w:rsid w:val="0080546B"/>
    <w:rsid w:val="00805AAC"/>
    <w:rsid w:val="00805BE8"/>
    <w:rsid w:val="00806149"/>
    <w:rsid w:val="008061C9"/>
    <w:rsid w:val="00806AF5"/>
    <w:rsid w:val="00806E65"/>
    <w:rsid w:val="00807148"/>
    <w:rsid w:val="00807229"/>
    <w:rsid w:val="0080728F"/>
    <w:rsid w:val="00807683"/>
    <w:rsid w:val="0081017A"/>
    <w:rsid w:val="0081043A"/>
    <w:rsid w:val="00810480"/>
    <w:rsid w:val="00810545"/>
    <w:rsid w:val="00810851"/>
    <w:rsid w:val="00810C16"/>
    <w:rsid w:val="00811180"/>
    <w:rsid w:val="008111DB"/>
    <w:rsid w:val="008111E4"/>
    <w:rsid w:val="00811651"/>
    <w:rsid w:val="00811BA1"/>
    <w:rsid w:val="00811F7E"/>
    <w:rsid w:val="00812428"/>
    <w:rsid w:val="00812702"/>
    <w:rsid w:val="0081282E"/>
    <w:rsid w:val="00812C27"/>
    <w:rsid w:val="00812D5E"/>
    <w:rsid w:val="0081333F"/>
    <w:rsid w:val="008139C2"/>
    <w:rsid w:val="00813E5E"/>
    <w:rsid w:val="00814D3E"/>
    <w:rsid w:val="008150B7"/>
    <w:rsid w:val="008151B0"/>
    <w:rsid w:val="008152B8"/>
    <w:rsid w:val="0081531B"/>
    <w:rsid w:val="00815537"/>
    <w:rsid w:val="008157FD"/>
    <w:rsid w:val="008160A7"/>
    <w:rsid w:val="0081669F"/>
    <w:rsid w:val="0081683A"/>
    <w:rsid w:val="00817255"/>
    <w:rsid w:val="00817F54"/>
    <w:rsid w:val="00817FE8"/>
    <w:rsid w:val="00820151"/>
    <w:rsid w:val="008202B7"/>
    <w:rsid w:val="008205F2"/>
    <w:rsid w:val="0082061E"/>
    <w:rsid w:val="00820EAA"/>
    <w:rsid w:val="0082110B"/>
    <w:rsid w:val="00821422"/>
    <w:rsid w:val="00821786"/>
    <w:rsid w:val="00822411"/>
    <w:rsid w:val="00822525"/>
    <w:rsid w:val="00823655"/>
    <w:rsid w:val="0082419E"/>
    <w:rsid w:val="0082447E"/>
    <w:rsid w:val="00824760"/>
    <w:rsid w:val="00824773"/>
    <w:rsid w:val="008248CF"/>
    <w:rsid w:val="00824FA4"/>
    <w:rsid w:val="008250ED"/>
    <w:rsid w:val="00825143"/>
    <w:rsid w:val="008257A7"/>
    <w:rsid w:val="00825923"/>
    <w:rsid w:val="00825B2B"/>
    <w:rsid w:val="00825CA5"/>
    <w:rsid w:val="0082613C"/>
    <w:rsid w:val="00826B51"/>
    <w:rsid w:val="00826B8E"/>
    <w:rsid w:val="00826E00"/>
    <w:rsid w:val="008271BD"/>
    <w:rsid w:val="008276CF"/>
    <w:rsid w:val="00827C7D"/>
    <w:rsid w:val="00827C84"/>
    <w:rsid w:val="00827E53"/>
    <w:rsid w:val="008303EE"/>
    <w:rsid w:val="0083109C"/>
    <w:rsid w:val="0083129B"/>
    <w:rsid w:val="00831D3F"/>
    <w:rsid w:val="0083200E"/>
    <w:rsid w:val="0083272B"/>
    <w:rsid w:val="00832AC3"/>
    <w:rsid w:val="00832C7A"/>
    <w:rsid w:val="00832D44"/>
    <w:rsid w:val="0083313A"/>
    <w:rsid w:val="0083342F"/>
    <w:rsid w:val="0083380C"/>
    <w:rsid w:val="00833DB7"/>
    <w:rsid w:val="008346BB"/>
    <w:rsid w:val="00834CF4"/>
    <w:rsid w:val="00835020"/>
    <w:rsid w:val="00835247"/>
    <w:rsid w:val="00835BAD"/>
    <w:rsid w:val="00835D2D"/>
    <w:rsid w:val="00835E2E"/>
    <w:rsid w:val="00836262"/>
    <w:rsid w:val="008366B2"/>
    <w:rsid w:val="008367F2"/>
    <w:rsid w:val="00836BC0"/>
    <w:rsid w:val="00836C08"/>
    <w:rsid w:val="008377DD"/>
    <w:rsid w:val="00837AC2"/>
    <w:rsid w:val="00837CEC"/>
    <w:rsid w:val="00841693"/>
    <w:rsid w:val="00842668"/>
    <w:rsid w:val="008428DA"/>
    <w:rsid w:val="00843E2D"/>
    <w:rsid w:val="008449E1"/>
    <w:rsid w:val="00845DF6"/>
    <w:rsid w:val="008466D7"/>
    <w:rsid w:val="00846852"/>
    <w:rsid w:val="008502D8"/>
    <w:rsid w:val="008505DE"/>
    <w:rsid w:val="00850A76"/>
    <w:rsid w:val="008514AE"/>
    <w:rsid w:val="00851570"/>
    <w:rsid w:val="0085230A"/>
    <w:rsid w:val="008524AF"/>
    <w:rsid w:val="0085256E"/>
    <w:rsid w:val="00852C29"/>
    <w:rsid w:val="00852CAF"/>
    <w:rsid w:val="00853116"/>
    <w:rsid w:val="00853488"/>
    <w:rsid w:val="00853E1A"/>
    <w:rsid w:val="00853E1C"/>
    <w:rsid w:val="00853F2A"/>
    <w:rsid w:val="0085436C"/>
    <w:rsid w:val="008545D4"/>
    <w:rsid w:val="00854B5B"/>
    <w:rsid w:val="00854F4A"/>
    <w:rsid w:val="008560A5"/>
    <w:rsid w:val="00856497"/>
    <w:rsid w:val="00856877"/>
    <w:rsid w:val="00856D2E"/>
    <w:rsid w:val="0085740B"/>
    <w:rsid w:val="00857917"/>
    <w:rsid w:val="00857D30"/>
    <w:rsid w:val="00857D68"/>
    <w:rsid w:val="00860345"/>
    <w:rsid w:val="0086036E"/>
    <w:rsid w:val="0086286B"/>
    <w:rsid w:val="00862B8B"/>
    <w:rsid w:val="0086302C"/>
    <w:rsid w:val="008632BA"/>
    <w:rsid w:val="0086338B"/>
    <w:rsid w:val="00863726"/>
    <w:rsid w:val="00863CCF"/>
    <w:rsid w:val="0086429D"/>
    <w:rsid w:val="00864314"/>
    <w:rsid w:val="00864548"/>
    <w:rsid w:val="0086466C"/>
    <w:rsid w:val="0086474A"/>
    <w:rsid w:val="00864FA3"/>
    <w:rsid w:val="00865098"/>
    <w:rsid w:val="008651FC"/>
    <w:rsid w:val="0086630A"/>
    <w:rsid w:val="00866451"/>
    <w:rsid w:val="00866471"/>
    <w:rsid w:val="0086666D"/>
    <w:rsid w:val="00866B2E"/>
    <w:rsid w:val="00866C0E"/>
    <w:rsid w:val="00867199"/>
    <w:rsid w:val="0086746E"/>
    <w:rsid w:val="00867CA6"/>
    <w:rsid w:val="00867CDE"/>
    <w:rsid w:val="00867E0D"/>
    <w:rsid w:val="00867EC3"/>
    <w:rsid w:val="008707AE"/>
    <w:rsid w:val="00870C6F"/>
    <w:rsid w:val="00870EB9"/>
    <w:rsid w:val="00870EEE"/>
    <w:rsid w:val="00870EF6"/>
    <w:rsid w:val="00871A15"/>
    <w:rsid w:val="00871C51"/>
    <w:rsid w:val="00872096"/>
    <w:rsid w:val="0087209C"/>
    <w:rsid w:val="00872775"/>
    <w:rsid w:val="00872F4F"/>
    <w:rsid w:val="00873843"/>
    <w:rsid w:val="00873A05"/>
    <w:rsid w:val="00873C72"/>
    <w:rsid w:val="00873DF4"/>
    <w:rsid w:val="00874038"/>
    <w:rsid w:val="00874064"/>
    <w:rsid w:val="00874076"/>
    <w:rsid w:val="00874223"/>
    <w:rsid w:val="00874835"/>
    <w:rsid w:val="00874B65"/>
    <w:rsid w:val="00874F04"/>
    <w:rsid w:val="00875622"/>
    <w:rsid w:val="00875893"/>
    <w:rsid w:val="00875AC0"/>
    <w:rsid w:val="00876169"/>
    <w:rsid w:val="00876A34"/>
    <w:rsid w:val="00876F55"/>
    <w:rsid w:val="00877088"/>
    <w:rsid w:val="00877215"/>
    <w:rsid w:val="008773AE"/>
    <w:rsid w:val="00877D29"/>
    <w:rsid w:val="00880923"/>
    <w:rsid w:val="00880B6C"/>
    <w:rsid w:val="008813EF"/>
    <w:rsid w:val="00881AF3"/>
    <w:rsid w:val="00881E2E"/>
    <w:rsid w:val="00881E3E"/>
    <w:rsid w:val="0088211B"/>
    <w:rsid w:val="008824A1"/>
    <w:rsid w:val="008828CB"/>
    <w:rsid w:val="00883654"/>
    <w:rsid w:val="00883A3F"/>
    <w:rsid w:val="00884271"/>
    <w:rsid w:val="00884277"/>
    <w:rsid w:val="00884529"/>
    <w:rsid w:val="00884740"/>
    <w:rsid w:val="00884B08"/>
    <w:rsid w:val="00884D6B"/>
    <w:rsid w:val="00884F22"/>
    <w:rsid w:val="008850E7"/>
    <w:rsid w:val="00885918"/>
    <w:rsid w:val="008859CD"/>
    <w:rsid w:val="00886136"/>
    <w:rsid w:val="0088627B"/>
    <w:rsid w:val="00886CD4"/>
    <w:rsid w:val="00886F49"/>
    <w:rsid w:val="00887002"/>
    <w:rsid w:val="0088742C"/>
    <w:rsid w:val="00890479"/>
    <w:rsid w:val="0089079F"/>
    <w:rsid w:val="00890D44"/>
    <w:rsid w:val="00890E82"/>
    <w:rsid w:val="00890F64"/>
    <w:rsid w:val="00891489"/>
    <w:rsid w:val="008916DE"/>
    <w:rsid w:val="0089276E"/>
    <w:rsid w:val="00892C38"/>
    <w:rsid w:val="008937DB"/>
    <w:rsid w:val="00894132"/>
    <w:rsid w:val="00894518"/>
    <w:rsid w:val="008949DF"/>
    <w:rsid w:val="0089589F"/>
    <w:rsid w:val="00895CAB"/>
    <w:rsid w:val="00895E9D"/>
    <w:rsid w:val="008961E2"/>
    <w:rsid w:val="0089641B"/>
    <w:rsid w:val="00897187"/>
    <w:rsid w:val="00897A7E"/>
    <w:rsid w:val="00897AD7"/>
    <w:rsid w:val="00897CB1"/>
    <w:rsid w:val="008A0EBD"/>
    <w:rsid w:val="008A1836"/>
    <w:rsid w:val="008A1EC5"/>
    <w:rsid w:val="008A2156"/>
    <w:rsid w:val="008A2522"/>
    <w:rsid w:val="008A27D1"/>
    <w:rsid w:val="008A2D85"/>
    <w:rsid w:val="008A2DE7"/>
    <w:rsid w:val="008A3D0D"/>
    <w:rsid w:val="008A3D58"/>
    <w:rsid w:val="008A3F06"/>
    <w:rsid w:val="008A407E"/>
    <w:rsid w:val="008A43D7"/>
    <w:rsid w:val="008A43E9"/>
    <w:rsid w:val="008A44C7"/>
    <w:rsid w:val="008A48EC"/>
    <w:rsid w:val="008A4ADA"/>
    <w:rsid w:val="008A4CA1"/>
    <w:rsid w:val="008A5094"/>
    <w:rsid w:val="008A50C7"/>
    <w:rsid w:val="008A64D6"/>
    <w:rsid w:val="008A66EA"/>
    <w:rsid w:val="008A6916"/>
    <w:rsid w:val="008A6948"/>
    <w:rsid w:val="008A69B5"/>
    <w:rsid w:val="008A6B93"/>
    <w:rsid w:val="008A6D7B"/>
    <w:rsid w:val="008A70BB"/>
    <w:rsid w:val="008A7DA9"/>
    <w:rsid w:val="008B09A6"/>
    <w:rsid w:val="008B0F3F"/>
    <w:rsid w:val="008B11F1"/>
    <w:rsid w:val="008B209C"/>
    <w:rsid w:val="008B2185"/>
    <w:rsid w:val="008B21ED"/>
    <w:rsid w:val="008B2CEE"/>
    <w:rsid w:val="008B2E2E"/>
    <w:rsid w:val="008B3464"/>
    <w:rsid w:val="008B366D"/>
    <w:rsid w:val="008B3749"/>
    <w:rsid w:val="008B37AC"/>
    <w:rsid w:val="008B4155"/>
    <w:rsid w:val="008B47C5"/>
    <w:rsid w:val="008B4E4B"/>
    <w:rsid w:val="008B5552"/>
    <w:rsid w:val="008B5680"/>
    <w:rsid w:val="008B577C"/>
    <w:rsid w:val="008B5836"/>
    <w:rsid w:val="008B5CB2"/>
    <w:rsid w:val="008B5E7B"/>
    <w:rsid w:val="008B6331"/>
    <w:rsid w:val="008B64E0"/>
    <w:rsid w:val="008B655F"/>
    <w:rsid w:val="008B66C9"/>
    <w:rsid w:val="008B6902"/>
    <w:rsid w:val="008B6980"/>
    <w:rsid w:val="008B6F05"/>
    <w:rsid w:val="008B6F9C"/>
    <w:rsid w:val="008B7548"/>
    <w:rsid w:val="008B7587"/>
    <w:rsid w:val="008B7634"/>
    <w:rsid w:val="008B763D"/>
    <w:rsid w:val="008B7E39"/>
    <w:rsid w:val="008C0BC4"/>
    <w:rsid w:val="008C1630"/>
    <w:rsid w:val="008C16EA"/>
    <w:rsid w:val="008C2211"/>
    <w:rsid w:val="008C2A00"/>
    <w:rsid w:val="008C2B82"/>
    <w:rsid w:val="008C2DAB"/>
    <w:rsid w:val="008C2E96"/>
    <w:rsid w:val="008C362F"/>
    <w:rsid w:val="008C3AC6"/>
    <w:rsid w:val="008C42ED"/>
    <w:rsid w:val="008C48BF"/>
    <w:rsid w:val="008C5F58"/>
    <w:rsid w:val="008C6068"/>
    <w:rsid w:val="008C6849"/>
    <w:rsid w:val="008C794B"/>
    <w:rsid w:val="008C7EC0"/>
    <w:rsid w:val="008C7EE5"/>
    <w:rsid w:val="008D002E"/>
    <w:rsid w:val="008D04BF"/>
    <w:rsid w:val="008D0732"/>
    <w:rsid w:val="008D08E2"/>
    <w:rsid w:val="008D1127"/>
    <w:rsid w:val="008D11E9"/>
    <w:rsid w:val="008D1591"/>
    <w:rsid w:val="008D15A1"/>
    <w:rsid w:val="008D15AE"/>
    <w:rsid w:val="008D1A62"/>
    <w:rsid w:val="008D1BAB"/>
    <w:rsid w:val="008D271E"/>
    <w:rsid w:val="008D274E"/>
    <w:rsid w:val="008D2B60"/>
    <w:rsid w:val="008D4369"/>
    <w:rsid w:val="008D4565"/>
    <w:rsid w:val="008D4AB4"/>
    <w:rsid w:val="008D5006"/>
    <w:rsid w:val="008D5188"/>
    <w:rsid w:val="008D5BDC"/>
    <w:rsid w:val="008D5C0A"/>
    <w:rsid w:val="008D5D02"/>
    <w:rsid w:val="008D5D57"/>
    <w:rsid w:val="008D6857"/>
    <w:rsid w:val="008D6EB4"/>
    <w:rsid w:val="008D779F"/>
    <w:rsid w:val="008D7F99"/>
    <w:rsid w:val="008E00CC"/>
    <w:rsid w:val="008E0A3B"/>
    <w:rsid w:val="008E0EA9"/>
    <w:rsid w:val="008E1B37"/>
    <w:rsid w:val="008E1D91"/>
    <w:rsid w:val="008E1E38"/>
    <w:rsid w:val="008E21C2"/>
    <w:rsid w:val="008E2435"/>
    <w:rsid w:val="008E2682"/>
    <w:rsid w:val="008E2849"/>
    <w:rsid w:val="008E2B4A"/>
    <w:rsid w:val="008E2B9E"/>
    <w:rsid w:val="008E2E0F"/>
    <w:rsid w:val="008E35E6"/>
    <w:rsid w:val="008E3CDC"/>
    <w:rsid w:val="008E402D"/>
    <w:rsid w:val="008E4191"/>
    <w:rsid w:val="008E43DB"/>
    <w:rsid w:val="008E44B4"/>
    <w:rsid w:val="008E45C0"/>
    <w:rsid w:val="008E4612"/>
    <w:rsid w:val="008E4923"/>
    <w:rsid w:val="008E4C87"/>
    <w:rsid w:val="008E4DE1"/>
    <w:rsid w:val="008E6340"/>
    <w:rsid w:val="008F095E"/>
    <w:rsid w:val="008F0A92"/>
    <w:rsid w:val="008F166A"/>
    <w:rsid w:val="008F1B3D"/>
    <w:rsid w:val="008F2292"/>
    <w:rsid w:val="008F29FB"/>
    <w:rsid w:val="008F2C80"/>
    <w:rsid w:val="008F2F85"/>
    <w:rsid w:val="008F35FB"/>
    <w:rsid w:val="008F3DC4"/>
    <w:rsid w:val="008F3DFA"/>
    <w:rsid w:val="008F42BB"/>
    <w:rsid w:val="008F50D3"/>
    <w:rsid w:val="008F535A"/>
    <w:rsid w:val="008F5364"/>
    <w:rsid w:val="008F5C77"/>
    <w:rsid w:val="008F5E7B"/>
    <w:rsid w:val="008F6532"/>
    <w:rsid w:val="008F695C"/>
    <w:rsid w:val="009001FF"/>
    <w:rsid w:val="009009F6"/>
    <w:rsid w:val="00900A6D"/>
    <w:rsid w:val="00900B4E"/>
    <w:rsid w:val="00901028"/>
    <w:rsid w:val="009012BF"/>
    <w:rsid w:val="00902D98"/>
    <w:rsid w:val="00902E7D"/>
    <w:rsid w:val="00903D94"/>
    <w:rsid w:val="009041E5"/>
    <w:rsid w:val="00904860"/>
    <w:rsid w:val="0090531E"/>
    <w:rsid w:val="00905578"/>
    <w:rsid w:val="009056B1"/>
    <w:rsid w:val="00905A7C"/>
    <w:rsid w:val="00905C81"/>
    <w:rsid w:val="00905EF3"/>
    <w:rsid w:val="00905FDC"/>
    <w:rsid w:val="00906091"/>
    <w:rsid w:val="00906315"/>
    <w:rsid w:val="00906A88"/>
    <w:rsid w:val="009075B6"/>
    <w:rsid w:val="0090768E"/>
    <w:rsid w:val="00907E9D"/>
    <w:rsid w:val="00907F18"/>
    <w:rsid w:val="00907FB4"/>
    <w:rsid w:val="009105CC"/>
    <w:rsid w:val="009108E6"/>
    <w:rsid w:val="00911020"/>
    <w:rsid w:val="009111DB"/>
    <w:rsid w:val="00911437"/>
    <w:rsid w:val="00911842"/>
    <w:rsid w:val="009128B2"/>
    <w:rsid w:val="00912946"/>
    <w:rsid w:val="00912A1C"/>
    <w:rsid w:val="00912D30"/>
    <w:rsid w:val="00912FBE"/>
    <w:rsid w:val="00913931"/>
    <w:rsid w:val="00913A00"/>
    <w:rsid w:val="00913D1C"/>
    <w:rsid w:val="0091407F"/>
    <w:rsid w:val="009143B6"/>
    <w:rsid w:val="0091440D"/>
    <w:rsid w:val="0091446B"/>
    <w:rsid w:val="00914BF2"/>
    <w:rsid w:val="0091573E"/>
    <w:rsid w:val="009158C0"/>
    <w:rsid w:val="00915A3C"/>
    <w:rsid w:val="00915FD9"/>
    <w:rsid w:val="00916938"/>
    <w:rsid w:val="00917A37"/>
    <w:rsid w:val="00917C5A"/>
    <w:rsid w:val="00917E0D"/>
    <w:rsid w:val="00920012"/>
    <w:rsid w:val="00920083"/>
    <w:rsid w:val="009203D9"/>
    <w:rsid w:val="0092048C"/>
    <w:rsid w:val="00920CFA"/>
    <w:rsid w:val="00920EF9"/>
    <w:rsid w:val="0092132A"/>
    <w:rsid w:val="00921395"/>
    <w:rsid w:val="00921A05"/>
    <w:rsid w:val="0092205C"/>
    <w:rsid w:val="009220E5"/>
    <w:rsid w:val="00922311"/>
    <w:rsid w:val="00922BB5"/>
    <w:rsid w:val="00923325"/>
    <w:rsid w:val="00923458"/>
    <w:rsid w:val="00923BB7"/>
    <w:rsid w:val="00924E4A"/>
    <w:rsid w:val="009257D4"/>
    <w:rsid w:val="00925F94"/>
    <w:rsid w:val="00926141"/>
    <w:rsid w:val="009264C9"/>
    <w:rsid w:val="00926CF1"/>
    <w:rsid w:val="00926E99"/>
    <w:rsid w:val="00927564"/>
    <w:rsid w:val="009302BF"/>
    <w:rsid w:val="0093087F"/>
    <w:rsid w:val="009309C9"/>
    <w:rsid w:val="00930A54"/>
    <w:rsid w:val="0093134E"/>
    <w:rsid w:val="00931795"/>
    <w:rsid w:val="00931C80"/>
    <w:rsid w:val="00931C9E"/>
    <w:rsid w:val="0093217D"/>
    <w:rsid w:val="00932254"/>
    <w:rsid w:val="009329FF"/>
    <w:rsid w:val="00932DCD"/>
    <w:rsid w:val="00932E0F"/>
    <w:rsid w:val="00933108"/>
    <w:rsid w:val="0093375B"/>
    <w:rsid w:val="009344D1"/>
    <w:rsid w:val="00934F65"/>
    <w:rsid w:val="0093506B"/>
    <w:rsid w:val="0093542C"/>
    <w:rsid w:val="009354CB"/>
    <w:rsid w:val="00935D08"/>
    <w:rsid w:val="00935EF3"/>
    <w:rsid w:val="00935F57"/>
    <w:rsid w:val="00937601"/>
    <w:rsid w:val="009400AB"/>
    <w:rsid w:val="009400B6"/>
    <w:rsid w:val="00940A38"/>
    <w:rsid w:val="00941016"/>
    <w:rsid w:val="00941333"/>
    <w:rsid w:val="00941814"/>
    <w:rsid w:val="00942422"/>
    <w:rsid w:val="00942C04"/>
    <w:rsid w:val="00943047"/>
    <w:rsid w:val="009438BB"/>
    <w:rsid w:val="009441E3"/>
    <w:rsid w:val="009448D0"/>
    <w:rsid w:val="00944B3C"/>
    <w:rsid w:val="00945431"/>
    <w:rsid w:val="00945603"/>
    <w:rsid w:val="00945832"/>
    <w:rsid w:val="00945B25"/>
    <w:rsid w:val="00945EB1"/>
    <w:rsid w:val="009465CB"/>
    <w:rsid w:val="009466BA"/>
    <w:rsid w:val="00946DB2"/>
    <w:rsid w:val="00946F28"/>
    <w:rsid w:val="0094728D"/>
    <w:rsid w:val="009474B4"/>
    <w:rsid w:val="0095026C"/>
    <w:rsid w:val="00950583"/>
    <w:rsid w:val="00950BE2"/>
    <w:rsid w:val="00950EA7"/>
    <w:rsid w:val="00950EDC"/>
    <w:rsid w:val="0095135D"/>
    <w:rsid w:val="009517F0"/>
    <w:rsid w:val="0095184B"/>
    <w:rsid w:val="00951CD8"/>
    <w:rsid w:val="009524AD"/>
    <w:rsid w:val="0095255B"/>
    <w:rsid w:val="00952E1F"/>
    <w:rsid w:val="0095324F"/>
    <w:rsid w:val="00953A6F"/>
    <w:rsid w:val="00954191"/>
    <w:rsid w:val="0095454A"/>
    <w:rsid w:val="00954717"/>
    <w:rsid w:val="00954DAB"/>
    <w:rsid w:val="00954FA9"/>
    <w:rsid w:val="009553E2"/>
    <w:rsid w:val="00955743"/>
    <w:rsid w:val="00955AE6"/>
    <w:rsid w:val="00955AF0"/>
    <w:rsid w:val="0095686B"/>
    <w:rsid w:val="00956CA7"/>
    <w:rsid w:val="00957D54"/>
    <w:rsid w:val="00957F94"/>
    <w:rsid w:val="00957FBE"/>
    <w:rsid w:val="00960448"/>
    <w:rsid w:val="00960541"/>
    <w:rsid w:val="00960562"/>
    <w:rsid w:val="0096073F"/>
    <w:rsid w:val="0096084A"/>
    <w:rsid w:val="00960856"/>
    <w:rsid w:val="00960A4C"/>
    <w:rsid w:val="00961DD8"/>
    <w:rsid w:val="00962261"/>
    <w:rsid w:val="00962CBD"/>
    <w:rsid w:val="00963416"/>
    <w:rsid w:val="00963613"/>
    <w:rsid w:val="00963A05"/>
    <w:rsid w:val="00963CA8"/>
    <w:rsid w:val="00963D3C"/>
    <w:rsid w:val="00964023"/>
    <w:rsid w:val="0096437D"/>
    <w:rsid w:val="00964E83"/>
    <w:rsid w:val="00964F30"/>
    <w:rsid w:val="00965401"/>
    <w:rsid w:val="0096561B"/>
    <w:rsid w:val="0096561D"/>
    <w:rsid w:val="009664A3"/>
    <w:rsid w:val="0096658F"/>
    <w:rsid w:val="009666E0"/>
    <w:rsid w:val="009667A3"/>
    <w:rsid w:val="009670B2"/>
    <w:rsid w:val="0097065E"/>
    <w:rsid w:val="00971182"/>
    <w:rsid w:val="00971609"/>
    <w:rsid w:val="00971BC2"/>
    <w:rsid w:val="00971D01"/>
    <w:rsid w:val="009727E8"/>
    <w:rsid w:val="00972BC1"/>
    <w:rsid w:val="00973850"/>
    <w:rsid w:val="00973C0F"/>
    <w:rsid w:val="0097426F"/>
    <w:rsid w:val="0097456F"/>
    <w:rsid w:val="009747D6"/>
    <w:rsid w:val="00975073"/>
    <w:rsid w:val="0097535B"/>
    <w:rsid w:val="009758C0"/>
    <w:rsid w:val="00975B3B"/>
    <w:rsid w:val="00975B8F"/>
    <w:rsid w:val="00975FE5"/>
    <w:rsid w:val="0097602F"/>
    <w:rsid w:val="00976CA5"/>
    <w:rsid w:val="0097715E"/>
    <w:rsid w:val="0097720A"/>
    <w:rsid w:val="00977CB6"/>
    <w:rsid w:val="00980603"/>
    <w:rsid w:val="00980A9A"/>
    <w:rsid w:val="00980AD4"/>
    <w:rsid w:val="00980D0B"/>
    <w:rsid w:val="00980F83"/>
    <w:rsid w:val="00981C50"/>
    <w:rsid w:val="00982090"/>
    <w:rsid w:val="009820B6"/>
    <w:rsid w:val="009821DF"/>
    <w:rsid w:val="00982417"/>
    <w:rsid w:val="00982924"/>
    <w:rsid w:val="00982B7E"/>
    <w:rsid w:val="00982C8D"/>
    <w:rsid w:val="00983526"/>
    <w:rsid w:val="00983B84"/>
    <w:rsid w:val="0098429C"/>
    <w:rsid w:val="00984730"/>
    <w:rsid w:val="0098495F"/>
    <w:rsid w:val="00984A06"/>
    <w:rsid w:val="00984DA9"/>
    <w:rsid w:val="00985A9F"/>
    <w:rsid w:val="00986688"/>
    <w:rsid w:val="00986A1D"/>
    <w:rsid w:val="00986D54"/>
    <w:rsid w:val="00986FD3"/>
    <w:rsid w:val="00987288"/>
    <w:rsid w:val="0098755E"/>
    <w:rsid w:val="00990301"/>
    <w:rsid w:val="009907C7"/>
    <w:rsid w:val="009910C9"/>
    <w:rsid w:val="00991323"/>
    <w:rsid w:val="009915C3"/>
    <w:rsid w:val="009919D1"/>
    <w:rsid w:val="00991B37"/>
    <w:rsid w:val="009926FD"/>
    <w:rsid w:val="00992EAB"/>
    <w:rsid w:val="009935D9"/>
    <w:rsid w:val="00993CF4"/>
    <w:rsid w:val="0099472E"/>
    <w:rsid w:val="00995560"/>
    <w:rsid w:val="00995A11"/>
    <w:rsid w:val="00995BC0"/>
    <w:rsid w:val="00996A9A"/>
    <w:rsid w:val="009976C6"/>
    <w:rsid w:val="009A0916"/>
    <w:rsid w:val="009A09C4"/>
    <w:rsid w:val="009A1472"/>
    <w:rsid w:val="009A1938"/>
    <w:rsid w:val="009A1DF1"/>
    <w:rsid w:val="009A1E90"/>
    <w:rsid w:val="009A2574"/>
    <w:rsid w:val="009A27A3"/>
    <w:rsid w:val="009A2810"/>
    <w:rsid w:val="009A282D"/>
    <w:rsid w:val="009A2979"/>
    <w:rsid w:val="009A2A00"/>
    <w:rsid w:val="009A2DD3"/>
    <w:rsid w:val="009A3423"/>
    <w:rsid w:val="009A34F4"/>
    <w:rsid w:val="009A3A5E"/>
    <w:rsid w:val="009A400D"/>
    <w:rsid w:val="009A4739"/>
    <w:rsid w:val="009A5BD5"/>
    <w:rsid w:val="009A5DBA"/>
    <w:rsid w:val="009A5FAC"/>
    <w:rsid w:val="009A62EC"/>
    <w:rsid w:val="009A69E5"/>
    <w:rsid w:val="009A6DB7"/>
    <w:rsid w:val="009A6F7C"/>
    <w:rsid w:val="009A7529"/>
    <w:rsid w:val="009A7A32"/>
    <w:rsid w:val="009A7C22"/>
    <w:rsid w:val="009B00E3"/>
    <w:rsid w:val="009B03A1"/>
    <w:rsid w:val="009B090B"/>
    <w:rsid w:val="009B0CD3"/>
    <w:rsid w:val="009B1052"/>
    <w:rsid w:val="009B14E0"/>
    <w:rsid w:val="009B1B3F"/>
    <w:rsid w:val="009B231D"/>
    <w:rsid w:val="009B24C2"/>
    <w:rsid w:val="009B24CE"/>
    <w:rsid w:val="009B2650"/>
    <w:rsid w:val="009B2B15"/>
    <w:rsid w:val="009B2BB9"/>
    <w:rsid w:val="009B3118"/>
    <w:rsid w:val="009B385E"/>
    <w:rsid w:val="009B3FC3"/>
    <w:rsid w:val="009B3FCE"/>
    <w:rsid w:val="009B471F"/>
    <w:rsid w:val="009B4E3A"/>
    <w:rsid w:val="009B52C7"/>
    <w:rsid w:val="009B5900"/>
    <w:rsid w:val="009B5911"/>
    <w:rsid w:val="009B5BF9"/>
    <w:rsid w:val="009B5ECF"/>
    <w:rsid w:val="009B6028"/>
    <w:rsid w:val="009B6348"/>
    <w:rsid w:val="009B636A"/>
    <w:rsid w:val="009B72E7"/>
    <w:rsid w:val="009B73B7"/>
    <w:rsid w:val="009B7471"/>
    <w:rsid w:val="009C00FC"/>
    <w:rsid w:val="009C01FA"/>
    <w:rsid w:val="009C05B7"/>
    <w:rsid w:val="009C2BDB"/>
    <w:rsid w:val="009C2E06"/>
    <w:rsid w:val="009C2F41"/>
    <w:rsid w:val="009C2FB0"/>
    <w:rsid w:val="009C32D0"/>
    <w:rsid w:val="009C3749"/>
    <w:rsid w:val="009C45FC"/>
    <w:rsid w:val="009C4630"/>
    <w:rsid w:val="009C483A"/>
    <w:rsid w:val="009C4B34"/>
    <w:rsid w:val="009C508F"/>
    <w:rsid w:val="009C50EF"/>
    <w:rsid w:val="009C58A5"/>
    <w:rsid w:val="009C59D6"/>
    <w:rsid w:val="009C5EFF"/>
    <w:rsid w:val="009C5F25"/>
    <w:rsid w:val="009C6233"/>
    <w:rsid w:val="009C699A"/>
    <w:rsid w:val="009C69E8"/>
    <w:rsid w:val="009C70C8"/>
    <w:rsid w:val="009C7656"/>
    <w:rsid w:val="009C7FA9"/>
    <w:rsid w:val="009D019D"/>
    <w:rsid w:val="009D053D"/>
    <w:rsid w:val="009D07FB"/>
    <w:rsid w:val="009D0975"/>
    <w:rsid w:val="009D09D5"/>
    <w:rsid w:val="009D0BF8"/>
    <w:rsid w:val="009D0D39"/>
    <w:rsid w:val="009D0FE2"/>
    <w:rsid w:val="009D13A4"/>
    <w:rsid w:val="009D1FF2"/>
    <w:rsid w:val="009D2031"/>
    <w:rsid w:val="009D2395"/>
    <w:rsid w:val="009D2BAC"/>
    <w:rsid w:val="009D2BD5"/>
    <w:rsid w:val="009D2D46"/>
    <w:rsid w:val="009D2FD1"/>
    <w:rsid w:val="009D3291"/>
    <w:rsid w:val="009D3746"/>
    <w:rsid w:val="009D3DC2"/>
    <w:rsid w:val="009D3E9D"/>
    <w:rsid w:val="009D3ECF"/>
    <w:rsid w:val="009D415F"/>
    <w:rsid w:val="009D4D50"/>
    <w:rsid w:val="009D6D7E"/>
    <w:rsid w:val="009D76FB"/>
    <w:rsid w:val="009E0012"/>
    <w:rsid w:val="009E03CA"/>
    <w:rsid w:val="009E03FD"/>
    <w:rsid w:val="009E153C"/>
    <w:rsid w:val="009E1641"/>
    <w:rsid w:val="009E194A"/>
    <w:rsid w:val="009E19BE"/>
    <w:rsid w:val="009E1AC2"/>
    <w:rsid w:val="009E1BDE"/>
    <w:rsid w:val="009E1E14"/>
    <w:rsid w:val="009E20F8"/>
    <w:rsid w:val="009E265E"/>
    <w:rsid w:val="009E2778"/>
    <w:rsid w:val="009E283B"/>
    <w:rsid w:val="009E2E73"/>
    <w:rsid w:val="009E32D6"/>
    <w:rsid w:val="009E3331"/>
    <w:rsid w:val="009E33A1"/>
    <w:rsid w:val="009E401E"/>
    <w:rsid w:val="009E407B"/>
    <w:rsid w:val="009E4526"/>
    <w:rsid w:val="009E5654"/>
    <w:rsid w:val="009E5BD7"/>
    <w:rsid w:val="009E5DC7"/>
    <w:rsid w:val="009E62E7"/>
    <w:rsid w:val="009E722F"/>
    <w:rsid w:val="009E7488"/>
    <w:rsid w:val="009E7F87"/>
    <w:rsid w:val="009F01D5"/>
    <w:rsid w:val="009F0A68"/>
    <w:rsid w:val="009F0E87"/>
    <w:rsid w:val="009F108D"/>
    <w:rsid w:val="009F1559"/>
    <w:rsid w:val="009F16F8"/>
    <w:rsid w:val="009F1817"/>
    <w:rsid w:val="009F18B5"/>
    <w:rsid w:val="009F1A0D"/>
    <w:rsid w:val="009F1ED8"/>
    <w:rsid w:val="009F1F6E"/>
    <w:rsid w:val="009F22DC"/>
    <w:rsid w:val="009F250C"/>
    <w:rsid w:val="009F2628"/>
    <w:rsid w:val="009F2756"/>
    <w:rsid w:val="009F281E"/>
    <w:rsid w:val="009F2FBB"/>
    <w:rsid w:val="009F3077"/>
    <w:rsid w:val="009F327C"/>
    <w:rsid w:val="009F3969"/>
    <w:rsid w:val="009F39AA"/>
    <w:rsid w:val="009F3BB6"/>
    <w:rsid w:val="009F3D42"/>
    <w:rsid w:val="009F3FA3"/>
    <w:rsid w:val="009F4026"/>
    <w:rsid w:val="009F4C75"/>
    <w:rsid w:val="009F55B5"/>
    <w:rsid w:val="009F5728"/>
    <w:rsid w:val="009F574F"/>
    <w:rsid w:val="009F5860"/>
    <w:rsid w:val="009F5D1C"/>
    <w:rsid w:val="009F6447"/>
    <w:rsid w:val="009F6B6B"/>
    <w:rsid w:val="009F6BBB"/>
    <w:rsid w:val="009F6E72"/>
    <w:rsid w:val="009F7007"/>
    <w:rsid w:val="009F727D"/>
    <w:rsid w:val="009F7922"/>
    <w:rsid w:val="009F7FE1"/>
    <w:rsid w:val="00A005AC"/>
    <w:rsid w:val="00A00A90"/>
    <w:rsid w:val="00A00D2F"/>
    <w:rsid w:val="00A010F8"/>
    <w:rsid w:val="00A0118D"/>
    <w:rsid w:val="00A01718"/>
    <w:rsid w:val="00A01B43"/>
    <w:rsid w:val="00A01FEB"/>
    <w:rsid w:val="00A0204C"/>
    <w:rsid w:val="00A0217B"/>
    <w:rsid w:val="00A0297F"/>
    <w:rsid w:val="00A03079"/>
    <w:rsid w:val="00A03323"/>
    <w:rsid w:val="00A03DFE"/>
    <w:rsid w:val="00A03E6F"/>
    <w:rsid w:val="00A04DF7"/>
    <w:rsid w:val="00A056CA"/>
    <w:rsid w:val="00A057EA"/>
    <w:rsid w:val="00A05F94"/>
    <w:rsid w:val="00A05FAF"/>
    <w:rsid w:val="00A06357"/>
    <w:rsid w:val="00A076C1"/>
    <w:rsid w:val="00A07A14"/>
    <w:rsid w:val="00A07E08"/>
    <w:rsid w:val="00A10498"/>
    <w:rsid w:val="00A107C7"/>
    <w:rsid w:val="00A10BC8"/>
    <w:rsid w:val="00A10D4D"/>
    <w:rsid w:val="00A10D75"/>
    <w:rsid w:val="00A114A2"/>
    <w:rsid w:val="00A11793"/>
    <w:rsid w:val="00A11EC7"/>
    <w:rsid w:val="00A1212A"/>
    <w:rsid w:val="00A12571"/>
    <w:rsid w:val="00A12E90"/>
    <w:rsid w:val="00A13094"/>
    <w:rsid w:val="00A13241"/>
    <w:rsid w:val="00A137C0"/>
    <w:rsid w:val="00A137E3"/>
    <w:rsid w:val="00A14EDC"/>
    <w:rsid w:val="00A155A3"/>
    <w:rsid w:val="00A155EC"/>
    <w:rsid w:val="00A15673"/>
    <w:rsid w:val="00A16104"/>
    <w:rsid w:val="00A1639A"/>
    <w:rsid w:val="00A165E0"/>
    <w:rsid w:val="00A16DBE"/>
    <w:rsid w:val="00A16E24"/>
    <w:rsid w:val="00A17035"/>
    <w:rsid w:val="00A171A1"/>
    <w:rsid w:val="00A17482"/>
    <w:rsid w:val="00A17958"/>
    <w:rsid w:val="00A17E51"/>
    <w:rsid w:val="00A20038"/>
    <w:rsid w:val="00A200E7"/>
    <w:rsid w:val="00A20252"/>
    <w:rsid w:val="00A20332"/>
    <w:rsid w:val="00A2049D"/>
    <w:rsid w:val="00A20599"/>
    <w:rsid w:val="00A207C7"/>
    <w:rsid w:val="00A20899"/>
    <w:rsid w:val="00A20970"/>
    <w:rsid w:val="00A20A8F"/>
    <w:rsid w:val="00A20F08"/>
    <w:rsid w:val="00A21474"/>
    <w:rsid w:val="00A214C2"/>
    <w:rsid w:val="00A2192C"/>
    <w:rsid w:val="00A22148"/>
    <w:rsid w:val="00A221BC"/>
    <w:rsid w:val="00A228BB"/>
    <w:rsid w:val="00A22A37"/>
    <w:rsid w:val="00A2361B"/>
    <w:rsid w:val="00A23692"/>
    <w:rsid w:val="00A236C5"/>
    <w:rsid w:val="00A23BE9"/>
    <w:rsid w:val="00A23E39"/>
    <w:rsid w:val="00A240C8"/>
    <w:rsid w:val="00A24631"/>
    <w:rsid w:val="00A254C4"/>
    <w:rsid w:val="00A258C0"/>
    <w:rsid w:val="00A25AE0"/>
    <w:rsid w:val="00A261C6"/>
    <w:rsid w:val="00A269B3"/>
    <w:rsid w:val="00A26D30"/>
    <w:rsid w:val="00A26F91"/>
    <w:rsid w:val="00A2727A"/>
    <w:rsid w:val="00A273E7"/>
    <w:rsid w:val="00A27EE0"/>
    <w:rsid w:val="00A30553"/>
    <w:rsid w:val="00A30FEB"/>
    <w:rsid w:val="00A313B3"/>
    <w:rsid w:val="00A31491"/>
    <w:rsid w:val="00A31CEB"/>
    <w:rsid w:val="00A31F8A"/>
    <w:rsid w:val="00A33208"/>
    <w:rsid w:val="00A332CF"/>
    <w:rsid w:val="00A33F2B"/>
    <w:rsid w:val="00A34126"/>
    <w:rsid w:val="00A341AA"/>
    <w:rsid w:val="00A341BF"/>
    <w:rsid w:val="00A343A2"/>
    <w:rsid w:val="00A347A5"/>
    <w:rsid w:val="00A34C4D"/>
    <w:rsid w:val="00A351C2"/>
    <w:rsid w:val="00A359A7"/>
    <w:rsid w:val="00A35BFC"/>
    <w:rsid w:val="00A363C6"/>
    <w:rsid w:val="00A36AF9"/>
    <w:rsid w:val="00A36E63"/>
    <w:rsid w:val="00A36E93"/>
    <w:rsid w:val="00A373FC"/>
    <w:rsid w:val="00A37F73"/>
    <w:rsid w:val="00A400F9"/>
    <w:rsid w:val="00A40157"/>
    <w:rsid w:val="00A40869"/>
    <w:rsid w:val="00A40911"/>
    <w:rsid w:val="00A40D9F"/>
    <w:rsid w:val="00A40F27"/>
    <w:rsid w:val="00A40F6F"/>
    <w:rsid w:val="00A415FD"/>
    <w:rsid w:val="00A42F07"/>
    <w:rsid w:val="00A42F46"/>
    <w:rsid w:val="00A43CDD"/>
    <w:rsid w:val="00A43D62"/>
    <w:rsid w:val="00A43DAD"/>
    <w:rsid w:val="00A441BF"/>
    <w:rsid w:val="00A44463"/>
    <w:rsid w:val="00A44541"/>
    <w:rsid w:val="00A446A3"/>
    <w:rsid w:val="00A456D6"/>
    <w:rsid w:val="00A456F8"/>
    <w:rsid w:val="00A457A6"/>
    <w:rsid w:val="00A45AF7"/>
    <w:rsid w:val="00A46124"/>
    <w:rsid w:val="00A46245"/>
    <w:rsid w:val="00A464AC"/>
    <w:rsid w:val="00A46FB6"/>
    <w:rsid w:val="00A47025"/>
    <w:rsid w:val="00A47E9F"/>
    <w:rsid w:val="00A50245"/>
    <w:rsid w:val="00A502FE"/>
    <w:rsid w:val="00A50511"/>
    <w:rsid w:val="00A506CB"/>
    <w:rsid w:val="00A50EEE"/>
    <w:rsid w:val="00A51111"/>
    <w:rsid w:val="00A512E9"/>
    <w:rsid w:val="00A51F7A"/>
    <w:rsid w:val="00A5206A"/>
    <w:rsid w:val="00A5299E"/>
    <w:rsid w:val="00A52AD0"/>
    <w:rsid w:val="00A52F6B"/>
    <w:rsid w:val="00A53133"/>
    <w:rsid w:val="00A53351"/>
    <w:rsid w:val="00A53C16"/>
    <w:rsid w:val="00A53E1D"/>
    <w:rsid w:val="00A53F81"/>
    <w:rsid w:val="00A54774"/>
    <w:rsid w:val="00A55784"/>
    <w:rsid w:val="00A559C6"/>
    <w:rsid w:val="00A55B30"/>
    <w:rsid w:val="00A55E34"/>
    <w:rsid w:val="00A56BF9"/>
    <w:rsid w:val="00A57AD0"/>
    <w:rsid w:val="00A603B7"/>
    <w:rsid w:val="00A60B5A"/>
    <w:rsid w:val="00A610E1"/>
    <w:rsid w:val="00A61780"/>
    <w:rsid w:val="00A61A16"/>
    <w:rsid w:val="00A61A76"/>
    <w:rsid w:val="00A61D95"/>
    <w:rsid w:val="00A61E0C"/>
    <w:rsid w:val="00A61E37"/>
    <w:rsid w:val="00A61E51"/>
    <w:rsid w:val="00A61F46"/>
    <w:rsid w:val="00A62C74"/>
    <w:rsid w:val="00A62D00"/>
    <w:rsid w:val="00A63614"/>
    <w:rsid w:val="00A63703"/>
    <w:rsid w:val="00A642D3"/>
    <w:rsid w:val="00A64BA9"/>
    <w:rsid w:val="00A64D7F"/>
    <w:rsid w:val="00A64F13"/>
    <w:rsid w:val="00A6556D"/>
    <w:rsid w:val="00A6661A"/>
    <w:rsid w:val="00A6691B"/>
    <w:rsid w:val="00A67AA4"/>
    <w:rsid w:val="00A67B05"/>
    <w:rsid w:val="00A70476"/>
    <w:rsid w:val="00A706A3"/>
    <w:rsid w:val="00A70843"/>
    <w:rsid w:val="00A708D6"/>
    <w:rsid w:val="00A71E83"/>
    <w:rsid w:val="00A72329"/>
    <w:rsid w:val="00A724ED"/>
    <w:rsid w:val="00A738B5"/>
    <w:rsid w:val="00A73D63"/>
    <w:rsid w:val="00A7411F"/>
    <w:rsid w:val="00A7429B"/>
    <w:rsid w:val="00A74826"/>
    <w:rsid w:val="00A74998"/>
    <w:rsid w:val="00A74FD1"/>
    <w:rsid w:val="00A75491"/>
    <w:rsid w:val="00A75D94"/>
    <w:rsid w:val="00A7637D"/>
    <w:rsid w:val="00A76DF9"/>
    <w:rsid w:val="00A772F0"/>
    <w:rsid w:val="00A77AF5"/>
    <w:rsid w:val="00A8014C"/>
    <w:rsid w:val="00A806E4"/>
    <w:rsid w:val="00A80734"/>
    <w:rsid w:val="00A8078F"/>
    <w:rsid w:val="00A80D71"/>
    <w:rsid w:val="00A80E54"/>
    <w:rsid w:val="00A80EA9"/>
    <w:rsid w:val="00A82150"/>
    <w:rsid w:val="00A825D4"/>
    <w:rsid w:val="00A82C30"/>
    <w:rsid w:val="00A8331B"/>
    <w:rsid w:val="00A842B4"/>
    <w:rsid w:val="00A844ED"/>
    <w:rsid w:val="00A84A49"/>
    <w:rsid w:val="00A84E32"/>
    <w:rsid w:val="00A8575A"/>
    <w:rsid w:val="00A8595F"/>
    <w:rsid w:val="00A85962"/>
    <w:rsid w:val="00A87633"/>
    <w:rsid w:val="00A87A4F"/>
    <w:rsid w:val="00A87B11"/>
    <w:rsid w:val="00A87CCE"/>
    <w:rsid w:val="00A903D4"/>
    <w:rsid w:val="00A909FC"/>
    <w:rsid w:val="00A91286"/>
    <w:rsid w:val="00A917BD"/>
    <w:rsid w:val="00A92C8D"/>
    <w:rsid w:val="00A933B4"/>
    <w:rsid w:val="00A938AE"/>
    <w:rsid w:val="00A93982"/>
    <w:rsid w:val="00A93A0C"/>
    <w:rsid w:val="00A93C95"/>
    <w:rsid w:val="00A93DC2"/>
    <w:rsid w:val="00A93DDA"/>
    <w:rsid w:val="00A94876"/>
    <w:rsid w:val="00A94CA6"/>
    <w:rsid w:val="00A94CE0"/>
    <w:rsid w:val="00A94D64"/>
    <w:rsid w:val="00A95BCA"/>
    <w:rsid w:val="00A960A6"/>
    <w:rsid w:val="00A963F9"/>
    <w:rsid w:val="00A967E2"/>
    <w:rsid w:val="00A969C9"/>
    <w:rsid w:val="00A96A59"/>
    <w:rsid w:val="00A97290"/>
    <w:rsid w:val="00A97394"/>
    <w:rsid w:val="00A97414"/>
    <w:rsid w:val="00A97E78"/>
    <w:rsid w:val="00AA007B"/>
    <w:rsid w:val="00AA0211"/>
    <w:rsid w:val="00AA038F"/>
    <w:rsid w:val="00AA040F"/>
    <w:rsid w:val="00AA073B"/>
    <w:rsid w:val="00AA086E"/>
    <w:rsid w:val="00AA23CD"/>
    <w:rsid w:val="00AA2644"/>
    <w:rsid w:val="00AA27F6"/>
    <w:rsid w:val="00AA28AC"/>
    <w:rsid w:val="00AA28D4"/>
    <w:rsid w:val="00AA2DFF"/>
    <w:rsid w:val="00AA3021"/>
    <w:rsid w:val="00AA3796"/>
    <w:rsid w:val="00AA38D9"/>
    <w:rsid w:val="00AA3ED4"/>
    <w:rsid w:val="00AA45FF"/>
    <w:rsid w:val="00AA504F"/>
    <w:rsid w:val="00AA5789"/>
    <w:rsid w:val="00AA58B5"/>
    <w:rsid w:val="00AA5B35"/>
    <w:rsid w:val="00AA5E82"/>
    <w:rsid w:val="00AA62E3"/>
    <w:rsid w:val="00AA6840"/>
    <w:rsid w:val="00AA6844"/>
    <w:rsid w:val="00AA6CC8"/>
    <w:rsid w:val="00AA7857"/>
    <w:rsid w:val="00AB01AE"/>
    <w:rsid w:val="00AB0893"/>
    <w:rsid w:val="00AB1800"/>
    <w:rsid w:val="00AB2380"/>
    <w:rsid w:val="00AB2A8E"/>
    <w:rsid w:val="00AB31FF"/>
    <w:rsid w:val="00AB494C"/>
    <w:rsid w:val="00AB4DFB"/>
    <w:rsid w:val="00AB6F12"/>
    <w:rsid w:val="00AB7245"/>
    <w:rsid w:val="00AC0322"/>
    <w:rsid w:val="00AC04D1"/>
    <w:rsid w:val="00AC08A7"/>
    <w:rsid w:val="00AC0A22"/>
    <w:rsid w:val="00AC12DE"/>
    <w:rsid w:val="00AC1CBC"/>
    <w:rsid w:val="00AC222E"/>
    <w:rsid w:val="00AC2EEE"/>
    <w:rsid w:val="00AC2F69"/>
    <w:rsid w:val="00AC3355"/>
    <w:rsid w:val="00AC3363"/>
    <w:rsid w:val="00AC3772"/>
    <w:rsid w:val="00AC3C6A"/>
    <w:rsid w:val="00AC55A3"/>
    <w:rsid w:val="00AC5832"/>
    <w:rsid w:val="00AC6664"/>
    <w:rsid w:val="00AC6732"/>
    <w:rsid w:val="00AC6999"/>
    <w:rsid w:val="00AC6A84"/>
    <w:rsid w:val="00AC6CD7"/>
    <w:rsid w:val="00AC6EFE"/>
    <w:rsid w:val="00AC6F96"/>
    <w:rsid w:val="00AC7B11"/>
    <w:rsid w:val="00AC7DD4"/>
    <w:rsid w:val="00AD0269"/>
    <w:rsid w:val="00AD077C"/>
    <w:rsid w:val="00AD0A2E"/>
    <w:rsid w:val="00AD104F"/>
    <w:rsid w:val="00AD1692"/>
    <w:rsid w:val="00AD2064"/>
    <w:rsid w:val="00AD2382"/>
    <w:rsid w:val="00AD2513"/>
    <w:rsid w:val="00AD2EF6"/>
    <w:rsid w:val="00AD31CE"/>
    <w:rsid w:val="00AD33B9"/>
    <w:rsid w:val="00AD3B61"/>
    <w:rsid w:val="00AD3D99"/>
    <w:rsid w:val="00AD433A"/>
    <w:rsid w:val="00AD4A8D"/>
    <w:rsid w:val="00AD558E"/>
    <w:rsid w:val="00AD6017"/>
    <w:rsid w:val="00AD6163"/>
    <w:rsid w:val="00AD7386"/>
    <w:rsid w:val="00AD7426"/>
    <w:rsid w:val="00AD75F8"/>
    <w:rsid w:val="00AD76FD"/>
    <w:rsid w:val="00AD7812"/>
    <w:rsid w:val="00AD78FD"/>
    <w:rsid w:val="00AD7935"/>
    <w:rsid w:val="00AD7B70"/>
    <w:rsid w:val="00AD7D7F"/>
    <w:rsid w:val="00AD7E54"/>
    <w:rsid w:val="00AE0444"/>
    <w:rsid w:val="00AE0705"/>
    <w:rsid w:val="00AE0F9A"/>
    <w:rsid w:val="00AE10D6"/>
    <w:rsid w:val="00AE113B"/>
    <w:rsid w:val="00AE1B95"/>
    <w:rsid w:val="00AE1BE0"/>
    <w:rsid w:val="00AE269E"/>
    <w:rsid w:val="00AE2A18"/>
    <w:rsid w:val="00AE2A27"/>
    <w:rsid w:val="00AE2CED"/>
    <w:rsid w:val="00AE2F99"/>
    <w:rsid w:val="00AE3322"/>
    <w:rsid w:val="00AE364B"/>
    <w:rsid w:val="00AE399A"/>
    <w:rsid w:val="00AE3BF0"/>
    <w:rsid w:val="00AE4352"/>
    <w:rsid w:val="00AE4353"/>
    <w:rsid w:val="00AE4728"/>
    <w:rsid w:val="00AE476E"/>
    <w:rsid w:val="00AE47FD"/>
    <w:rsid w:val="00AE519C"/>
    <w:rsid w:val="00AE5381"/>
    <w:rsid w:val="00AE53DF"/>
    <w:rsid w:val="00AE545E"/>
    <w:rsid w:val="00AE578D"/>
    <w:rsid w:val="00AE599B"/>
    <w:rsid w:val="00AE5E05"/>
    <w:rsid w:val="00AE603E"/>
    <w:rsid w:val="00AE6EF9"/>
    <w:rsid w:val="00AE7ACC"/>
    <w:rsid w:val="00AE7B82"/>
    <w:rsid w:val="00AE7E06"/>
    <w:rsid w:val="00AF0012"/>
    <w:rsid w:val="00AF0048"/>
    <w:rsid w:val="00AF048E"/>
    <w:rsid w:val="00AF0BD5"/>
    <w:rsid w:val="00AF0E0D"/>
    <w:rsid w:val="00AF0FB3"/>
    <w:rsid w:val="00AF1137"/>
    <w:rsid w:val="00AF1585"/>
    <w:rsid w:val="00AF17C2"/>
    <w:rsid w:val="00AF1866"/>
    <w:rsid w:val="00AF2548"/>
    <w:rsid w:val="00AF26E0"/>
    <w:rsid w:val="00AF292C"/>
    <w:rsid w:val="00AF3B27"/>
    <w:rsid w:val="00AF4207"/>
    <w:rsid w:val="00AF42C5"/>
    <w:rsid w:val="00AF4403"/>
    <w:rsid w:val="00AF4DCD"/>
    <w:rsid w:val="00AF52C2"/>
    <w:rsid w:val="00AF535D"/>
    <w:rsid w:val="00AF54A6"/>
    <w:rsid w:val="00AF5C0B"/>
    <w:rsid w:val="00AF5DC7"/>
    <w:rsid w:val="00AF6691"/>
    <w:rsid w:val="00AF677B"/>
    <w:rsid w:val="00AF739A"/>
    <w:rsid w:val="00B00080"/>
    <w:rsid w:val="00B00190"/>
    <w:rsid w:val="00B01B94"/>
    <w:rsid w:val="00B0251D"/>
    <w:rsid w:val="00B02534"/>
    <w:rsid w:val="00B02A79"/>
    <w:rsid w:val="00B02B10"/>
    <w:rsid w:val="00B03A89"/>
    <w:rsid w:val="00B03AD2"/>
    <w:rsid w:val="00B03C4A"/>
    <w:rsid w:val="00B03F6E"/>
    <w:rsid w:val="00B04884"/>
    <w:rsid w:val="00B04F60"/>
    <w:rsid w:val="00B051B3"/>
    <w:rsid w:val="00B052ED"/>
    <w:rsid w:val="00B05734"/>
    <w:rsid w:val="00B0583F"/>
    <w:rsid w:val="00B05C95"/>
    <w:rsid w:val="00B05D54"/>
    <w:rsid w:val="00B05E4A"/>
    <w:rsid w:val="00B05E93"/>
    <w:rsid w:val="00B0638E"/>
    <w:rsid w:val="00B06DF2"/>
    <w:rsid w:val="00B072AB"/>
    <w:rsid w:val="00B07ECC"/>
    <w:rsid w:val="00B104CB"/>
    <w:rsid w:val="00B10664"/>
    <w:rsid w:val="00B10C3B"/>
    <w:rsid w:val="00B112AD"/>
    <w:rsid w:val="00B1151C"/>
    <w:rsid w:val="00B11B7C"/>
    <w:rsid w:val="00B124FC"/>
    <w:rsid w:val="00B126C5"/>
    <w:rsid w:val="00B12B92"/>
    <w:rsid w:val="00B12F6D"/>
    <w:rsid w:val="00B12F6E"/>
    <w:rsid w:val="00B135F5"/>
    <w:rsid w:val="00B13A94"/>
    <w:rsid w:val="00B13B73"/>
    <w:rsid w:val="00B13D4C"/>
    <w:rsid w:val="00B13DCC"/>
    <w:rsid w:val="00B14187"/>
    <w:rsid w:val="00B142C6"/>
    <w:rsid w:val="00B14340"/>
    <w:rsid w:val="00B150DD"/>
    <w:rsid w:val="00B15131"/>
    <w:rsid w:val="00B15378"/>
    <w:rsid w:val="00B1539E"/>
    <w:rsid w:val="00B1560E"/>
    <w:rsid w:val="00B1612D"/>
    <w:rsid w:val="00B164EB"/>
    <w:rsid w:val="00B17C6D"/>
    <w:rsid w:val="00B20076"/>
    <w:rsid w:val="00B203AE"/>
    <w:rsid w:val="00B20984"/>
    <w:rsid w:val="00B20A5D"/>
    <w:rsid w:val="00B20F87"/>
    <w:rsid w:val="00B21305"/>
    <w:rsid w:val="00B21847"/>
    <w:rsid w:val="00B218CA"/>
    <w:rsid w:val="00B21911"/>
    <w:rsid w:val="00B21ECC"/>
    <w:rsid w:val="00B22242"/>
    <w:rsid w:val="00B22744"/>
    <w:rsid w:val="00B22DBD"/>
    <w:rsid w:val="00B22F3F"/>
    <w:rsid w:val="00B23DB5"/>
    <w:rsid w:val="00B2421E"/>
    <w:rsid w:val="00B24DEC"/>
    <w:rsid w:val="00B24E9B"/>
    <w:rsid w:val="00B258BB"/>
    <w:rsid w:val="00B26CAF"/>
    <w:rsid w:val="00B27155"/>
    <w:rsid w:val="00B2738E"/>
    <w:rsid w:val="00B27501"/>
    <w:rsid w:val="00B278C1"/>
    <w:rsid w:val="00B27BC0"/>
    <w:rsid w:val="00B27CAA"/>
    <w:rsid w:val="00B27EB0"/>
    <w:rsid w:val="00B27F3D"/>
    <w:rsid w:val="00B3038E"/>
    <w:rsid w:val="00B307F5"/>
    <w:rsid w:val="00B30F12"/>
    <w:rsid w:val="00B30FDB"/>
    <w:rsid w:val="00B31066"/>
    <w:rsid w:val="00B319FD"/>
    <w:rsid w:val="00B31A36"/>
    <w:rsid w:val="00B31A8A"/>
    <w:rsid w:val="00B31E27"/>
    <w:rsid w:val="00B3250D"/>
    <w:rsid w:val="00B32D84"/>
    <w:rsid w:val="00B3339C"/>
    <w:rsid w:val="00B336D7"/>
    <w:rsid w:val="00B33F2F"/>
    <w:rsid w:val="00B34146"/>
    <w:rsid w:val="00B34286"/>
    <w:rsid w:val="00B34336"/>
    <w:rsid w:val="00B34396"/>
    <w:rsid w:val="00B3462F"/>
    <w:rsid w:val="00B3470B"/>
    <w:rsid w:val="00B34A99"/>
    <w:rsid w:val="00B34BED"/>
    <w:rsid w:val="00B34C6C"/>
    <w:rsid w:val="00B34FFB"/>
    <w:rsid w:val="00B350D0"/>
    <w:rsid w:val="00B3536D"/>
    <w:rsid w:val="00B35372"/>
    <w:rsid w:val="00B35A04"/>
    <w:rsid w:val="00B35C41"/>
    <w:rsid w:val="00B35C91"/>
    <w:rsid w:val="00B36322"/>
    <w:rsid w:val="00B36A98"/>
    <w:rsid w:val="00B376F6"/>
    <w:rsid w:val="00B37A67"/>
    <w:rsid w:val="00B37D32"/>
    <w:rsid w:val="00B37DB7"/>
    <w:rsid w:val="00B37F5D"/>
    <w:rsid w:val="00B40240"/>
    <w:rsid w:val="00B40A4F"/>
    <w:rsid w:val="00B41386"/>
    <w:rsid w:val="00B41642"/>
    <w:rsid w:val="00B419E8"/>
    <w:rsid w:val="00B41E6B"/>
    <w:rsid w:val="00B4221E"/>
    <w:rsid w:val="00B426C1"/>
    <w:rsid w:val="00B42B02"/>
    <w:rsid w:val="00B42E44"/>
    <w:rsid w:val="00B43153"/>
    <w:rsid w:val="00B43898"/>
    <w:rsid w:val="00B438B6"/>
    <w:rsid w:val="00B43FE1"/>
    <w:rsid w:val="00B4470C"/>
    <w:rsid w:val="00B448B1"/>
    <w:rsid w:val="00B44C6B"/>
    <w:rsid w:val="00B452B7"/>
    <w:rsid w:val="00B45D0C"/>
    <w:rsid w:val="00B46BCE"/>
    <w:rsid w:val="00B4720C"/>
    <w:rsid w:val="00B50717"/>
    <w:rsid w:val="00B5180C"/>
    <w:rsid w:val="00B518B3"/>
    <w:rsid w:val="00B518CB"/>
    <w:rsid w:val="00B5243A"/>
    <w:rsid w:val="00B5248D"/>
    <w:rsid w:val="00B52C7C"/>
    <w:rsid w:val="00B52F31"/>
    <w:rsid w:val="00B53651"/>
    <w:rsid w:val="00B53B41"/>
    <w:rsid w:val="00B54E0A"/>
    <w:rsid w:val="00B555FB"/>
    <w:rsid w:val="00B55623"/>
    <w:rsid w:val="00B55964"/>
    <w:rsid w:val="00B55C35"/>
    <w:rsid w:val="00B56019"/>
    <w:rsid w:val="00B5647F"/>
    <w:rsid w:val="00B56975"/>
    <w:rsid w:val="00B56E6E"/>
    <w:rsid w:val="00B57113"/>
    <w:rsid w:val="00B57865"/>
    <w:rsid w:val="00B5792F"/>
    <w:rsid w:val="00B57B83"/>
    <w:rsid w:val="00B57F47"/>
    <w:rsid w:val="00B6033B"/>
    <w:rsid w:val="00B60F56"/>
    <w:rsid w:val="00B61154"/>
    <w:rsid w:val="00B61240"/>
    <w:rsid w:val="00B6134A"/>
    <w:rsid w:val="00B6169E"/>
    <w:rsid w:val="00B619C0"/>
    <w:rsid w:val="00B62259"/>
    <w:rsid w:val="00B627C9"/>
    <w:rsid w:val="00B62E84"/>
    <w:rsid w:val="00B63176"/>
    <w:rsid w:val="00B6321C"/>
    <w:rsid w:val="00B635AC"/>
    <w:rsid w:val="00B63E70"/>
    <w:rsid w:val="00B63F2D"/>
    <w:rsid w:val="00B64088"/>
    <w:rsid w:val="00B64435"/>
    <w:rsid w:val="00B6561D"/>
    <w:rsid w:val="00B65836"/>
    <w:rsid w:val="00B6590D"/>
    <w:rsid w:val="00B6645A"/>
    <w:rsid w:val="00B6648A"/>
    <w:rsid w:val="00B66A3E"/>
    <w:rsid w:val="00B672D5"/>
    <w:rsid w:val="00B702E0"/>
    <w:rsid w:val="00B70331"/>
    <w:rsid w:val="00B70334"/>
    <w:rsid w:val="00B703D7"/>
    <w:rsid w:val="00B70467"/>
    <w:rsid w:val="00B70BA3"/>
    <w:rsid w:val="00B70D6B"/>
    <w:rsid w:val="00B71100"/>
    <w:rsid w:val="00B71638"/>
    <w:rsid w:val="00B71948"/>
    <w:rsid w:val="00B71DBC"/>
    <w:rsid w:val="00B720A0"/>
    <w:rsid w:val="00B720CD"/>
    <w:rsid w:val="00B727A0"/>
    <w:rsid w:val="00B72A95"/>
    <w:rsid w:val="00B72D95"/>
    <w:rsid w:val="00B731E3"/>
    <w:rsid w:val="00B73498"/>
    <w:rsid w:val="00B73DAA"/>
    <w:rsid w:val="00B74214"/>
    <w:rsid w:val="00B7498E"/>
    <w:rsid w:val="00B74AFF"/>
    <w:rsid w:val="00B74E4D"/>
    <w:rsid w:val="00B74EC1"/>
    <w:rsid w:val="00B75B03"/>
    <w:rsid w:val="00B75D18"/>
    <w:rsid w:val="00B76125"/>
    <w:rsid w:val="00B761F5"/>
    <w:rsid w:val="00B76EBA"/>
    <w:rsid w:val="00B76F13"/>
    <w:rsid w:val="00B7741B"/>
    <w:rsid w:val="00B77A5F"/>
    <w:rsid w:val="00B77C1F"/>
    <w:rsid w:val="00B806B6"/>
    <w:rsid w:val="00B806DA"/>
    <w:rsid w:val="00B81A07"/>
    <w:rsid w:val="00B81EC7"/>
    <w:rsid w:val="00B82395"/>
    <w:rsid w:val="00B82676"/>
    <w:rsid w:val="00B8271F"/>
    <w:rsid w:val="00B82894"/>
    <w:rsid w:val="00B8302D"/>
    <w:rsid w:val="00B83D0E"/>
    <w:rsid w:val="00B83DFE"/>
    <w:rsid w:val="00B83E21"/>
    <w:rsid w:val="00B8453B"/>
    <w:rsid w:val="00B846D6"/>
    <w:rsid w:val="00B84A7B"/>
    <w:rsid w:val="00B84CD4"/>
    <w:rsid w:val="00B8510C"/>
    <w:rsid w:val="00B85519"/>
    <w:rsid w:val="00B865F4"/>
    <w:rsid w:val="00B86934"/>
    <w:rsid w:val="00B86D7D"/>
    <w:rsid w:val="00B8711E"/>
    <w:rsid w:val="00B90435"/>
    <w:rsid w:val="00B90A93"/>
    <w:rsid w:val="00B90CF9"/>
    <w:rsid w:val="00B90D76"/>
    <w:rsid w:val="00B9164F"/>
    <w:rsid w:val="00B9183B"/>
    <w:rsid w:val="00B926C7"/>
    <w:rsid w:val="00B92CF6"/>
    <w:rsid w:val="00B92E58"/>
    <w:rsid w:val="00B92F7C"/>
    <w:rsid w:val="00B932CB"/>
    <w:rsid w:val="00B94B3F"/>
    <w:rsid w:val="00B94BA7"/>
    <w:rsid w:val="00B95A82"/>
    <w:rsid w:val="00B962A7"/>
    <w:rsid w:val="00B96876"/>
    <w:rsid w:val="00B96AFE"/>
    <w:rsid w:val="00B96D5E"/>
    <w:rsid w:val="00B976FE"/>
    <w:rsid w:val="00B977C5"/>
    <w:rsid w:val="00B97A9E"/>
    <w:rsid w:val="00BA0C0D"/>
    <w:rsid w:val="00BA1001"/>
    <w:rsid w:val="00BA18EC"/>
    <w:rsid w:val="00BA1A00"/>
    <w:rsid w:val="00BA238E"/>
    <w:rsid w:val="00BA253A"/>
    <w:rsid w:val="00BA28E5"/>
    <w:rsid w:val="00BA322C"/>
    <w:rsid w:val="00BA393C"/>
    <w:rsid w:val="00BA3C73"/>
    <w:rsid w:val="00BA42D1"/>
    <w:rsid w:val="00BA44AF"/>
    <w:rsid w:val="00BA49C1"/>
    <w:rsid w:val="00BA4B9C"/>
    <w:rsid w:val="00BA5345"/>
    <w:rsid w:val="00BA561E"/>
    <w:rsid w:val="00BA5EB5"/>
    <w:rsid w:val="00BA5F4D"/>
    <w:rsid w:val="00BA6089"/>
    <w:rsid w:val="00BA6106"/>
    <w:rsid w:val="00BA6492"/>
    <w:rsid w:val="00BA64AF"/>
    <w:rsid w:val="00BA65F5"/>
    <w:rsid w:val="00BA753D"/>
    <w:rsid w:val="00BA7C57"/>
    <w:rsid w:val="00BB00DE"/>
    <w:rsid w:val="00BB05C0"/>
    <w:rsid w:val="00BB09D1"/>
    <w:rsid w:val="00BB0F15"/>
    <w:rsid w:val="00BB131A"/>
    <w:rsid w:val="00BB165B"/>
    <w:rsid w:val="00BB1764"/>
    <w:rsid w:val="00BB215E"/>
    <w:rsid w:val="00BB23D7"/>
    <w:rsid w:val="00BB2CED"/>
    <w:rsid w:val="00BB32F6"/>
    <w:rsid w:val="00BB343A"/>
    <w:rsid w:val="00BB37BE"/>
    <w:rsid w:val="00BB3F3C"/>
    <w:rsid w:val="00BB40FB"/>
    <w:rsid w:val="00BB420D"/>
    <w:rsid w:val="00BB421C"/>
    <w:rsid w:val="00BB477C"/>
    <w:rsid w:val="00BB4793"/>
    <w:rsid w:val="00BB4B4B"/>
    <w:rsid w:val="00BB4CC5"/>
    <w:rsid w:val="00BB5354"/>
    <w:rsid w:val="00BB55CF"/>
    <w:rsid w:val="00BB56AC"/>
    <w:rsid w:val="00BB591E"/>
    <w:rsid w:val="00BB5E66"/>
    <w:rsid w:val="00BB6070"/>
    <w:rsid w:val="00BB6227"/>
    <w:rsid w:val="00BB6412"/>
    <w:rsid w:val="00BB7048"/>
    <w:rsid w:val="00BB7425"/>
    <w:rsid w:val="00BC075C"/>
    <w:rsid w:val="00BC0D90"/>
    <w:rsid w:val="00BC1236"/>
    <w:rsid w:val="00BC1360"/>
    <w:rsid w:val="00BC13AA"/>
    <w:rsid w:val="00BC189A"/>
    <w:rsid w:val="00BC224F"/>
    <w:rsid w:val="00BC26DC"/>
    <w:rsid w:val="00BC2977"/>
    <w:rsid w:val="00BC34A5"/>
    <w:rsid w:val="00BC360A"/>
    <w:rsid w:val="00BC3B1B"/>
    <w:rsid w:val="00BC3E81"/>
    <w:rsid w:val="00BC4AE4"/>
    <w:rsid w:val="00BC5139"/>
    <w:rsid w:val="00BC56FC"/>
    <w:rsid w:val="00BC5C75"/>
    <w:rsid w:val="00BC606F"/>
    <w:rsid w:val="00BC670B"/>
    <w:rsid w:val="00BC6E92"/>
    <w:rsid w:val="00BC75BE"/>
    <w:rsid w:val="00BC7851"/>
    <w:rsid w:val="00BC7D32"/>
    <w:rsid w:val="00BC7EDD"/>
    <w:rsid w:val="00BD016F"/>
    <w:rsid w:val="00BD0406"/>
    <w:rsid w:val="00BD0523"/>
    <w:rsid w:val="00BD058E"/>
    <w:rsid w:val="00BD0AAC"/>
    <w:rsid w:val="00BD170D"/>
    <w:rsid w:val="00BD1A79"/>
    <w:rsid w:val="00BD1AE7"/>
    <w:rsid w:val="00BD280E"/>
    <w:rsid w:val="00BD28DB"/>
    <w:rsid w:val="00BD2B5A"/>
    <w:rsid w:val="00BD2F10"/>
    <w:rsid w:val="00BD2F6D"/>
    <w:rsid w:val="00BD3199"/>
    <w:rsid w:val="00BD38DC"/>
    <w:rsid w:val="00BD3D86"/>
    <w:rsid w:val="00BD3DA6"/>
    <w:rsid w:val="00BD3F76"/>
    <w:rsid w:val="00BD4115"/>
    <w:rsid w:val="00BD42D8"/>
    <w:rsid w:val="00BD43A1"/>
    <w:rsid w:val="00BD4918"/>
    <w:rsid w:val="00BD51A6"/>
    <w:rsid w:val="00BD5286"/>
    <w:rsid w:val="00BD5A61"/>
    <w:rsid w:val="00BD5FDA"/>
    <w:rsid w:val="00BD6A76"/>
    <w:rsid w:val="00BD6AD6"/>
    <w:rsid w:val="00BD7463"/>
    <w:rsid w:val="00BD7472"/>
    <w:rsid w:val="00BD74CD"/>
    <w:rsid w:val="00BD76FA"/>
    <w:rsid w:val="00BD7869"/>
    <w:rsid w:val="00BD7D7A"/>
    <w:rsid w:val="00BD7F4B"/>
    <w:rsid w:val="00BE032B"/>
    <w:rsid w:val="00BE0A03"/>
    <w:rsid w:val="00BE0A41"/>
    <w:rsid w:val="00BE0A8B"/>
    <w:rsid w:val="00BE0E9E"/>
    <w:rsid w:val="00BE14FE"/>
    <w:rsid w:val="00BE1867"/>
    <w:rsid w:val="00BE1FEE"/>
    <w:rsid w:val="00BE23E1"/>
    <w:rsid w:val="00BE24C4"/>
    <w:rsid w:val="00BE2B5B"/>
    <w:rsid w:val="00BE3A75"/>
    <w:rsid w:val="00BE3C89"/>
    <w:rsid w:val="00BE3E7C"/>
    <w:rsid w:val="00BE4A9A"/>
    <w:rsid w:val="00BE4FE4"/>
    <w:rsid w:val="00BE53D9"/>
    <w:rsid w:val="00BE566F"/>
    <w:rsid w:val="00BE5896"/>
    <w:rsid w:val="00BE705D"/>
    <w:rsid w:val="00BE70F5"/>
    <w:rsid w:val="00BE781D"/>
    <w:rsid w:val="00BE7D27"/>
    <w:rsid w:val="00BF01A4"/>
    <w:rsid w:val="00BF0621"/>
    <w:rsid w:val="00BF0D24"/>
    <w:rsid w:val="00BF190F"/>
    <w:rsid w:val="00BF1D87"/>
    <w:rsid w:val="00BF229F"/>
    <w:rsid w:val="00BF35A6"/>
    <w:rsid w:val="00BF3611"/>
    <w:rsid w:val="00BF3F61"/>
    <w:rsid w:val="00BF43B7"/>
    <w:rsid w:val="00BF48FD"/>
    <w:rsid w:val="00BF51B4"/>
    <w:rsid w:val="00BF5699"/>
    <w:rsid w:val="00BF58D1"/>
    <w:rsid w:val="00BF5C23"/>
    <w:rsid w:val="00BF5C64"/>
    <w:rsid w:val="00BF6911"/>
    <w:rsid w:val="00BF6AD6"/>
    <w:rsid w:val="00BF6D1A"/>
    <w:rsid w:val="00BF6E63"/>
    <w:rsid w:val="00BF6FFA"/>
    <w:rsid w:val="00BF7193"/>
    <w:rsid w:val="00BF74A4"/>
    <w:rsid w:val="00BF74D2"/>
    <w:rsid w:val="00BF7B9D"/>
    <w:rsid w:val="00C00050"/>
    <w:rsid w:val="00C00196"/>
    <w:rsid w:val="00C00756"/>
    <w:rsid w:val="00C011A3"/>
    <w:rsid w:val="00C021E1"/>
    <w:rsid w:val="00C025E6"/>
    <w:rsid w:val="00C025F3"/>
    <w:rsid w:val="00C030A0"/>
    <w:rsid w:val="00C0341E"/>
    <w:rsid w:val="00C03474"/>
    <w:rsid w:val="00C035C5"/>
    <w:rsid w:val="00C03626"/>
    <w:rsid w:val="00C0368E"/>
    <w:rsid w:val="00C03843"/>
    <w:rsid w:val="00C03997"/>
    <w:rsid w:val="00C03A7E"/>
    <w:rsid w:val="00C03D40"/>
    <w:rsid w:val="00C048E0"/>
    <w:rsid w:val="00C04D2A"/>
    <w:rsid w:val="00C04D3C"/>
    <w:rsid w:val="00C04EED"/>
    <w:rsid w:val="00C05242"/>
    <w:rsid w:val="00C05BC0"/>
    <w:rsid w:val="00C06115"/>
    <w:rsid w:val="00C06491"/>
    <w:rsid w:val="00C06549"/>
    <w:rsid w:val="00C068CA"/>
    <w:rsid w:val="00C069BF"/>
    <w:rsid w:val="00C0722B"/>
    <w:rsid w:val="00C07367"/>
    <w:rsid w:val="00C10421"/>
    <w:rsid w:val="00C11766"/>
    <w:rsid w:val="00C11991"/>
    <w:rsid w:val="00C11E0A"/>
    <w:rsid w:val="00C11FED"/>
    <w:rsid w:val="00C12871"/>
    <w:rsid w:val="00C12B04"/>
    <w:rsid w:val="00C12D27"/>
    <w:rsid w:val="00C1339E"/>
    <w:rsid w:val="00C13A6A"/>
    <w:rsid w:val="00C13C38"/>
    <w:rsid w:val="00C13EDB"/>
    <w:rsid w:val="00C14786"/>
    <w:rsid w:val="00C14982"/>
    <w:rsid w:val="00C14FE9"/>
    <w:rsid w:val="00C15053"/>
    <w:rsid w:val="00C1506D"/>
    <w:rsid w:val="00C151E2"/>
    <w:rsid w:val="00C15491"/>
    <w:rsid w:val="00C15571"/>
    <w:rsid w:val="00C15B80"/>
    <w:rsid w:val="00C15E36"/>
    <w:rsid w:val="00C162FB"/>
    <w:rsid w:val="00C166F9"/>
    <w:rsid w:val="00C1686B"/>
    <w:rsid w:val="00C17199"/>
    <w:rsid w:val="00C175FB"/>
    <w:rsid w:val="00C17893"/>
    <w:rsid w:val="00C17DF7"/>
    <w:rsid w:val="00C17E67"/>
    <w:rsid w:val="00C20A01"/>
    <w:rsid w:val="00C20A58"/>
    <w:rsid w:val="00C20DA1"/>
    <w:rsid w:val="00C20E91"/>
    <w:rsid w:val="00C214DF"/>
    <w:rsid w:val="00C21888"/>
    <w:rsid w:val="00C21BBF"/>
    <w:rsid w:val="00C21FAF"/>
    <w:rsid w:val="00C221F0"/>
    <w:rsid w:val="00C22206"/>
    <w:rsid w:val="00C22243"/>
    <w:rsid w:val="00C229BA"/>
    <w:rsid w:val="00C23092"/>
    <w:rsid w:val="00C23161"/>
    <w:rsid w:val="00C23DD3"/>
    <w:rsid w:val="00C24273"/>
    <w:rsid w:val="00C24B03"/>
    <w:rsid w:val="00C2547B"/>
    <w:rsid w:val="00C2607C"/>
    <w:rsid w:val="00C26083"/>
    <w:rsid w:val="00C2642A"/>
    <w:rsid w:val="00C264AD"/>
    <w:rsid w:val="00C27734"/>
    <w:rsid w:val="00C27B4B"/>
    <w:rsid w:val="00C27BEB"/>
    <w:rsid w:val="00C27F4D"/>
    <w:rsid w:val="00C3124A"/>
    <w:rsid w:val="00C31414"/>
    <w:rsid w:val="00C3199B"/>
    <w:rsid w:val="00C31C4E"/>
    <w:rsid w:val="00C32149"/>
    <w:rsid w:val="00C326F8"/>
    <w:rsid w:val="00C3278D"/>
    <w:rsid w:val="00C327D0"/>
    <w:rsid w:val="00C32BA6"/>
    <w:rsid w:val="00C32E79"/>
    <w:rsid w:val="00C332A9"/>
    <w:rsid w:val="00C332B7"/>
    <w:rsid w:val="00C34033"/>
    <w:rsid w:val="00C34876"/>
    <w:rsid w:val="00C34A0C"/>
    <w:rsid w:val="00C35B40"/>
    <w:rsid w:val="00C35CCD"/>
    <w:rsid w:val="00C3623E"/>
    <w:rsid w:val="00C36444"/>
    <w:rsid w:val="00C364C4"/>
    <w:rsid w:val="00C36554"/>
    <w:rsid w:val="00C372DA"/>
    <w:rsid w:val="00C3769B"/>
    <w:rsid w:val="00C37B28"/>
    <w:rsid w:val="00C40303"/>
    <w:rsid w:val="00C40B9B"/>
    <w:rsid w:val="00C41C54"/>
    <w:rsid w:val="00C4299A"/>
    <w:rsid w:val="00C435EB"/>
    <w:rsid w:val="00C440B6"/>
    <w:rsid w:val="00C4420F"/>
    <w:rsid w:val="00C44E0F"/>
    <w:rsid w:val="00C451A2"/>
    <w:rsid w:val="00C45674"/>
    <w:rsid w:val="00C456DF"/>
    <w:rsid w:val="00C45BC4"/>
    <w:rsid w:val="00C45E1E"/>
    <w:rsid w:val="00C45F5C"/>
    <w:rsid w:val="00C45F61"/>
    <w:rsid w:val="00C466EA"/>
    <w:rsid w:val="00C46D70"/>
    <w:rsid w:val="00C46D94"/>
    <w:rsid w:val="00C46F4B"/>
    <w:rsid w:val="00C47488"/>
    <w:rsid w:val="00C47A1B"/>
    <w:rsid w:val="00C50069"/>
    <w:rsid w:val="00C50E36"/>
    <w:rsid w:val="00C50F58"/>
    <w:rsid w:val="00C510F8"/>
    <w:rsid w:val="00C511D7"/>
    <w:rsid w:val="00C5162B"/>
    <w:rsid w:val="00C5195F"/>
    <w:rsid w:val="00C51BFE"/>
    <w:rsid w:val="00C51FCD"/>
    <w:rsid w:val="00C520FA"/>
    <w:rsid w:val="00C52457"/>
    <w:rsid w:val="00C52937"/>
    <w:rsid w:val="00C52CBB"/>
    <w:rsid w:val="00C52FB5"/>
    <w:rsid w:val="00C531B7"/>
    <w:rsid w:val="00C533CF"/>
    <w:rsid w:val="00C538DC"/>
    <w:rsid w:val="00C53906"/>
    <w:rsid w:val="00C5392A"/>
    <w:rsid w:val="00C53BF2"/>
    <w:rsid w:val="00C5402C"/>
    <w:rsid w:val="00C54691"/>
    <w:rsid w:val="00C54B36"/>
    <w:rsid w:val="00C55A2E"/>
    <w:rsid w:val="00C55A81"/>
    <w:rsid w:val="00C55D92"/>
    <w:rsid w:val="00C55E1B"/>
    <w:rsid w:val="00C5608C"/>
    <w:rsid w:val="00C568FD"/>
    <w:rsid w:val="00C56F5C"/>
    <w:rsid w:val="00C570B0"/>
    <w:rsid w:val="00C572B6"/>
    <w:rsid w:val="00C5760D"/>
    <w:rsid w:val="00C57D48"/>
    <w:rsid w:val="00C57E02"/>
    <w:rsid w:val="00C60044"/>
    <w:rsid w:val="00C60EA2"/>
    <w:rsid w:val="00C61674"/>
    <w:rsid w:val="00C61963"/>
    <w:rsid w:val="00C61EA2"/>
    <w:rsid w:val="00C624F9"/>
    <w:rsid w:val="00C631FC"/>
    <w:rsid w:val="00C63359"/>
    <w:rsid w:val="00C633B7"/>
    <w:rsid w:val="00C635C8"/>
    <w:rsid w:val="00C6363D"/>
    <w:rsid w:val="00C63723"/>
    <w:rsid w:val="00C6386D"/>
    <w:rsid w:val="00C638F0"/>
    <w:rsid w:val="00C6466B"/>
    <w:rsid w:val="00C6483C"/>
    <w:rsid w:val="00C64BF1"/>
    <w:rsid w:val="00C6515E"/>
    <w:rsid w:val="00C65B9E"/>
    <w:rsid w:val="00C65C3A"/>
    <w:rsid w:val="00C65F30"/>
    <w:rsid w:val="00C66031"/>
    <w:rsid w:val="00C66083"/>
    <w:rsid w:val="00C66F51"/>
    <w:rsid w:val="00C70075"/>
    <w:rsid w:val="00C70126"/>
    <w:rsid w:val="00C7015E"/>
    <w:rsid w:val="00C706B5"/>
    <w:rsid w:val="00C70B8D"/>
    <w:rsid w:val="00C70DEB"/>
    <w:rsid w:val="00C71077"/>
    <w:rsid w:val="00C710C7"/>
    <w:rsid w:val="00C729A8"/>
    <w:rsid w:val="00C72EF7"/>
    <w:rsid w:val="00C7321B"/>
    <w:rsid w:val="00C732C5"/>
    <w:rsid w:val="00C73B78"/>
    <w:rsid w:val="00C74080"/>
    <w:rsid w:val="00C74892"/>
    <w:rsid w:val="00C74A44"/>
    <w:rsid w:val="00C751CA"/>
    <w:rsid w:val="00C75EEF"/>
    <w:rsid w:val="00C76566"/>
    <w:rsid w:val="00C76590"/>
    <w:rsid w:val="00C7737C"/>
    <w:rsid w:val="00C77730"/>
    <w:rsid w:val="00C81543"/>
    <w:rsid w:val="00C81A64"/>
    <w:rsid w:val="00C820A4"/>
    <w:rsid w:val="00C820E5"/>
    <w:rsid w:val="00C8211E"/>
    <w:rsid w:val="00C82192"/>
    <w:rsid w:val="00C821C3"/>
    <w:rsid w:val="00C822E3"/>
    <w:rsid w:val="00C82398"/>
    <w:rsid w:val="00C82E26"/>
    <w:rsid w:val="00C83443"/>
    <w:rsid w:val="00C83737"/>
    <w:rsid w:val="00C83F5A"/>
    <w:rsid w:val="00C8407F"/>
    <w:rsid w:val="00C8462E"/>
    <w:rsid w:val="00C854CC"/>
    <w:rsid w:val="00C8557B"/>
    <w:rsid w:val="00C85678"/>
    <w:rsid w:val="00C85CB7"/>
    <w:rsid w:val="00C85D09"/>
    <w:rsid w:val="00C86E00"/>
    <w:rsid w:val="00C87365"/>
    <w:rsid w:val="00C87638"/>
    <w:rsid w:val="00C87925"/>
    <w:rsid w:val="00C87CFF"/>
    <w:rsid w:val="00C90107"/>
    <w:rsid w:val="00C909F9"/>
    <w:rsid w:val="00C90A7C"/>
    <w:rsid w:val="00C90ACC"/>
    <w:rsid w:val="00C92107"/>
    <w:rsid w:val="00C921B1"/>
    <w:rsid w:val="00C9224F"/>
    <w:rsid w:val="00C93248"/>
    <w:rsid w:val="00C9362E"/>
    <w:rsid w:val="00C9381F"/>
    <w:rsid w:val="00C93A20"/>
    <w:rsid w:val="00C942C8"/>
    <w:rsid w:val="00C946AF"/>
    <w:rsid w:val="00C94758"/>
    <w:rsid w:val="00C94A25"/>
    <w:rsid w:val="00C94B02"/>
    <w:rsid w:val="00C9558A"/>
    <w:rsid w:val="00C95654"/>
    <w:rsid w:val="00C96339"/>
    <w:rsid w:val="00C967D4"/>
    <w:rsid w:val="00C96BB6"/>
    <w:rsid w:val="00C96DAD"/>
    <w:rsid w:val="00C97323"/>
    <w:rsid w:val="00C975CA"/>
    <w:rsid w:val="00C9785A"/>
    <w:rsid w:val="00C979DB"/>
    <w:rsid w:val="00CA02A9"/>
    <w:rsid w:val="00CA03E2"/>
    <w:rsid w:val="00CA14AD"/>
    <w:rsid w:val="00CA1A25"/>
    <w:rsid w:val="00CA1CF9"/>
    <w:rsid w:val="00CA3497"/>
    <w:rsid w:val="00CA351D"/>
    <w:rsid w:val="00CA3B2D"/>
    <w:rsid w:val="00CA3CD0"/>
    <w:rsid w:val="00CA408E"/>
    <w:rsid w:val="00CA47EF"/>
    <w:rsid w:val="00CA5E2B"/>
    <w:rsid w:val="00CA600D"/>
    <w:rsid w:val="00CA62CF"/>
    <w:rsid w:val="00CA665B"/>
    <w:rsid w:val="00CA6908"/>
    <w:rsid w:val="00CA6FFE"/>
    <w:rsid w:val="00CA7612"/>
    <w:rsid w:val="00CA79BB"/>
    <w:rsid w:val="00CA7DFC"/>
    <w:rsid w:val="00CB0B98"/>
    <w:rsid w:val="00CB0F8E"/>
    <w:rsid w:val="00CB1206"/>
    <w:rsid w:val="00CB1C31"/>
    <w:rsid w:val="00CB2199"/>
    <w:rsid w:val="00CB2886"/>
    <w:rsid w:val="00CB2921"/>
    <w:rsid w:val="00CB2A1B"/>
    <w:rsid w:val="00CB31C0"/>
    <w:rsid w:val="00CB33D1"/>
    <w:rsid w:val="00CB3605"/>
    <w:rsid w:val="00CB3832"/>
    <w:rsid w:val="00CB39E3"/>
    <w:rsid w:val="00CB3A7D"/>
    <w:rsid w:val="00CB42AB"/>
    <w:rsid w:val="00CB4879"/>
    <w:rsid w:val="00CB4D5F"/>
    <w:rsid w:val="00CB5022"/>
    <w:rsid w:val="00CB517A"/>
    <w:rsid w:val="00CB5E77"/>
    <w:rsid w:val="00CB681C"/>
    <w:rsid w:val="00CB745A"/>
    <w:rsid w:val="00CB7748"/>
    <w:rsid w:val="00CB7A36"/>
    <w:rsid w:val="00CB7B1F"/>
    <w:rsid w:val="00CC0082"/>
    <w:rsid w:val="00CC0405"/>
    <w:rsid w:val="00CC0654"/>
    <w:rsid w:val="00CC0692"/>
    <w:rsid w:val="00CC0BBC"/>
    <w:rsid w:val="00CC1390"/>
    <w:rsid w:val="00CC2D5E"/>
    <w:rsid w:val="00CC3230"/>
    <w:rsid w:val="00CC47FE"/>
    <w:rsid w:val="00CC48C1"/>
    <w:rsid w:val="00CC4AFA"/>
    <w:rsid w:val="00CC5567"/>
    <w:rsid w:val="00CC5BCC"/>
    <w:rsid w:val="00CC5FD4"/>
    <w:rsid w:val="00CC62F2"/>
    <w:rsid w:val="00CC6847"/>
    <w:rsid w:val="00CC69EB"/>
    <w:rsid w:val="00CD0208"/>
    <w:rsid w:val="00CD045F"/>
    <w:rsid w:val="00CD0E92"/>
    <w:rsid w:val="00CD0EC8"/>
    <w:rsid w:val="00CD1181"/>
    <w:rsid w:val="00CD1286"/>
    <w:rsid w:val="00CD1480"/>
    <w:rsid w:val="00CD1C6E"/>
    <w:rsid w:val="00CD2380"/>
    <w:rsid w:val="00CD242A"/>
    <w:rsid w:val="00CD28B1"/>
    <w:rsid w:val="00CD2A86"/>
    <w:rsid w:val="00CD3BC1"/>
    <w:rsid w:val="00CD3EEE"/>
    <w:rsid w:val="00CD448D"/>
    <w:rsid w:val="00CD46BD"/>
    <w:rsid w:val="00CD4A8A"/>
    <w:rsid w:val="00CD4AB6"/>
    <w:rsid w:val="00CD54E2"/>
    <w:rsid w:val="00CD55AB"/>
    <w:rsid w:val="00CD567F"/>
    <w:rsid w:val="00CD65B6"/>
    <w:rsid w:val="00CD66C7"/>
    <w:rsid w:val="00CD694D"/>
    <w:rsid w:val="00CD70C9"/>
    <w:rsid w:val="00CD7DA4"/>
    <w:rsid w:val="00CE04D8"/>
    <w:rsid w:val="00CE068F"/>
    <w:rsid w:val="00CE1558"/>
    <w:rsid w:val="00CE2539"/>
    <w:rsid w:val="00CE25D6"/>
    <w:rsid w:val="00CE302A"/>
    <w:rsid w:val="00CE32A6"/>
    <w:rsid w:val="00CE32A8"/>
    <w:rsid w:val="00CE4A2C"/>
    <w:rsid w:val="00CE4E6D"/>
    <w:rsid w:val="00CE6B92"/>
    <w:rsid w:val="00CE6D0E"/>
    <w:rsid w:val="00CE7575"/>
    <w:rsid w:val="00CE7986"/>
    <w:rsid w:val="00CE7B6C"/>
    <w:rsid w:val="00CF032C"/>
    <w:rsid w:val="00CF07E4"/>
    <w:rsid w:val="00CF0980"/>
    <w:rsid w:val="00CF09F0"/>
    <w:rsid w:val="00CF0B1A"/>
    <w:rsid w:val="00CF0B26"/>
    <w:rsid w:val="00CF1321"/>
    <w:rsid w:val="00CF15FA"/>
    <w:rsid w:val="00CF16A0"/>
    <w:rsid w:val="00CF1800"/>
    <w:rsid w:val="00CF1997"/>
    <w:rsid w:val="00CF19CB"/>
    <w:rsid w:val="00CF21A0"/>
    <w:rsid w:val="00CF2572"/>
    <w:rsid w:val="00CF27E8"/>
    <w:rsid w:val="00CF3030"/>
    <w:rsid w:val="00CF3264"/>
    <w:rsid w:val="00CF3398"/>
    <w:rsid w:val="00CF3B6F"/>
    <w:rsid w:val="00CF3BBA"/>
    <w:rsid w:val="00CF41C1"/>
    <w:rsid w:val="00CF4378"/>
    <w:rsid w:val="00CF4BC3"/>
    <w:rsid w:val="00CF4FB9"/>
    <w:rsid w:val="00CF50CC"/>
    <w:rsid w:val="00CF5B11"/>
    <w:rsid w:val="00CF6227"/>
    <w:rsid w:val="00CF631D"/>
    <w:rsid w:val="00CF68CE"/>
    <w:rsid w:val="00CF6B2F"/>
    <w:rsid w:val="00CF6CBE"/>
    <w:rsid w:val="00CF6D6D"/>
    <w:rsid w:val="00CF7688"/>
    <w:rsid w:val="00D005F9"/>
    <w:rsid w:val="00D006D7"/>
    <w:rsid w:val="00D01412"/>
    <w:rsid w:val="00D0141D"/>
    <w:rsid w:val="00D019F5"/>
    <w:rsid w:val="00D01EB3"/>
    <w:rsid w:val="00D022F2"/>
    <w:rsid w:val="00D0271D"/>
    <w:rsid w:val="00D02B07"/>
    <w:rsid w:val="00D02FB5"/>
    <w:rsid w:val="00D03187"/>
    <w:rsid w:val="00D03367"/>
    <w:rsid w:val="00D035F8"/>
    <w:rsid w:val="00D03A61"/>
    <w:rsid w:val="00D03EE0"/>
    <w:rsid w:val="00D0417B"/>
    <w:rsid w:val="00D047B5"/>
    <w:rsid w:val="00D04A6E"/>
    <w:rsid w:val="00D05011"/>
    <w:rsid w:val="00D05097"/>
    <w:rsid w:val="00D05172"/>
    <w:rsid w:val="00D05499"/>
    <w:rsid w:val="00D0691C"/>
    <w:rsid w:val="00D06CB4"/>
    <w:rsid w:val="00D071ED"/>
    <w:rsid w:val="00D0730F"/>
    <w:rsid w:val="00D07760"/>
    <w:rsid w:val="00D07ECB"/>
    <w:rsid w:val="00D100F1"/>
    <w:rsid w:val="00D10A83"/>
    <w:rsid w:val="00D10C6D"/>
    <w:rsid w:val="00D1219B"/>
    <w:rsid w:val="00D1265E"/>
    <w:rsid w:val="00D12869"/>
    <w:rsid w:val="00D12961"/>
    <w:rsid w:val="00D12FCC"/>
    <w:rsid w:val="00D12FD6"/>
    <w:rsid w:val="00D13EDB"/>
    <w:rsid w:val="00D15319"/>
    <w:rsid w:val="00D1565A"/>
    <w:rsid w:val="00D157C5"/>
    <w:rsid w:val="00D158EE"/>
    <w:rsid w:val="00D15C33"/>
    <w:rsid w:val="00D15E21"/>
    <w:rsid w:val="00D16FAB"/>
    <w:rsid w:val="00D170F9"/>
    <w:rsid w:val="00D174E3"/>
    <w:rsid w:val="00D17574"/>
    <w:rsid w:val="00D17819"/>
    <w:rsid w:val="00D17F2A"/>
    <w:rsid w:val="00D20518"/>
    <w:rsid w:val="00D207B0"/>
    <w:rsid w:val="00D20C3D"/>
    <w:rsid w:val="00D2162A"/>
    <w:rsid w:val="00D21B86"/>
    <w:rsid w:val="00D224F2"/>
    <w:rsid w:val="00D2260D"/>
    <w:rsid w:val="00D22A37"/>
    <w:rsid w:val="00D22FC1"/>
    <w:rsid w:val="00D236FB"/>
    <w:rsid w:val="00D23930"/>
    <w:rsid w:val="00D24038"/>
    <w:rsid w:val="00D24279"/>
    <w:rsid w:val="00D24FB9"/>
    <w:rsid w:val="00D251D4"/>
    <w:rsid w:val="00D2535D"/>
    <w:rsid w:val="00D25A0C"/>
    <w:rsid w:val="00D25FE3"/>
    <w:rsid w:val="00D26194"/>
    <w:rsid w:val="00D26A1C"/>
    <w:rsid w:val="00D26B36"/>
    <w:rsid w:val="00D26C50"/>
    <w:rsid w:val="00D2707F"/>
    <w:rsid w:val="00D2773B"/>
    <w:rsid w:val="00D27835"/>
    <w:rsid w:val="00D279C6"/>
    <w:rsid w:val="00D27B8E"/>
    <w:rsid w:val="00D27C2F"/>
    <w:rsid w:val="00D302F1"/>
    <w:rsid w:val="00D303D6"/>
    <w:rsid w:val="00D3053A"/>
    <w:rsid w:val="00D3056B"/>
    <w:rsid w:val="00D30B2B"/>
    <w:rsid w:val="00D30CD3"/>
    <w:rsid w:val="00D312F7"/>
    <w:rsid w:val="00D31363"/>
    <w:rsid w:val="00D319EB"/>
    <w:rsid w:val="00D31AC6"/>
    <w:rsid w:val="00D31EB8"/>
    <w:rsid w:val="00D3223C"/>
    <w:rsid w:val="00D3237F"/>
    <w:rsid w:val="00D32C5C"/>
    <w:rsid w:val="00D32C8F"/>
    <w:rsid w:val="00D33764"/>
    <w:rsid w:val="00D338B5"/>
    <w:rsid w:val="00D34A72"/>
    <w:rsid w:val="00D34B28"/>
    <w:rsid w:val="00D34C26"/>
    <w:rsid w:val="00D352C1"/>
    <w:rsid w:val="00D35AA9"/>
    <w:rsid w:val="00D35AB0"/>
    <w:rsid w:val="00D36D15"/>
    <w:rsid w:val="00D36E88"/>
    <w:rsid w:val="00D37C2F"/>
    <w:rsid w:val="00D40882"/>
    <w:rsid w:val="00D40BF6"/>
    <w:rsid w:val="00D41150"/>
    <w:rsid w:val="00D411DA"/>
    <w:rsid w:val="00D415C0"/>
    <w:rsid w:val="00D416A8"/>
    <w:rsid w:val="00D41717"/>
    <w:rsid w:val="00D4184E"/>
    <w:rsid w:val="00D41B3C"/>
    <w:rsid w:val="00D41B59"/>
    <w:rsid w:val="00D41E73"/>
    <w:rsid w:val="00D41F54"/>
    <w:rsid w:val="00D424D8"/>
    <w:rsid w:val="00D42508"/>
    <w:rsid w:val="00D425F4"/>
    <w:rsid w:val="00D42716"/>
    <w:rsid w:val="00D42749"/>
    <w:rsid w:val="00D42B87"/>
    <w:rsid w:val="00D42E21"/>
    <w:rsid w:val="00D43B8A"/>
    <w:rsid w:val="00D4427A"/>
    <w:rsid w:val="00D4433A"/>
    <w:rsid w:val="00D44C1D"/>
    <w:rsid w:val="00D4664C"/>
    <w:rsid w:val="00D46DA2"/>
    <w:rsid w:val="00D4733F"/>
    <w:rsid w:val="00D47B59"/>
    <w:rsid w:val="00D47DA4"/>
    <w:rsid w:val="00D50759"/>
    <w:rsid w:val="00D50EC4"/>
    <w:rsid w:val="00D51001"/>
    <w:rsid w:val="00D5104B"/>
    <w:rsid w:val="00D510B4"/>
    <w:rsid w:val="00D51C2E"/>
    <w:rsid w:val="00D52463"/>
    <w:rsid w:val="00D52878"/>
    <w:rsid w:val="00D53596"/>
    <w:rsid w:val="00D53739"/>
    <w:rsid w:val="00D53BD4"/>
    <w:rsid w:val="00D5454B"/>
    <w:rsid w:val="00D54A21"/>
    <w:rsid w:val="00D559AA"/>
    <w:rsid w:val="00D5632E"/>
    <w:rsid w:val="00D5671B"/>
    <w:rsid w:val="00D56B49"/>
    <w:rsid w:val="00D577DF"/>
    <w:rsid w:val="00D57E55"/>
    <w:rsid w:val="00D601AF"/>
    <w:rsid w:val="00D602C9"/>
    <w:rsid w:val="00D60406"/>
    <w:rsid w:val="00D60F01"/>
    <w:rsid w:val="00D60F03"/>
    <w:rsid w:val="00D61137"/>
    <w:rsid w:val="00D6174B"/>
    <w:rsid w:val="00D61C52"/>
    <w:rsid w:val="00D61ED2"/>
    <w:rsid w:val="00D6273C"/>
    <w:rsid w:val="00D63CFF"/>
    <w:rsid w:val="00D63D32"/>
    <w:rsid w:val="00D64877"/>
    <w:rsid w:val="00D6487E"/>
    <w:rsid w:val="00D64F5B"/>
    <w:rsid w:val="00D65423"/>
    <w:rsid w:val="00D65AD6"/>
    <w:rsid w:val="00D65DFD"/>
    <w:rsid w:val="00D65F8F"/>
    <w:rsid w:val="00D66220"/>
    <w:rsid w:val="00D669C3"/>
    <w:rsid w:val="00D66D8F"/>
    <w:rsid w:val="00D70BD4"/>
    <w:rsid w:val="00D710B5"/>
    <w:rsid w:val="00D7155B"/>
    <w:rsid w:val="00D71934"/>
    <w:rsid w:val="00D725D9"/>
    <w:rsid w:val="00D7270F"/>
    <w:rsid w:val="00D7312E"/>
    <w:rsid w:val="00D73943"/>
    <w:rsid w:val="00D73D13"/>
    <w:rsid w:val="00D73DDA"/>
    <w:rsid w:val="00D74342"/>
    <w:rsid w:val="00D745A3"/>
    <w:rsid w:val="00D74625"/>
    <w:rsid w:val="00D74826"/>
    <w:rsid w:val="00D752B8"/>
    <w:rsid w:val="00D75313"/>
    <w:rsid w:val="00D7545E"/>
    <w:rsid w:val="00D761D7"/>
    <w:rsid w:val="00D7640A"/>
    <w:rsid w:val="00D76486"/>
    <w:rsid w:val="00D769A6"/>
    <w:rsid w:val="00D7727A"/>
    <w:rsid w:val="00D77B1B"/>
    <w:rsid w:val="00D77BD5"/>
    <w:rsid w:val="00D77D22"/>
    <w:rsid w:val="00D77D2E"/>
    <w:rsid w:val="00D800E8"/>
    <w:rsid w:val="00D80A4C"/>
    <w:rsid w:val="00D80FCD"/>
    <w:rsid w:val="00D81173"/>
    <w:rsid w:val="00D817D9"/>
    <w:rsid w:val="00D81AA6"/>
    <w:rsid w:val="00D8323B"/>
    <w:rsid w:val="00D834C9"/>
    <w:rsid w:val="00D8373D"/>
    <w:rsid w:val="00D8396B"/>
    <w:rsid w:val="00D83FD6"/>
    <w:rsid w:val="00D840CB"/>
    <w:rsid w:val="00D8428F"/>
    <w:rsid w:val="00D84CFA"/>
    <w:rsid w:val="00D8520F"/>
    <w:rsid w:val="00D85649"/>
    <w:rsid w:val="00D86BA6"/>
    <w:rsid w:val="00D86F99"/>
    <w:rsid w:val="00D87110"/>
    <w:rsid w:val="00D8722C"/>
    <w:rsid w:val="00D8734B"/>
    <w:rsid w:val="00D87510"/>
    <w:rsid w:val="00D8766F"/>
    <w:rsid w:val="00D8789C"/>
    <w:rsid w:val="00D87A99"/>
    <w:rsid w:val="00D87AC6"/>
    <w:rsid w:val="00D87BFF"/>
    <w:rsid w:val="00D87D19"/>
    <w:rsid w:val="00D91561"/>
    <w:rsid w:val="00D91850"/>
    <w:rsid w:val="00D92106"/>
    <w:rsid w:val="00D9302E"/>
    <w:rsid w:val="00D933E9"/>
    <w:rsid w:val="00D93672"/>
    <w:rsid w:val="00D93965"/>
    <w:rsid w:val="00D94145"/>
    <w:rsid w:val="00D945D7"/>
    <w:rsid w:val="00D94731"/>
    <w:rsid w:val="00D952D3"/>
    <w:rsid w:val="00D95C62"/>
    <w:rsid w:val="00D95C99"/>
    <w:rsid w:val="00D95F1D"/>
    <w:rsid w:val="00D96676"/>
    <w:rsid w:val="00D96F0A"/>
    <w:rsid w:val="00D973B2"/>
    <w:rsid w:val="00DA00DE"/>
    <w:rsid w:val="00DA016F"/>
    <w:rsid w:val="00DA061F"/>
    <w:rsid w:val="00DA0713"/>
    <w:rsid w:val="00DA0823"/>
    <w:rsid w:val="00DA16E2"/>
    <w:rsid w:val="00DA182B"/>
    <w:rsid w:val="00DA1B5C"/>
    <w:rsid w:val="00DA1CC9"/>
    <w:rsid w:val="00DA1D29"/>
    <w:rsid w:val="00DA1E7D"/>
    <w:rsid w:val="00DA1FE8"/>
    <w:rsid w:val="00DA2475"/>
    <w:rsid w:val="00DA2835"/>
    <w:rsid w:val="00DA2924"/>
    <w:rsid w:val="00DA2D21"/>
    <w:rsid w:val="00DA3A53"/>
    <w:rsid w:val="00DA4239"/>
    <w:rsid w:val="00DA433E"/>
    <w:rsid w:val="00DA4A1F"/>
    <w:rsid w:val="00DA4F94"/>
    <w:rsid w:val="00DA55F7"/>
    <w:rsid w:val="00DA58C1"/>
    <w:rsid w:val="00DA5AD0"/>
    <w:rsid w:val="00DA5C1E"/>
    <w:rsid w:val="00DA5C4D"/>
    <w:rsid w:val="00DA5E75"/>
    <w:rsid w:val="00DA5F49"/>
    <w:rsid w:val="00DA6F37"/>
    <w:rsid w:val="00DA6FBF"/>
    <w:rsid w:val="00DA72A5"/>
    <w:rsid w:val="00DA76BB"/>
    <w:rsid w:val="00DA7865"/>
    <w:rsid w:val="00DB0189"/>
    <w:rsid w:val="00DB0E51"/>
    <w:rsid w:val="00DB13B1"/>
    <w:rsid w:val="00DB18C7"/>
    <w:rsid w:val="00DB2261"/>
    <w:rsid w:val="00DB231D"/>
    <w:rsid w:val="00DB2640"/>
    <w:rsid w:val="00DB2B17"/>
    <w:rsid w:val="00DB328C"/>
    <w:rsid w:val="00DB3F74"/>
    <w:rsid w:val="00DB49D6"/>
    <w:rsid w:val="00DB501F"/>
    <w:rsid w:val="00DB5AE6"/>
    <w:rsid w:val="00DB64C2"/>
    <w:rsid w:val="00DB6F3C"/>
    <w:rsid w:val="00DB7B8C"/>
    <w:rsid w:val="00DB7E14"/>
    <w:rsid w:val="00DC0D77"/>
    <w:rsid w:val="00DC0DA3"/>
    <w:rsid w:val="00DC1210"/>
    <w:rsid w:val="00DC1A64"/>
    <w:rsid w:val="00DC20E1"/>
    <w:rsid w:val="00DC2608"/>
    <w:rsid w:val="00DC2AEC"/>
    <w:rsid w:val="00DC2FFF"/>
    <w:rsid w:val="00DC31C5"/>
    <w:rsid w:val="00DC3294"/>
    <w:rsid w:val="00DC3296"/>
    <w:rsid w:val="00DC35A1"/>
    <w:rsid w:val="00DC3758"/>
    <w:rsid w:val="00DC379F"/>
    <w:rsid w:val="00DC3AEF"/>
    <w:rsid w:val="00DC3FBA"/>
    <w:rsid w:val="00DC4337"/>
    <w:rsid w:val="00DC45DA"/>
    <w:rsid w:val="00DC4600"/>
    <w:rsid w:val="00DC488D"/>
    <w:rsid w:val="00DC4BBA"/>
    <w:rsid w:val="00DC6B35"/>
    <w:rsid w:val="00DC6EB6"/>
    <w:rsid w:val="00DC78F6"/>
    <w:rsid w:val="00DC794B"/>
    <w:rsid w:val="00DC7BC6"/>
    <w:rsid w:val="00DD07D0"/>
    <w:rsid w:val="00DD122D"/>
    <w:rsid w:val="00DD1A04"/>
    <w:rsid w:val="00DD1E78"/>
    <w:rsid w:val="00DD2154"/>
    <w:rsid w:val="00DD261C"/>
    <w:rsid w:val="00DD30E9"/>
    <w:rsid w:val="00DD3635"/>
    <w:rsid w:val="00DD41AD"/>
    <w:rsid w:val="00DD44E6"/>
    <w:rsid w:val="00DD4C7E"/>
    <w:rsid w:val="00DD4C9F"/>
    <w:rsid w:val="00DD544C"/>
    <w:rsid w:val="00DD5548"/>
    <w:rsid w:val="00DD56AF"/>
    <w:rsid w:val="00DD5738"/>
    <w:rsid w:val="00DD600B"/>
    <w:rsid w:val="00DD62FA"/>
    <w:rsid w:val="00DD6522"/>
    <w:rsid w:val="00DD65E6"/>
    <w:rsid w:val="00DD7A9E"/>
    <w:rsid w:val="00DD7D93"/>
    <w:rsid w:val="00DE083C"/>
    <w:rsid w:val="00DE09DE"/>
    <w:rsid w:val="00DE11AD"/>
    <w:rsid w:val="00DE12B8"/>
    <w:rsid w:val="00DE16BE"/>
    <w:rsid w:val="00DE1E79"/>
    <w:rsid w:val="00DE1EFD"/>
    <w:rsid w:val="00DE262A"/>
    <w:rsid w:val="00DE48AD"/>
    <w:rsid w:val="00DE5509"/>
    <w:rsid w:val="00DE5563"/>
    <w:rsid w:val="00DE5696"/>
    <w:rsid w:val="00DE5B29"/>
    <w:rsid w:val="00DE5C6D"/>
    <w:rsid w:val="00DE66A7"/>
    <w:rsid w:val="00DE66EF"/>
    <w:rsid w:val="00DE69EA"/>
    <w:rsid w:val="00DE6DAD"/>
    <w:rsid w:val="00DE70FE"/>
    <w:rsid w:val="00DE7D99"/>
    <w:rsid w:val="00DF01B9"/>
    <w:rsid w:val="00DF02AF"/>
    <w:rsid w:val="00DF078A"/>
    <w:rsid w:val="00DF0A8F"/>
    <w:rsid w:val="00DF0DEE"/>
    <w:rsid w:val="00DF0E85"/>
    <w:rsid w:val="00DF0FD3"/>
    <w:rsid w:val="00DF0FE6"/>
    <w:rsid w:val="00DF2B9B"/>
    <w:rsid w:val="00DF329D"/>
    <w:rsid w:val="00DF38CA"/>
    <w:rsid w:val="00DF46E3"/>
    <w:rsid w:val="00DF52B6"/>
    <w:rsid w:val="00DF538D"/>
    <w:rsid w:val="00DF5995"/>
    <w:rsid w:val="00DF5B44"/>
    <w:rsid w:val="00DF68C4"/>
    <w:rsid w:val="00DF68C7"/>
    <w:rsid w:val="00DF695E"/>
    <w:rsid w:val="00DF6D26"/>
    <w:rsid w:val="00E00147"/>
    <w:rsid w:val="00E00508"/>
    <w:rsid w:val="00E00BE8"/>
    <w:rsid w:val="00E011DB"/>
    <w:rsid w:val="00E01824"/>
    <w:rsid w:val="00E01890"/>
    <w:rsid w:val="00E01962"/>
    <w:rsid w:val="00E01BEB"/>
    <w:rsid w:val="00E01E47"/>
    <w:rsid w:val="00E01F5D"/>
    <w:rsid w:val="00E02438"/>
    <w:rsid w:val="00E02D67"/>
    <w:rsid w:val="00E03289"/>
    <w:rsid w:val="00E0363F"/>
    <w:rsid w:val="00E039FF"/>
    <w:rsid w:val="00E03A52"/>
    <w:rsid w:val="00E03C31"/>
    <w:rsid w:val="00E03D0D"/>
    <w:rsid w:val="00E03F95"/>
    <w:rsid w:val="00E04277"/>
    <w:rsid w:val="00E045E7"/>
    <w:rsid w:val="00E04631"/>
    <w:rsid w:val="00E048DE"/>
    <w:rsid w:val="00E04DC7"/>
    <w:rsid w:val="00E05748"/>
    <w:rsid w:val="00E05868"/>
    <w:rsid w:val="00E05FA0"/>
    <w:rsid w:val="00E06186"/>
    <w:rsid w:val="00E065F3"/>
    <w:rsid w:val="00E067ED"/>
    <w:rsid w:val="00E06A92"/>
    <w:rsid w:val="00E06F4C"/>
    <w:rsid w:val="00E0720D"/>
    <w:rsid w:val="00E07672"/>
    <w:rsid w:val="00E07770"/>
    <w:rsid w:val="00E0792A"/>
    <w:rsid w:val="00E10155"/>
    <w:rsid w:val="00E1078C"/>
    <w:rsid w:val="00E10913"/>
    <w:rsid w:val="00E109BC"/>
    <w:rsid w:val="00E10C0E"/>
    <w:rsid w:val="00E11610"/>
    <w:rsid w:val="00E1175A"/>
    <w:rsid w:val="00E119AD"/>
    <w:rsid w:val="00E11A54"/>
    <w:rsid w:val="00E11CB6"/>
    <w:rsid w:val="00E11D13"/>
    <w:rsid w:val="00E12063"/>
    <w:rsid w:val="00E1248F"/>
    <w:rsid w:val="00E12C0F"/>
    <w:rsid w:val="00E12D3B"/>
    <w:rsid w:val="00E12E24"/>
    <w:rsid w:val="00E1311D"/>
    <w:rsid w:val="00E132DD"/>
    <w:rsid w:val="00E13630"/>
    <w:rsid w:val="00E14025"/>
    <w:rsid w:val="00E1420E"/>
    <w:rsid w:val="00E14410"/>
    <w:rsid w:val="00E14EB2"/>
    <w:rsid w:val="00E150F5"/>
    <w:rsid w:val="00E15115"/>
    <w:rsid w:val="00E158F2"/>
    <w:rsid w:val="00E163AE"/>
    <w:rsid w:val="00E16E15"/>
    <w:rsid w:val="00E16F95"/>
    <w:rsid w:val="00E171B1"/>
    <w:rsid w:val="00E17B97"/>
    <w:rsid w:val="00E20AFE"/>
    <w:rsid w:val="00E20B4E"/>
    <w:rsid w:val="00E218A7"/>
    <w:rsid w:val="00E229AE"/>
    <w:rsid w:val="00E22ADD"/>
    <w:rsid w:val="00E22AEE"/>
    <w:rsid w:val="00E23035"/>
    <w:rsid w:val="00E23783"/>
    <w:rsid w:val="00E237CB"/>
    <w:rsid w:val="00E23862"/>
    <w:rsid w:val="00E24533"/>
    <w:rsid w:val="00E249F6"/>
    <w:rsid w:val="00E25636"/>
    <w:rsid w:val="00E2579D"/>
    <w:rsid w:val="00E25FEF"/>
    <w:rsid w:val="00E26349"/>
    <w:rsid w:val="00E26A67"/>
    <w:rsid w:val="00E26A69"/>
    <w:rsid w:val="00E27122"/>
    <w:rsid w:val="00E27B90"/>
    <w:rsid w:val="00E27D4E"/>
    <w:rsid w:val="00E3009B"/>
    <w:rsid w:val="00E302C5"/>
    <w:rsid w:val="00E30710"/>
    <w:rsid w:val="00E30D85"/>
    <w:rsid w:val="00E30DE1"/>
    <w:rsid w:val="00E314F1"/>
    <w:rsid w:val="00E315BA"/>
    <w:rsid w:val="00E31884"/>
    <w:rsid w:val="00E31954"/>
    <w:rsid w:val="00E31A37"/>
    <w:rsid w:val="00E31C9C"/>
    <w:rsid w:val="00E325BB"/>
    <w:rsid w:val="00E332D3"/>
    <w:rsid w:val="00E33600"/>
    <w:rsid w:val="00E33836"/>
    <w:rsid w:val="00E346AB"/>
    <w:rsid w:val="00E34868"/>
    <w:rsid w:val="00E34D7A"/>
    <w:rsid w:val="00E35570"/>
    <w:rsid w:val="00E362BE"/>
    <w:rsid w:val="00E36872"/>
    <w:rsid w:val="00E3741A"/>
    <w:rsid w:val="00E37766"/>
    <w:rsid w:val="00E37C94"/>
    <w:rsid w:val="00E37CD7"/>
    <w:rsid w:val="00E400DC"/>
    <w:rsid w:val="00E40180"/>
    <w:rsid w:val="00E4185E"/>
    <w:rsid w:val="00E41AD3"/>
    <w:rsid w:val="00E41EA4"/>
    <w:rsid w:val="00E4298F"/>
    <w:rsid w:val="00E42D72"/>
    <w:rsid w:val="00E42F34"/>
    <w:rsid w:val="00E43432"/>
    <w:rsid w:val="00E43623"/>
    <w:rsid w:val="00E43E04"/>
    <w:rsid w:val="00E44128"/>
    <w:rsid w:val="00E44ABB"/>
    <w:rsid w:val="00E45322"/>
    <w:rsid w:val="00E46A3F"/>
    <w:rsid w:val="00E4708E"/>
    <w:rsid w:val="00E4787A"/>
    <w:rsid w:val="00E47E8A"/>
    <w:rsid w:val="00E5025A"/>
    <w:rsid w:val="00E507F5"/>
    <w:rsid w:val="00E50C0E"/>
    <w:rsid w:val="00E50CC3"/>
    <w:rsid w:val="00E5134E"/>
    <w:rsid w:val="00E516A1"/>
    <w:rsid w:val="00E51868"/>
    <w:rsid w:val="00E5198A"/>
    <w:rsid w:val="00E523B9"/>
    <w:rsid w:val="00E52579"/>
    <w:rsid w:val="00E528F0"/>
    <w:rsid w:val="00E52991"/>
    <w:rsid w:val="00E531F0"/>
    <w:rsid w:val="00E5331E"/>
    <w:rsid w:val="00E53740"/>
    <w:rsid w:val="00E53CDF"/>
    <w:rsid w:val="00E53EAE"/>
    <w:rsid w:val="00E544F8"/>
    <w:rsid w:val="00E5461E"/>
    <w:rsid w:val="00E54B1B"/>
    <w:rsid w:val="00E55188"/>
    <w:rsid w:val="00E55473"/>
    <w:rsid w:val="00E559A8"/>
    <w:rsid w:val="00E55A31"/>
    <w:rsid w:val="00E55B6C"/>
    <w:rsid w:val="00E56F20"/>
    <w:rsid w:val="00E56F50"/>
    <w:rsid w:val="00E570E8"/>
    <w:rsid w:val="00E6061A"/>
    <w:rsid w:val="00E60C39"/>
    <w:rsid w:val="00E6182E"/>
    <w:rsid w:val="00E61850"/>
    <w:rsid w:val="00E62A55"/>
    <w:rsid w:val="00E63439"/>
    <w:rsid w:val="00E63758"/>
    <w:rsid w:val="00E63B0D"/>
    <w:rsid w:val="00E63EFA"/>
    <w:rsid w:val="00E63F59"/>
    <w:rsid w:val="00E648E3"/>
    <w:rsid w:val="00E64F72"/>
    <w:rsid w:val="00E65118"/>
    <w:rsid w:val="00E659F9"/>
    <w:rsid w:val="00E65CC0"/>
    <w:rsid w:val="00E65E5E"/>
    <w:rsid w:val="00E66560"/>
    <w:rsid w:val="00E67230"/>
    <w:rsid w:val="00E6754D"/>
    <w:rsid w:val="00E67AEE"/>
    <w:rsid w:val="00E67B6C"/>
    <w:rsid w:val="00E67D0E"/>
    <w:rsid w:val="00E67EDC"/>
    <w:rsid w:val="00E70377"/>
    <w:rsid w:val="00E70418"/>
    <w:rsid w:val="00E70A2C"/>
    <w:rsid w:val="00E70E23"/>
    <w:rsid w:val="00E71697"/>
    <w:rsid w:val="00E71907"/>
    <w:rsid w:val="00E71D3A"/>
    <w:rsid w:val="00E71DFA"/>
    <w:rsid w:val="00E720BD"/>
    <w:rsid w:val="00E72232"/>
    <w:rsid w:val="00E729B7"/>
    <w:rsid w:val="00E72B54"/>
    <w:rsid w:val="00E72C24"/>
    <w:rsid w:val="00E73297"/>
    <w:rsid w:val="00E73C74"/>
    <w:rsid w:val="00E7487B"/>
    <w:rsid w:val="00E74FF4"/>
    <w:rsid w:val="00E7569B"/>
    <w:rsid w:val="00E7585F"/>
    <w:rsid w:val="00E75EE0"/>
    <w:rsid w:val="00E75F06"/>
    <w:rsid w:val="00E76077"/>
    <w:rsid w:val="00E76ED4"/>
    <w:rsid w:val="00E770B1"/>
    <w:rsid w:val="00E776D1"/>
    <w:rsid w:val="00E77ADE"/>
    <w:rsid w:val="00E800D0"/>
    <w:rsid w:val="00E80E59"/>
    <w:rsid w:val="00E8113E"/>
    <w:rsid w:val="00E817F1"/>
    <w:rsid w:val="00E8187A"/>
    <w:rsid w:val="00E81ACE"/>
    <w:rsid w:val="00E82089"/>
    <w:rsid w:val="00E8297F"/>
    <w:rsid w:val="00E8313B"/>
    <w:rsid w:val="00E838FF"/>
    <w:rsid w:val="00E83D0B"/>
    <w:rsid w:val="00E83F4C"/>
    <w:rsid w:val="00E84414"/>
    <w:rsid w:val="00E8473F"/>
    <w:rsid w:val="00E84DF5"/>
    <w:rsid w:val="00E8552C"/>
    <w:rsid w:val="00E85CE1"/>
    <w:rsid w:val="00E85F36"/>
    <w:rsid w:val="00E85FA0"/>
    <w:rsid w:val="00E8694C"/>
    <w:rsid w:val="00E86C9C"/>
    <w:rsid w:val="00E86D0E"/>
    <w:rsid w:val="00E86DBF"/>
    <w:rsid w:val="00E86F7C"/>
    <w:rsid w:val="00E873B0"/>
    <w:rsid w:val="00E87973"/>
    <w:rsid w:val="00E87CC6"/>
    <w:rsid w:val="00E87EED"/>
    <w:rsid w:val="00E909B2"/>
    <w:rsid w:val="00E90CAE"/>
    <w:rsid w:val="00E90CEF"/>
    <w:rsid w:val="00E90D01"/>
    <w:rsid w:val="00E90EE4"/>
    <w:rsid w:val="00E9195B"/>
    <w:rsid w:val="00E928C5"/>
    <w:rsid w:val="00E929F3"/>
    <w:rsid w:val="00E92D6E"/>
    <w:rsid w:val="00E92EE8"/>
    <w:rsid w:val="00E92F98"/>
    <w:rsid w:val="00E9309D"/>
    <w:rsid w:val="00E938D5"/>
    <w:rsid w:val="00E93992"/>
    <w:rsid w:val="00E94104"/>
    <w:rsid w:val="00E9423D"/>
    <w:rsid w:val="00E94C02"/>
    <w:rsid w:val="00E95141"/>
    <w:rsid w:val="00E95231"/>
    <w:rsid w:val="00E95512"/>
    <w:rsid w:val="00E95883"/>
    <w:rsid w:val="00E95F95"/>
    <w:rsid w:val="00E968F3"/>
    <w:rsid w:val="00E96DB8"/>
    <w:rsid w:val="00E970CF"/>
    <w:rsid w:val="00E97933"/>
    <w:rsid w:val="00EA10FA"/>
    <w:rsid w:val="00EA28AB"/>
    <w:rsid w:val="00EA3AB2"/>
    <w:rsid w:val="00EA3BF7"/>
    <w:rsid w:val="00EA43DA"/>
    <w:rsid w:val="00EA527F"/>
    <w:rsid w:val="00EA5F93"/>
    <w:rsid w:val="00EA5FCA"/>
    <w:rsid w:val="00EA6BA0"/>
    <w:rsid w:val="00EA7389"/>
    <w:rsid w:val="00EA7872"/>
    <w:rsid w:val="00EB0816"/>
    <w:rsid w:val="00EB0F8C"/>
    <w:rsid w:val="00EB111D"/>
    <w:rsid w:val="00EB13A8"/>
    <w:rsid w:val="00EB14E1"/>
    <w:rsid w:val="00EB16A8"/>
    <w:rsid w:val="00EB17ED"/>
    <w:rsid w:val="00EB2762"/>
    <w:rsid w:val="00EB2FA1"/>
    <w:rsid w:val="00EB350E"/>
    <w:rsid w:val="00EB497A"/>
    <w:rsid w:val="00EB5095"/>
    <w:rsid w:val="00EB5409"/>
    <w:rsid w:val="00EB54D6"/>
    <w:rsid w:val="00EB56E5"/>
    <w:rsid w:val="00EB5868"/>
    <w:rsid w:val="00EB5F20"/>
    <w:rsid w:val="00EB6367"/>
    <w:rsid w:val="00EB66DF"/>
    <w:rsid w:val="00EB6723"/>
    <w:rsid w:val="00EB679F"/>
    <w:rsid w:val="00EB6886"/>
    <w:rsid w:val="00EB6C98"/>
    <w:rsid w:val="00EB7185"/>
    <w:rsid w:val="00EB7498"/>
    <w:rsid w:val="00EB766D"/>
    <w:rsid w:val="00EB76DC"/>
    <w:rsid w:val="00EB777E"/>
    <w:rsid w:val="00EB7CEC"/>
    <w:rsid w:val="00EC040F"/>
    <w:rsid w:val="00EC043A"/>
    <w:rsid w:val="00EC1020"/>
    <w:rsid w:val="00EC1449"/>
    <w:rsid w:val="00EC14AE"/>
    <w:rsid w:val="00EC1A01"/>
    <w:rsid w:val="00EC1DAF"/>
    <w:rsid w:val="00EC1FE1"/>
    <w:rsid w:val="00EC229B"/>
    <w:rsid w:val="00EC23C8"/>
    <w:rsid w:val="00EC2C8A"/>
    <w:rsid w:val="00EC2CBA"/>
    <w:rsid w:val="00EC3229"/>
    <w:rsid w:val="00EC375F"/>
    <w:rsid w:val="00EC38F2"/>
    <w:rsid w:val="00EC4A52"/>
    <w:rsid w:val="00EC505A"/>
    <w:rsid w:val="00EC52C3"/>
    <w:rsid w:val="00EC57F7"/>
    <w:rsid w:val="00EC5A35"/>
    <w:rsid w:val="00EC5BF6"/>
    <w:rsid w:val="00EC5E38"/>
    <w:rsid w:val="00EC6617"/>
    <w:rsid w:val="00EC666F"/>
    <w:rsid w:val="00EC67B1"/>
    <w:rsid w:val="00EC6904"/>
    <w:rsid w:val="00EC6ABA"/>
    <w:rsid w:val="00EC6D5B"/>
    <w:rsid w:val="00EC6FE4"/>
    <w:rsid w:val="00EC76D3"/>
    <w:rsid w:val="00EC78E4"/>
    <w:rsid w:val="00EC7A16"/>
    <w:rsid w:val="00ED0083"/>
    <w:rsid w:val="00ED0462"/>
    <w:rsid w:val="00ED04D9"/>
    <w:rsid w:val="00ED08B3"/>
    <w:rsid w:val="00ED099D"/>
    <w:rsid w:val="00ED0C3E"/>
    <w:rsid w:val="00ED15F4"/>
    <w:rsid w:val="00ED1CA0"/>
    <w:rsid w:val="00ED1E31"/>
    <w:rsid w:val="00ED1E99"/>
    <w:rsid w:val="00ED2C42"/>
    <w:rsid w:val="00ED398C"/>
    <w:rsid w:val="00ED3E24"/>
    <w:rsid w:val="00ED4396"/>
    <w:rsid w:val="00ED4619"/>
    <w:rsid w:val="00ED4B7A"/>
    <w:rsid w:val="00ED50FC"/>
    <w:rsid w:val="00ED5E2D"/>
    <w:rsid w:val="00ED6082"/>
    <w:rsid w:val="00ED6765"/>
    <w:rsid w:val="00ED75E2"/>
    <w:rsid w:val="00ED7DE2"/>
    <w:rsid w:val="00EE0522"/>
    <w:rsid w:val="00EE0D3B"/>
    <w:rsid w:val="00EE23C1"/>
    <w:rsid w:val="00EE2401"/>
    <w:rsid w:val="00EE2831"/>
    <w:rsid w:val="00EE29D6"/>
    <w:rsid w:val="00EE3105"/>
    <w:rsid w:val="00EE312A"/>
    <w:rsid w:val="00EE316A"/>
    <w:rsid w:val="00EE326B"/>
    <w:rsid w:val="00EE3428"/>
    <w:rsid w:val="00EE42F0"/>
    <w:rsid w:val="00EE43BA"/>
    <w:rsid w:val="00EE4EDC"/>
    <w:rsid w:val="00EE4F13"/>
    <w:rsid w:val="00EE531E"/>
    <w:rsid w:val="00EE56B5"/>
    <w:rsid w:val="00EE59AE"/>
    <w:rsid w:val="00EE61DC"/>
    <w:rsid w:val="00EE668C"/>
    <w:rsid w:val="00EE6CC5"/>
    <w:rsid w:val="00EE7D26"/>
    <w:rsid w:val="00EF030B"/>
    <w:rsid w:val="00EF0506"/>
    <w:rsid w:val="00EF05AC"/>
    <w:rsid w:val="00EF0C2C"/>
    <w:rsid w:val="00EF0CA9"/>
    <w:rsid w:val="00EF1278"/>
    <w:rsid w:val="00EF15CC"/>
    <w:rsid w:val="00EF169A"/>
    <w:rsid w:val="00EF1843"/>
    <w:rsid w:val="00EF1C6D"/>
    <w:rsid w:val="00EF2649"/>
    <w:rsid w:val="00EF26F1"/>
    <w:rsid w:val="00EF27B5"/>
    <w:rsid w:val="00EF28E5"/>
    <w:rsid w:val="00EF29F4"/>
    <w:rsid w:val="00EF2BCA"/>
    <w:rsid w:val="00EF2DF6"/>
    <w:rsid w:val="00EF3CB2"/>
    <w:rsid w:val="00EF421F"/>
    <w:rsid w:val="00EF428C"/>
    <w:rsid w:val="00EF4325"/>
    <w:rsid w:val="00EF4545"/>
    <w:rsid w:val="00EF46A6"/>
    <w:rsid w:val="00EF5207"/>
    <w:rsid w:val="00EF577C"/>
    <w:rsid w:val="00EF63F4"/>
    <w:rsid w:val="00EF6A3F"/>
    <w:rsid w:val="00EF715F"/>
    <w:rsid w:val="00EF73CA"/>
    <w:rsid w:val="00EF7C44"/>
    <w:rsid w:val="00F004C3"/>
    <w:rsid w:val="00F00B9A"/>
    <w:rsid w:val="00F00ED8"/>
    <w:rsid w:val="00F01366"/>
    <w:rsid w:val="00F01397"/>
    <w:rsid w:val="00F01816"/>
    <w:rsid w:val="00F01DB0"/>
    <w:rsid w:val="00F01E79"/>
    <w:rsid w:val="00F0205D"/>
    <w:rsid w:val="00F022C2"/>
    <w:rsid w:val="00F028CB"/>
    <w:rsid w:val="00F0295E"/>
    <w:rsid w:val="00F02A8E"/>
    <w:rsid w:val="00F02E28"/>
    <w:rsid w:val="00F02FBA"/>
    <w:rsid w:val="00F03750"/>
    <w:rsid w:val="00F037E7"/>
    <w:rsid w:val="00F0438D"/>
    <w:rsid w:val="00F044C9"/>
    <w:rsid w:val="00F04E6D"/>
    <w:rsid w:val="00F052CF"/>
    <w:rsid w:val="00F0594F"/>
    <w:rsid w:val="00F0622D"/>
    <w:rsid w:val="00F062E2"/>
    <w:rsid w:val="00F06347"/>
    <w:rsid w:val="00F06560"/>
    <w:rsid w:val="00F069CB"/>
    <w:rsid w:val="00F06E38"/>
    <w:rsid w:val="00F07E4C"/>
    <w:rsid w:val="00F101A2"/>
    <w:rsid w:val="00F101B8"/>
    <w:rsid w:val="00F101E7"/>
    <w:rsid w:val="00F107A6"/>
    <w:rsid w:val="00F11057"/>
    <w:rsid w:val="00F11AA9"/>
    <w:rsid w:val="00F11BF6"/>
    <w:rsid w:val="00F11F7B"/>
    <w:rsid w:val="00F121C9"/>
    <w:rsid w:val="00F1252D"/>
    <w:rsid w:val="00F12539"/>
    <w:rsid w:val="00F12DF3"/>
    <w:rsid w:val="00F12EFA"/>
    <w:rsid w:val="00F134C2"/>
    <w:rsid w:val="00F13529"/>
    <w:rsid w:val="00F139A4"/>
    <w:rsid w:val="00F14194"/>
    <w:rsid w:val="00F143EF"/>
    <w:rsid w:val="00F14B8B"/>
    <w:rsid w:val="00F14BC5"/>
    <w:rsid w:val="00F150F1"/>
    <w:rsid w:val="00F1550E"/>
    <w:rsid w:val="00F15CAD"/>
    <w:rsid w:val="00F1603C"/>
    <w:rsid w:val="00F16494"/>
    <w:rsid w:val="00F164D4"/>
    <w:rsid w:val="00F167C8"/>
    <w:rsid w:val="00F169A3"/>
    <w:rsid w:val="00F17410"/>
    <w:rsid w:val="00F176B2"/>
    <w:rsid w:val="00F1774F"/>
    <w:rsid w:val="00F1786B"/>
    <w:rsid w:val="00F17F90"/>
    <w:rsid w:val="00F2088D"/>
    <w:rsid w:val="00F21406"/>
    <w:rsid w:val="00F218E0"/>
    <w:rsid w:val="00F21D16"/>
    <w:rsid w:val="00F22078"/>
    <w:rsid w:val="00F223BB"/>
    <w:rsid w:val="00F223EC"/>
    <w:rsid w:val="00F22419"/>
    <w:rsid w:val="00F22573"/>
    <w:rsid w:val="00F22627"/>
    <w:rsid w:val="00F22771"/>
    <w:rsid w:val="00F22905"/>
    <w:rsid w:val="00F22E34"/>
    <w:rsid w:val="00F235A0"/>
    <w:rsid w:val="00F23C45"/>
    <w:rsid w:val="00F23D54"/>
    <w:rsid w:val="00F23E56"/>
    <w:rsid w:val="00F24071"/>
    <w:rsid w:val="00F2510E"/>
    <w:rsid w:val="00F255F0"/>
    <w:rsid w:val="00F256CE"/>
    <w:rsid w:val="00F25804"/>
    <w:rsid w:val="00F25B9B"/>
    <w:rsid w:val="00F25CA9"/>
    <w:rsid w:val="00F26311"/>
    <w:rsid w:val="00F26CE9"/>
    <w:rsid w:val="00F26D07"/>
    <w:rsid w:val="00F27A46"/>
    <w:rsid w:val="00F27BD2"/>
    <w:rsid w:val="00F3053F"/>
    <w:rsid w:val="00F30755"/>
    <w:rsid w:val="00F30A52"/>
    <w:rsid w:val="00F30FE9"/>
    <w:rsid w:val="00F322BC"/>
    <w:rsid w:val="00F32418"/>
    <w:rsid w:val="00F324E9"/>
    <w:rsid w:val="00F328FA"/>
    <w:rsid w:val="00F32B0A"/>
    <w:rsid w:val="00F3340B"/>
    <w:rsid w:val="00F338C9"/>
    <w:rsid w:val="00F33CEB"/>
    <w:rsid w:val="00F34180"/>
    <w:rsid w:val="00F347D4"/>
    <w:rsid w:val="00F348A7"/>
    <w:rsid w:val="00F34DE5"/>
    <w:rsid w:val="00F3507B"/>
    <w:rsid w:val="00F358B2"/>
    <w:rsid w:val="00F35B5E"/>
    <w:rsid w:val="00F35BC4"/>
    <w:rsid w:val="00F3610B"/>
    <w:rsid w:val="00F365A5"/>
    <w:rsid w:val="00F3674C"/>
    <w:rsid w:val="00F36B79"/>
    <w:rsid w:val="00F372F8"/>
    <w:rsid w:val="00F37FA1"/>
    <w:rsid w:val="00F40391"/>
    <w:rsid w:val="00F40526"/>
    <w:rsid w:val="00F40828"/>
    <w:rsid w:val="00F40897"/>
    <w:rsid w:val="00F40B5D"/>
    <w:rsid w:val="00F40CBB"/>
    <w:rsid w:val="00F4180E"/>
    <w:rsid w:val="00F41DBF"/>
    <w:rsid w:val="00F421C4"/>
    <w:rsid w:val="00F42E6B"/>
    <w:rsid w:val="00F43184"/>
    <w:rsid w:val="00F431EF"/>
    <w:rsid w:val="00F433DB"/>
    <w:rsid w:val="00F4358F"/>
    <w:rsid w:val="00F437FB"/>
    <w:rsid w:val="00F43B69"/>
    <w:rsid w:val="00F43DAD"/>
    <w:rsid w:val="00F44756"/>
    <w:rsid w:val="00F449F3"/>
    <w:rsid w:val="00F44A8A"/>
    <w:rsid w:val="00F44C84"/>
    <w:rsid w:val="00F45229"/>
    <w:rsid w:val="00F45374"/>
    <w:rsid w:val="00F45586"/>
    <w:rsid w:val="00F456CB"/>
    <w:rsid w:val="00F45812"/>
    <w:rsid w:val="00F45985"/>
    <w:rsid w:val="00F45DB8"/>
    <w:rsid w:val="00F46163"/>
    <w:rsid w:val="00F46993"/>
    <w:rsid w:val="00F46C1A"/>
    <w:rsid w:val="00F46D5C"/>
    <w:rsid w:val="00F502C7"/>
    <w:rsid w:val="00F50F4E"/>
    <w:rsid w:val="00F50F60"/>
    <w:rsid w:val="00F51747"/>
    <w:rsid w:val="00F518B6"/>
    <w:rsid w:val="00F51BD5"/>
    <w:rsid w:val="00F51E00"/>
    <w:rsid w:val="00F51E2C"/>
    <w:rsid w:val="00F52034"/>
    <w:rsid w:val="00F52121"/>
    <w:rsid w:val="00F521DB"/>
    <w:rsid w:val="00F5231F"/>
    <w:rsid w:val="00F527A9"/>
    <w:rsid w:val="00F52F9C"/>
    <w:rsid w:val="00F535E0"/>
    <w:rsid w:val="00F53E96"/>
    <w:rsid w:val="00F53EFD"/>
    <w:rsid w:val="00F53F68"/>
    <w:rsid w:val="00F5406D"/>
    <w:rsid w:val="00F540C1"/>
    <w:rsid w:val="00F55207"/>
    <w:rsid w:val="00F5601D"/>
    <w:rsid w:val="00F5604F"/>
    <w:rsid w:val="00F563F4"/>
    <w:rsid w:val="00F56E47"/>
    <w:rsid w:val="00F57374"/>
    <w:rsid w:val="00F57CF2"/>
    <w:rsid w:val="00F6057F"/>
    <w:rsid w:val="00F60660"/>
    <w:rsid w:val="00F60CAA"/>
    <w:rsid w:val="00F6187E"/>
    <w:rsid w:val="00F61ADB"/>
    <w:rsid w:val="00F62726"/>
    <w:rsid w:val="00F63376"/>
    <w:rsid w:val="00F6381A"/>
    <w:rsid w:val="00F63B0B"/>
    <w:rsid w:val="00F63B27"/>
    <w:rsid w:val="00F63CE7"/>
    <w:rsid w:val="00F64A5E"/>
    <w:rsid w:val="00F65258"/>
    <w:rsid w:val="00F6544F"/>
    <w:rsid w:val="00F658D3"/>
    <w:rsid w:val="00F65C0F"/>
    <w:rsid w:val="00F65E35"/>
    <w:rsid w:val="00F6606C"/>
    <w:rsid w:val="00F664E0"/>
    <w:rsid w:val="00F667B0"/>
    <w:rsid w:val="00F6684A"/>
    <w:rsid w:val="00F66BCB"/>
    <w:rsid w:val="00F66DB9"/>
    <w:rsid w:val="00F678AD"/>
    <w:rsid w:val="00F67F24"/>
    <w:rsid w:val="00F67FDB"/>
    <w:rsid w:val="00F703B5"/>
    <w:rsid w:val="00F70A5D"/>
    <w:rsid w:val="00F70EE2"/>
    <w:rsid w:val="00F70FB1"/>
    <w:rsid w:val="00F7142B"/>
    <w:rsid w:val="00F7157A"/>
    <w:rsid w:val="00F71966"/>
    <w:rsid w:val="00F71A1E"/>
    <w:rsid w:val="00F71E15"/>
    <w:rsid w:val="00F725F8"/>
    <w:rsid w:val="00F727B6"/>
    <w:rsid w:val="00F72A6F"/>
    <w:rsid w:val="00F72B66"/>
    <w:rsid w:val="00F72BC0"/>
    <w:rsid w:val="00F72BFB"/>
    <w:rsid w:val="00F72F57"/>
    <w:rsid w:val="00F733AF"/>
    <w:rsid w:val="00F73574"/>
    <w:rsid w:val="00F73F21"/>
    <w:rsid w:val="00F73FCE"/>
    <w:rsid w:val="00F74130"/>
    <w:rsid w:val="00F74131"/>
    <w:rsid w:val="00F74C14"/>
    <w:rsid w:val="00F750B0"/>
    <w:rsid w:val="00F75413"/>
    <w:rsid w:val="00F75D67"/>
    <w:rsid w:val="00F75E5F"/>
    <w:rsid w:val="00F75F9B"/>
    <w:rsid w:val="00F76159"/>
    <w:rsid w:val="00F76A2A"/>
    <w:rsid w:val="00F76A66"/>
    <w:rsid w:val="00F76BB6"/>
    <w:rsid w:val="00F76CF5"/>
    <w:rsid w:val="00F770DC"/>
    <w:rsid w:val="00F773D2"/>
    <w:rsid w:val="00F77566"/>
    <w:rsid w:val="00F7775E"/>
    <w:rsid w:val="00F7780C"/>
    <w:rsid w:val="00F7796A"/>
    <w:rsid w:val="00F77C75"/>
    <w:rsid w:val="00F77F4B"/>
    <w:rsid w:val="00F80508"/>
    <w:rsid w:val="00F805E2"/>
    <w:rsid w:val="00F80B9B"/>
    <w:rsid w:val="00F80C9F"/>
    <w:rsid w:val="00F80F82"/>
    <w:rsid w:val="00F81015"/>
    <w:rsid w:val="00F815C3"/>
    <w:rsid w:val="00F81D3A"/>
    <w:rsid w:val="00F81D9F"/>
    <w:rsid w:val="00F81E5A"/>
    <w:rsid w:val="00F8219C"/>
    <w:rsid w:val="00F82215"/>
    <w:rsid w:val="00F8234D"/>
    <w:rsid w:val="00F823B6"/>
    <w:rsid w:val="00F82438"/>
    <w:rsid w:val="00F829FE"/>
    <w:rsid w:val="00F82E93"/>
    <w:rsid w:val="00F82E96"/>
    <w:rsid w:val="00F837B0"/>
    <w:rsid w:val="00F8446C"/>
    <w:rsid w:val="00F848EF"/>
    <w:rsid w:val="00F8542A"/>
    <w:rsid w:val="00F860C9"/>
    <w:rsid w:val="00F86478"/>
    <w:rsid w:val="00F86B1F"/>
    <w:rsid w:val="00F8704A"/>
    <w:rsid w:val="00F8725C"/>
    <w:rsid w:val="00F875AA"/>
    <w:rsid w:val="00F87F2D"/>
    <w:rsid w:val="00F901A6"/>
    <w:rsid w:val="00F90451"/>
    <w:rsid w:val="00F90517"/>
    <w:rsid w:val="00F90751"/>
    <w:rsid w:val="00F90AC0"/>
    <w:rsid w:val="00F91521"/>
    <w:rsid w:val="00F919B6"/>
    <w:rsid w:val="00F91C90"/>
    <w:rsid w:val="00F91F22"/>
    <w:rsid w:val="00F9264F"/>
    <w:rsid w:val="00F92E1F"/>
    <w:rsid w:val="00F92E6F"/>
    <w:rsid w:val="00F9340E"/>
    <w:rsid w:val="00F93C84"/>
    <w:rsid w:val="00F93EA9"/>
    <w:rsid w:val="00F942CB"/>
    <w:rsid w:val="00F9464D"/>
    <w:rsid w:val="00F947AF"/>
    <w:rsid w:val="00F94C4D"/>
    <w:rsid w:val="00F94D83"/>
    <w:rsid w:val="00F95318"/>
    <w:rsid w:val="00F95903"/>
    <w:rsid w:val="00F95B7E"/>
    <w:rsid w:val="00F960F4"/>
    <w:rsid w:val="00F965D7"/>
    <w:rsid w:val="00F966CA"/>
    <w:rsid w:val="00F9689B"/>
    <w:rsid w:val="00F9691A"/>
    <w:rsid w:val="00F96B3F"/>
    <w:rsid w:val="00F96B7E"/>
    <w:rsid w:val="00F96D82"/>
    <w:rsid w:val="00F97344"/>
    <w:rsid w:val="00F97780"/>
    <w:rsid w:val="00F97A65"/>
    <w:rsid w:val="00FA057B"/>
    <w:rsid w:val="00FA0978"/>
    <w:rsid w:val="00FA0D99"/>
    <w:rsid w:val="00FA0E29"/>
    <w:rsid w:val="00FA0EB9"/>
    <w:rsid w:val="00FA0F52"/>
    <w:rsid w:val="00FA10BF"/>
    <w:rsid w:val="00FA187E"/>
    <w:rsid w:val="00FA1E35"/>
    <w:rsid w:val="00FA24FC"/>
    <w:rsid w:val="00FA2736"/>
    <w:rsid w:val="00FA3451"/>
    <w:rsid w:val="00FA37CD"/>
    <w:rsid w:val="00FA3977"/>
    <w:rsid w:val="00FA4263"/>
    <w:rsid w:val="00FA44F1"/>
    <w:rsid w:val="00FA4BDD"/>
    <w:rsid w:val="00FA5F9D"/>
    <w:rsid w:val="00FA602C"/>
    <w:rsid w:val="00FA64AC"/>
    <w:rsid w:val="00FA64F5"/>
    <w:rsid w:val="00FA67FF"/>
    <w:rsid w:val="00FA6C9B"/>
    <w:rsid w:val="00FA71D3"/>
    <w:rsid w:val="00FA7401"/>
    <w:rsid w:val="00FA747C"/>
    <w:rsid w:val="00FA75A4"/>
    <w:rsid w:val="00FA76F9"/>
    <w:rsid w:val="00FA7DAE"/>
    <w:rsid w:val="00FB0065"/>
    <w:rsid w:val="00FB05AA"/>
    <w:rsid w:val="00FB08EF"/>
    <w:rsid w:val="00FB1EDA"/>
    <w:rsid w:val="00FB22D5"/>
    <w:rsid w:val="00FB3023"/>
    <w:rsid w:val="00FB3A51"/>
    <w:rsid w:val="00FB3B50"/>
    <w:rsid w:val="00FB49DE"/>
    <w:rsid w:val="00FB4A81"/>
    <w:rsid w:val="00FB4B28"/>
    <w:rsid w:val="00FB5DA1"/>
    <w:rsid w:val="00FB6D6D"/>
    <w:rsid w:val="00FB6E24"/>
    <w:rsid w:val="00FB6F6C"/>
    <w:rsid w:val="00FB710B"/>
    <w:rsid w:val="00FB75EC"/>
    <w:rsid w:val="00FB7AE8"/>
    <w:rsid w:val="00FB7B5A"/>
    <w:rsid w:val="00FC06CB"/>
    <w:rsid w:val="00FC0AED"/>
    <w:rsid w:val="00FC0E24"/>
    <w:rsid w:val="00FC0E7A"/>
    <w:rsid w:val="00FC10DE"/>
    <w:rsid w:val="00FC11A7"/>
    <w:rsid w:val="00FC1443"/>
    <w:rsid w:val="00FC19BD"/>
    <w:rsid w:val="00FC1BC7"/>
    <w:rsid w:val="00FC1D13"/>
    <w:rsid w:val="00FC1EED"/>
    <w:rsid w:val="00FC1F44"/>
    <w:rsid w:val="00FC22FE"/>
    <w:rsid w:val="00FC23D1"/>
    <w:rsid w:val="00FC2604"/>
    <w:rsid w:val="00FC2764"/>
    <w:rsid w:val="00FC28EA"/>
    <w:rsid w:val="00FC2C32"/>
    <w:rsid w:val="00FC2DA1"/>
    <w:rsid w:val="00FC302C"/>
    <w:rsid w:val="00FC3209"/>
    <w:rsid w:val="00FC3730"/>
    <w:rsid w:val="00FC4698"/>
    <w:rsid w:val="00FC4795"/>
    <w:rsid w:val="00FC4983"/>
    <w:rsid w:val="00FC5C6F"/>
    <w:rsid w:val="00FC63C7"/>
    <w:rsid w:val="00FC6F26"/>
    <w:rsid w:val="00FC725C"/>
    <w:rsid w:val="00FD039D"/>
    <w:rsid w:val="00FD0AF3"/>
    <w:rsid w:val="00FD12F5"/>
    <w:rsid w:val="00FD2C27"/>
    <w:rsid w:val="00FD2D53"/>
    <w:rsid w:val="00FD30B3"/>
    <w:rsid w:val="00FD31B3"/>
    <w:rsid w:val="00FD3A0E"/>
    <w:rsid w:val="00FD3A7D"/>
    <w:rsid w:val="00FD3CA6"/>
    <w:rsid w:val="00FD3EAF"/>
    <w:rsid w:val="00FD412C"/>
    <w:rsid w:val="00FD4443"/>
    <w:rsid w:val="00FD45C0"/>
    <w:rsid w:val="00FD4739"/>
    <w:rsid w:val="00FD5309"/>
    <w:rsid w:val="00FD600A"/>
    <w:rsid w:val="00FD6159"/>
    <w:rsid w:val="00FD693C"/>
    <w:rsid w:val="00FD733F"/>
    <w:rsid w:val="00FD75FD"/>
    <w:rsid w:val="00FE0642"/>
    <w:rsid w:val="00FE07DB"/>
    <w:rsid w:val="00FE0888"/>
    <w:rsid w:val="00FE0B16"/>
    <w:rsid w:val="00FE0C29"/>
    <w:rsid w:val="00FE0DBF"/>
    <w:rsid w:val="00FE0F65"/>
    <w:rsid w:val="00FE1917"/>
    <w:rsid w:val="00FE2072"/>
    <w:rsid w:val="00FE2CE5"/>
    <w:rsid w:val="00FE2E65"/>
    <w:rsid w:val="00FE3516"/>
    <w:rsid w:val="00FE4B81"/>
    <w:rsid w:val="00FE4DAA"/>
    <w:rsid w:val="00FE5C06"/>
    <w:rsid w:val="00FE609F"/>
    <w:rsid w:val="00FE78AF"/>
    <w:rsid w:val="00FF015F"/>
    <w:rsid w:val="00FF0781"/>
    <w:rsid w:val="00FF082F"/>
    <w:rsid w:val="00FF1FE1"/>
    <w:rsid w:val="00FF29BC"/>
    <w:rsid w:val="00FF2DEF"/>
    <w:rsid w:val="00FF2ED8"/>
    <w:rsid w:val="00FF38AE"/>
    <w:rsid w:val="00FF3AEA"/>
    <w:rsid w:val="00FF3C7E"/>
    <w:rsid w:val="00FF3DD3"/>
    <w:rsid w:val="00FF41E2"/>
    <w:rsid w:val="00FF4C0B"/>
    <w:rsid w:val="00FF500A"/>
    <w:rsid w:val="00FF5071"/>
    <w:rsid w:val="00FF5269"/>
    <w:rsid w:val="00FF5418"/>
    <w:rsid w:val="00FF5A37"/>
    <w:rsid w:val="00FF6725"/>
    <w:rsid w:val="00FF6C10"/>
    <w:rsid w:val="00FF6E1A"/>
    <w:rsid w:val="00FF7094"/>
    <w:rsid w:val="00FF7562"/>
    <w:rsid w:val="00FF7B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3FA7CA"/>
  <w15:chartTrackingRefBased/>
  <w15:docId w15:val="{9ABFF398-DD8B-4BE8-B0A2-68DCD3EA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B85"/>
  </w:style>
  <w:style w:type="paragraph" w:styleId="Ttulo1">
    <w:name w:val="heading 1"/>
    <w:basedOn w:val="Normal"/>
    <w:next w:val="Normal"/>
    <w:link w:val="Ttulo1Car"/>
    <w:autoRedefine/>
    <w:uiPriority w:val="9"/>
    <w:qFormat/>
    <w:rsid w:val="00D100F1"/>
    <w:pPr>
      <w:keepNext/>
      <w:keepLines/>
      <w:spacing w:after="240" w:line="240" w:lineRule="auto"/>
      <w:jc w:val="both"/>
      <w:outlineLvl w:val="0"/>
    </w:pPr>
    <w:rPr>
      <w:rFonts w:ascii="FranklinGothic-Demi" w:eastAsiaTheme="majorEastAsia" w:hAnsi="FranklinGothic-Demi" w:cs="FranklinGothic-Demi"/>
      <w:b/>
      <w:color w:val="0C2D66"/>
      <w:sz w:val="28"/>
      <w:szCs w:val="28"/>
    </w:rPr>
  </w:style>
  <w:style w:type="paragraph" w:styleId="Ttulo2">
    <w:name w:val="heading 2"/>
    <w:basedOn w:val="Normal"/>
    <w:next w:val="Normal"/>
    <w:link w:val="Ttulo2Car"/>
    <w:uiPriority w:val="9"/>
    <w:unhideWhenUsed/>
    <w:qFormat/>
    <w:rsid w:val="008C7EE5"/>
    <w:pPr>
      <w:keepNext/>
      <w:keepLines/>
      <w:spacing w:after="0" w:afterAutospacing="1" w:line="240" w:lineRule="auto"/>
      <w:outlineLvl w:val="1"/>
    </w:pPr>
    <w:rPr>
      <w:rFonts w:ascii="Franklin Gothic Book" w:eastAsiaTheme="majorEastAsia" w:hAnsi="Franklin Gothic Book" w:cstheme="majorBidi"/>
      <w:b/>
      <w:color w:val="002060"/>
      <w:sz w:val="24"/>
      <w:szCs w:val="26"/>
    </w:rPr>
  </w:style>
  <w:style w:type="paragraph" w:styleId="Ttulo3">
    <w:name w:val="heading 3"/>
    <w:basedOn w:val="Normal"/>
    <w:next w:val="Normal"/>
    <w:link w:val="Ttulo3Car"/>
    <w:uiPriority w:val="9"/>
    <w:unhideWhenUsed/>
    <w:qFormat/>
    <w:rsid w:val="00423DE4"/>
    <w:pPr>
      <w:keepNext/>
      <w:keepLines/>
      <w:spacing w:before="40" w:after="0"/>
      <w:outlineLvl w:val="2"/>
    </w:pPr>
    <w:rPr>
      <w:rFonts w:asciiTheme="majorHAnsi" w:eastAsiaTheme="majorEastAsia" w:hAnsiTheme="majorHAnsi" w:cstheme="majorBidi"/>
      <w:b/>
      <w:color w:val="002060"/>
      <w:sz w:val="24"/>
      <w:szCs w:val="24"/>
    </w:rPr>
  </w:style>
  <w:style w:type="paragraph" w:styleId="Ttulo4">
    <w:name w:val="heading 4"/>
    <w:basedOn w:val="Normal"/>
    <w:next w:val="Normal"/>
    <w:link w:val="Ttulo4Car"/>
    <w:uiPriority w:val="9"/>
    <w:unhideWhenUsed/>
    <w:qFormat/>
    <w:rsid w:val="00F606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F6066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00F1"/>
    <w:rPr>
      <w:rFonts w:ascii="FranklinGothic-Demi" w:eastAsiaTheme="majorEastAsia" w:hAnsi="FranklinGothic-Demi" w:cs="FranklinGothic-Demi"/>
      <w:b/>
      <w:color w:val="0C2D66"/>
      <w:sz w:val="28"/>
      <w:szCs w:val="28"/>
    </w:rPr>
  </w:style>
  <w:style w:type="character" w:customStyle="1" w:styleId="Ttulo2Car">
    <w:name w:val="Título 2 Car"/>
    <w:basedOn w:val="Fuentedeprrafopredeter"/>
    <w:link w:val="Ttulo2"/>
    <w:uiPriority w:val="9"/>
    <w:rsid w:val="008C7EE5"/>
    <w:rPr>
      <w:rFonts w:ascii="Franklin Gothic Book" w:eastAsiaTheme="majorEastAsia" w:hAnsi="Franklin Gothic Book" w:cstheme="majorBidi"/>
      <w:b/>
      <w:color w:val="002060"/>
      <w:sz w:val="24"/>
      <w:szCs w:val="26"/>
    </w:rPr>
  </w:style>
  <w:style w:type="character" w:customStyle="1" w:styleId="Ttulo3Car">
    <w:name w:val="Título 3 Car"/>
    <w:basedOn w:val="Fuentedeprrafopredeter"/>
    <w:link w:val="Ttulo3"/>
    <w:uiPriority w:val="9"/>
    <w:rsid w:val="00423DE4"/>
    <w:rPr>
      <w:rFonts w:asciiTheme="majorHAnsi" w:eastAsiaTheme="majorEastAsia" w:hAnsiTheme="majorHAnsi" w:cstheme="majorBidi"/>
      <w:b/>
      <w:color w:val="002060"/>
      <w:sz w:val="24"/>
      <w:szCs w:val="24"/>
    </w:rPr>
  </w:style>
  <w:style w:type="character" w:customStyle="1" w:styleId="Ttulo4Car">
    <w:name w:val="Título 4 Car"/>
    <w:basedOn w:val="Fuentedeprrafopredeter"/>
    <w:link w:val="Ttulo4"/>
    <w:uiPriority w:val="9"/>
    <w:rsid w:val="00F6066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F60660"/>
    <w:rPr>
      <w:rFonts w:asciiTheme="majorHAnsi" w:eastAsiaTheme="majorEastAsia" w:hAnsiTheme="majorHAnsi" w:cstheme="majorBidi"/>
      <w:color w:val="2E74B5" w:themeColor="accent1" w:themeShade="BF"/>
    </w:rPr>
  </w:style>
  <w:style w:type="table" w:customStyle="1" w:styleId="Tablaconcuadrcula2">
    <w:name w:val="Tabla con cuadrícula2"/>
    <w:basedOn w:val="Tablanormal"/>
    <w:next w:val="Tablaconcuadrcula"/>
    <w:uiPriority w:val="39"/>
    <w:rsid w:val="003B0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3B0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3B0B85"/>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C03997"/>
    <w:rPr>
      <w:sz w:val="16"/>
      <w:szCs w:val="16"/>
    </w:rPr>
  </w:style>
  <w:style w:type="paragraph" w:styleId="Textocomentario">
    <w:name w:val="annotation text"/>
    <w:basedOn w:val="Normal"/>
    <w:link w:val="TextocomentarioCar"/>
    <w:uiPriority w:val="99"/>
    <w:unhideWhenUsed/>
    <w:rsid w:val="00C03997"/>
    <w:pPr>
      <w:spacing w:line="240" w:lineRule="auto"/>
    </w:pPr>
    <w:rPr>
      <w:sz w:val="20"/>
      <w:szCs w:val="20"/>
    </w:rPr>
  </w:style>
  <w:style w:type="character" w:customStyle="1" w:styleId="TextocomentarioCar">
    <w:name w:val="Texto comentario Car"/>
    <w:basedOn w:val="Fuentedeprrafopredeter"/>
    <w:link w:val="Textocomentario"/>
    <w:rsid w:val="00C03997"/>
    <w:rPr>
      <w:sz w:val="20"/>
      <w:szCs w:val="20"/>
    </w:rPr>
  </w:style>
  <w:style w:type="paragraph" w:styleId="Asuntodelcomentario">
    <w:name w:val="annotation subject"/>
    <w:basedOn w:val="Textocomentario"/>
    <w:next w:val="Textocomentario"/>
    <w:link w:val="AsuntodelcomentarioCar"/>
    <w:uiPriority w:val="99"/>
    <w:semiHidden/>
    <w:unhideWhenUsed/>
    <w:rsid w:val="00C03997"/>
    <w:rPr>
      <w:b/>
      <w:bCs/>
    </w:rPr>
  </w:style>
  <w:style w:type="character" w:customStyle="1" w:styleId="AsuntodelcomentarioCar">
    <w:name w:val="Asunto del comentario Car"/>
    <w:basedOn w:val="TextocomentarioCar"/>
    <w:link w:val="Asuntodelcomentario"/>
    <w:uiPriority w:val="99"/>
    <w:semiHidden/>
    <w:rsid w:val="00C03997"/>
    <w:rPr>
      <w:b/>
      <w:bCs/>
      <w:sz w:val="20"/>
      <w:szCs w:val="20"/>
    </w:rPr>
  </w:style>
  <w:style w:type="paragraph" w:styleId="Textodeglobo">
    <w:name w:val="Balloon Text"/>
    <w:basedOn w:val="Normal"/>
    <w:link w:val="TextodegloboCar"/>
    <w:uiPriority w:val="99"/>
    <w:semiHidden/>
    <w:unhideWhenUsed/>
    <w:rsid w:val="00C039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3997"/>
    <w:rPr>
      <w:rFonts w:ascii="Segoe UI" w:hAnsi="Segoe UI" w:cs="Segoe UI"/>
      <w:sz w:val="18"/>
      <w:szCs w:val="18"/>
    </w:rPr>
  </w:style>
  <w:style w:type="paragraph" w:styleId="Sangradetextonormal">
    <w:name w:val="Body Text Indent"/>
    <w:basedOn w:val="Textoindependiente"/>
    <w:link w:val="SangradetextonormalCar"/>
    <w:uiPriority w:val="99"/>
    <w:rsid w:val="008A27D1"/>
    <w:pPr>
      <w:spacing w:after="240"/>
      <w:ind w:left="475"/>
    </w:pPr>
    <w:rPr>
      <w:lang w:val="es-ES"/>
    </w:rPr>
  </w:style>
  <w:style w:type="paragraph" w:styleId="Textoindependiente">
    <w:name w:val="Body Text"/>
    <w:basedOn w:val="Normal"/>
    <w:link w:val="TextoindependienteCar"/>
    <w:unhideWhenUsed/>
    <w:rsid w:val="008A27D1"/>
    <w:pPr>
      <w:spacing w:after="120"/>
    </w:pPr>
  </w:style>
  <w:style w:type="character" w:customStyle="1" w:styleId="TextoindependienteCar">
    <w:name w:val="Texto independiente Car"/>
    <w:basedOn w:val="Fuentedeprrafopredeter"/>
    <w:link w:val="Textoindependiente"/>
    <w:rsid w:val="008A27D1"/>
  </w:style>
  <w:style w:type="character" w:customStyle="1" w:styleId="SangradetextonormalCar">
    <w:name w:val="Sangría de texto normal Car"/>
    <w:basedOn w:val="Fuentedeprrafopredeter"/>
    <w:link w:val="Sangradetextonormal"/>
    <w:uiPriority w:val="99"/>
    <w:rsid w:val="008A27D1"/>
    <w:rPr>
      <w:lang w:val="es-ES"/>
    </w:rPr>
  </w:style>
  <w:style w:type="paragraph" w:styleId="Prrafodelista">
    <w:name w:val="List Paragraph"/>
    <w:aliases w:val="EY EPM - Lista,EY - Lista,HOJA,Colorful List Accent 1,Colorful List - Accent 11,Guión,BOLA,Estilo 3,Titulo 8,ViÃ±eta 2,Pбrrafo de lista,Lista vistosa - Énfasis 11,parrafo,Bolita,Viñeta 2,Párrafo de lista3,Párrafo de lista21,Lista HD"/>
    <w:basedOn w:val="Normal"/>
    <w:link w:val="PrrafodelistaCar"/>
    <w:uiPriority w:val="34"/>
    <w:qFormat/>
    <w:rsid w:val="00B7741B"/>
    <w:pPr>
      <w:ind w:left="720"/>
      <w:contextualSpacing/>
    </w:pPr>
  </w:style>
  <w:style w:type="character" w:customStyle="1" w:styleId="PrrafodelistaCar">
    <w:name w:val="Párrafo de lista Car"/>
    <w:aliases w:val="EY EPM - Lista Car,EY - Lista Car,HOJA Car,Colorful List Accent 1 Car,Colorful List - Accent 11 Car,Guión Car,BOLA Car,Estilo 3 Car,Titulo 8 Car,ViÃ±eta 2 Car,Pбrrafo de lista Car,Lista vistosa - Énfasis 11 Car,parrafo Car"/>
    <w:basedOn w:val="Fuentedeprrafopredeter"/>
    <w:link w:val="Prrafodelista"/>
    <w:uiPriority w:val="34"/>
    <w:rsid w:val="00B7741B"/>
  </w:style>
  <w:style w:type="paragraph" w:customStyle="1" w:styleId="Default">
    <w:name w:val="Default"/>
    <w:rsid w:val="00906A88"/>
    <w:pPr>
      <w:autoSpaceDE w:val="0"/>
      <w:autoSpaceDN w:val="0"/>
      <w:adjustRightInd w:val="0"/>
      <w:spacing w:after="0" w:line="240" w:lineRule="auto"/>
    </w:pPr>
    <w:rPr>
      <w:rFonts w:ascii="Arial" w:hAnsi="Arial" w:cs="Arial"/>
      <w:color w:val="000000"/>
      <w:sz w:val="24"/>
      <w:szCs w:val="24"/>
      <w:lang w:val="es-AR"/>
    </w:rPr>
  </w:style>
  <w:style w:type="paragraph" w:styleId="Encabezado">
    <w:name w:val="header"/>
    <w:basedOn w:val="Normal"/>
    <w:link w:val="EncabezadoCar"/>
    <w:uiPriority w:val="99"/>
    <w:unhideWhenUsed/>
    <w:rsid w:val="008251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5143"/>
  </w:style>
  <w:style w:type="paragraph" w:styleId="Piedepgina">
    <w:name w:val="footer"/>
    <w:basedOn w:val="Normal"/>
    <w:link w:val="PiedepginaCar"/>
    <w:uiPriority w:val="99"/>
    <w:unhideWhenUsed/>
    <w:rsid w:val="008251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5143"/>
  </w:style>
  <w:style w:type="paragraph" w:styleId="Revisin">
    <w:name w:val="Revision"/>
    <w:hidden/>
    <w:uiPriority w:val="99"/>
    <w:semiHidden/>
    <w:rsid w:val="00BE0E9E"/>
    <w:pPr>
      <w:spacing w:after="0" w:line="240" w:lineRule="auto"/>
    </w:pPr>
  </w:style>
  <w:style w:type="paragraph" w:customStyle="1" w:styleId="NotesHeading">
    <w:name w:val="Notes Heading"/>
    <w:basedOn w:val="Textoindependiente"/>
    <w:next w:val="Sangradetextonormal"/>
    <w:rsid w:val="00AC1CBC"/>
    <w:pPr>
      <w:keepNext/>
      <w:numPr>
        <w:numId w:val="1"/>
      </w:numPr>
      <w:tabs>
        <w:tab w:val="clear" w:pos="720"/>
        <w:tab w:val="num" w:pos="360"/>
        <w:tab w:val="left" w:pos="475"/>
      </w:tabs>
      <w:spacing w:before="240"/>
      <w:ind w:left="0" w:firstLine="0"/>
    </w:pPr>
    <w:rPr>
      <w:b/>
      <w:caps/>
      <w:lang w:val="en-US"/>
    </w:rPr>
  </w:style>
  <w:style w:type="paragraph" w:styleId="Sinespaciado">
    <w:name w:val="No Spacing"/>
    <w:uiPriority w:val="1"/>
    <w:qFormat/>
    <w:rsid w:val="008276CF"/>
    <w:pPr>
      <w:spacing w:after="0" w:line="240" w:lineRule="auto"/>
    </w:pPr>
  </w:style>
  <w:style w:type="paragraph" w:styleId="NormalWeb">
    <w:name w:val="Normal (Web)"/>
    <w:basedOn w:val="Normal"/>
    <w:uiPriority w:val="99"/>
    <w:unhideWhenUsed/>
    <w:rsid w:val="00930A54"/>
    <w:pPr>
      <w:spacing w:after="0" w:line="240" w:lineRule="auto"/>
    </w:pPr>
    <w:rPr>
      <w:rFonts w:ascii="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7323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32380"/>
    <w:rPr>
      <w:sz w:val="20"/>
      <w:szCs w:val="20"/>
    </w:rPr>
  </w:style>
  <w:style w:type="character" w:styleId="Refdenotaalpie">
    <w:name w:val="footnote reference"/>
    <w:basedOn w:val="Fuentedeprrafopredeter"/>
    <w:uiPriority w:val="99"/>
    <w:semiHidden/>
    <w:unhideWhenUsed/>
    <w:rsid w:val="00732380"/>
    <w:rPr>
      <w:vertAlign w:val="superscript"/>
    </w:rPr>
  </w:style>
  <w:style w:type="paragraph" w:styleId="TtuloTDC">
    <w:name w:val="TOC Heading"/>
    <w:basedOn w:val="Ttulo1"/>
    <w:next w:val="Normal"/>
    <w:uiPriority w:val="39"/>
    <w:unhideWhenUsed/>
    <w:qFormat/>
    <w:rsid w:val="003F2D7B"/>
    <w:pPr>
      <w:outlineLvl w:val="9"/>
    </w:pPr>
    <w:rPr>
      <w:lang w:eastAsia="es-CO"/>
    </w:rPr>
  </w:style>
  <w:style w:type="paragraph" w:styleId="TDC2">
    <w:name w:val="toc 2"/>
    <w:basedOn w:val="Normal"/>
    <w:next w:val="Normal"/>
    <w:autoRedefine/>
    <w:uiPriority w:val="39"/>
    <w:unhideWhenUsed/>
    <w:rsid w:val="003F2D7B"/>
    <w:pPr>
      <w:spacing w:after="0"/>
      <w:ind w:left="220"/>
    </w:pPr>
    <w:rPr>
      <w:smallCaps/>
      <w:sz w:val="20"/>
      <w:szCs w:val="20"/>
    </w:rPr>
  </w:style>
  <w:style w:type="character" w:styleId="Hipervnculo">
    <w:name w:val="Hyperlink"/>
    <w:basedOn w:val="Fuentedeprrafopredeter"/>
    <w:uiPriority w:val="99"/>
    <w:unhideWhenUsed/>
    <w:rsid w:val="003F2D7B"/>
    <w:rPr>
      <w:color w:val="0563C1" w:themeColor="hyperlink"/>
      <w:u w:val="single"/>
    </w:rPr>
  </w:style>
  <w:style w:type="paragraph" w:styleId="TDC1">
    <w:name w:val="toc 1"/>
    <w:basedOn w:val="Normal"/>
    <w:next w:val="Normal"/>
    <w:autoRedefine/>
    <w:uiPriority w:val="39"/>
    <w:unhideWhenUsed/>
    <w:rsid w:val="005D0FB1"/>
    <w:pPr>
      <w:tabs>
        <w:tab w:val="right" w:leader="dot" w:pos="9911"/>
      </w:tabs>
      <w:spacing w:after="0"/>
    </w:pPr>
    <w:rPr>
      <w:b/>
      <w:bCs/>
      <w:caps/>
      <w:sz w:val="20"/>
      <w:szCs w:val="20"/>
    </w:rPr>
  </w:style>
  <w:style w:type="paragraph" w:styleId="TDC3">
    <w:name w:val="toc 3"/>
    <w:basedOn w:val="Normal"/>
    <w:next w:val="Normal"/>
    <w:autoRedefine/>
    <w:uiPriority w:val="39"/>
    <w:unhideWhenUsed/>
    <w:rsid w:val="00FE0888"/>
    <w:pPr>
      <w:spacing w:after="0"/>
      <w:ind w:left="440"/>
    </w:pPr>
    <w:rPr>
      <w:i/>
      <w:iCs/>
      <w:sz w:val="20"/>
      <w:szCs w:val="20"/>
    </w:rPr>
  </w:style>
  <w:style w:type="paragraph" w:styleId="TDC4">
    <w:name w:val="toc 4"/>
    <w:basedOn w:val="Normal"/>
    <w:next w:val="Normal"/>
    <w:autoRedefine/>
    <w:uiPriority w:val="39"/>
    <w:unhideWhenUsed/>
    <w:rsid w:val="004356E2"/>
    <w:pPr>
      <w:spacing w:after="0"/>
      <w:ind w:left="660"/>
    </w:pPr>
    <w:rPr>
      <w:sz w:val="18"/>
      <w:szCs w:val="18"/>
    </w:rPr>
  </w:style>
  <w:style w:type="paragraph" w:styleId="TDC5">
    <w:name w:val="toc 5"/>
    <w:basedOn w:val="Normal"/>
    <w:next w:val="Normal"/>
    <w:autoRedefine/>
    <w:uiPriority w:val="39"/>
    <w:unhideWhenUsed/>
    <w:rsid w:val="004356E2"/>
    <w:pPr>
      <w:spacing w:after="0"/>
      <w:ind w:left="880"/>
    </w:pPr>
    <w:rPr>
      <w:sz w:val="18"/>
      <w:szCs w:val="18"/>
    </w:rPr>
  </w:style>
  <w:style w:type="paragraph" w:styleId="TDC6">
    <w:name w:val="toc 6"/>
    <w:basedOn w:val="Normal"/>
    <w:next w:val="Normal"/>
    <w:autoRedefine/>
    <w:uiPriority w:val="39"/>
    <w:unhideWhenUsed/>
    <w:rsid w:val="004356E2"/>
    <w:pPr>
      <w:spacing w:after="0"/>
      <w:ind w:left="1100"/>
    </w:pPr>
    <w:rPr>
      <w:sz w:val="18"/>
      <w:szCs w:val="18"/>
    </w:rPr>
  </w:style>
  <w:style w:type="paragraph" w:styleId="TDC7">
    <w:name w:val="toc 7"/>
    <w:basedOn w:val="Normal"/>
    <w:next w:val="Normal"/>
    <w:autoRedefine/>
    <w:uiPriority w:val="39"/>
    <w:unhideWhenUsed/>
    <w:rsid w:val="004356E2"/>
    <w:pPr>
      <w:spacing w:after="0"/>
      <w:ind w:left="1320"/>
    </w:pPr>
    <w:rPr>
      <w:sz w:val="18"/>
      <w:szCs w:val="18"/>
    </w:rPr>
  </w:style>
  <w:style w:type="paragraph" w:styleId="TDC8">
    <w:name w:val="toc 8"/>
    <w:basedOn w:val="Normal"/>
    <w:next w:val="Normal"/>
    <w:autoRedefine/>
    <w:uiPriority w:val="39"/>
    <w:unhideWhenUsed/>
    <w:rsid w:val="004356E2"/>
    <w:pPr>
      <w:spacing w:after="0"/>
      <w:ind w:left="1540"/>
    </w:pPr>
    <w:rPr>
      <w:sz w:val="18"/>
      <w:szCs w:val="18"/>
    </w:rPr>
  </w:style>
  <w:style w:type="paragraph" w:styleId="TDC9">
    <w:name w:val="toc 9"/>
    <w:basedOn w:val="Normal"/>
    <w:next w:val="Normal"/>
    <w:autoRedefine/>
    <w:uiPriority w:val="39"/>
    <w:unhideWhenUsed/>
    <w:rsid w:val="004356E2"/>
    <w:pPr>
      <w:spacing w:after="0"/>
      <w:ind w:left="1760"/>
    </w:pPr>
    <w:rPr>
      <w:sz w:val="18"/>
      <w:szCs w:val="18"/>
    </w:rPr>
  </w:style>
  <w:style w:type="paragraph" w:customStyle="1" w:styleId="Bodycopy">
    <w:name w:val="Body copy"/>
    <w:link w:val="BodycopyChar"/>
    <w:rsid w:val="002800A7"/>
    <w:pPr>
      <w:spacing w:before="20" w:after="0" w:line="210" w:lineRule="exact"/>
    </w:pPr>
    <w:rPr>
      <w:rFonts w:ascii="Arial" w:eastAsia="PMingLiU" w:hAnsi="Arial" w:cs="Arial"/>
      <w:color w:val="000000"/>
      <w:sz w:val="17"/>
      <w:szCs w:val="17"/>
      <w:lang w:val="en-US"/>
    </w:rPr>
  </w:style>
  <w:style w:type="character" w:customStyle="1" w:styleId="BodycopyChar">
    <w:name w:val="Body copy Char"/>
    <w:link w:val="Bodycopy"/>
    <w:locked/>
    <w:rsid w:val="002800A7"/>
    <w:rPr>
      <w:rFonts w:ascii="Arial" w:eastAsia="PMingLiU" w:hAnsi="Arial" w:cs="Arial"/>
      <w:color w:val="000000"/>
      <w:sz w:val="17"/>
      <w:szCs w:val="17"/>
      <w:lang w:val="en-US"/>
    </w:rPr>
  </w:style>
  <w:style w:type="character" w:customStyle="1" w:styleId="Mencinsinresolver1">
    <w:name w:val="Mención sin resolver1"/>
    <w:basedOn w:val="Fuentedeprrafopredeter"/>
    <w:uiPriority w:val="99"/>
    <w:semiHidden/>
    <w:unhideWhenUsed/>
    <w:rsid w:val="005D0FB1"/>
    <w:rPr>
      <w:color w:val="808080"/>
      <w:shd w:val="clear" w:color="auto" w:fill="E6E6E6"/>
    </w:rPr>
  </w:style>
  <w:style w:type="character" w:styleId="Nmerodelnea">
    <w:name w:val="line number"/>
    <w:basedOn w:val="Fuentedeprrafopredeter"/>
    <w:uiPriority w:val="99"/>
    <w:semiHidden/>
    <w:unhideWhenUsed/>
    <w:rsid w:val="00C90107"/>
  </w:style>
  <w:style w:type="character" w:customStyle="1" w:styleId="Mencinsinresolver2">
    <w:name w:val="Mención sin resolver2"/>
    <w:basedOn w:val="Fuentedeprrafopredeter"/>
    <w:uiPriority w:val="99"/>
    <w:semiHidden/>
    <w:unhideWhenUsed/>
    <w:rsid w:val="00386690"/>
    <w:rPr>
      <w:color w:val="808080"/>
      <w:shd w:val="clear" w:color="auto" w:fill="E6E6E6"/>
    </w:rPr>
  </w:style>
  <w:style w:type="paragraph" w:styleId="Textonotaalfinal">
    <w:name w:val="endnote text"/>
    <w:basedOn w:val="Normal"/>
    <w:link w:val="TextonotaalfinalCar"/>
    <w:uiPriority w:val="99"/>
    <w:semiHidden/>
    <w:unhideWhenUsed/>
    <w:rsid w:val="00B1434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4340"/>
    <w:rPr>
      <w:sz w:val="20"/>
      <w:szCs w:val="20"/>
    </w:rPr>
  </w:style>
  <w:style w:type="character" w:styleId="Refdenotaalfinal">
    <w:name w:val="endnote reference"/>
    <w:basedOn w:val="Fuentedeprrafopredeter"/>
    <w:uiPriority w:val="99"/>
    <w:semiHidden/>
    <w:unhideWhenUsed/>
    <w:rsid w:val="00B14340"/>
    <w:rPr>
      <w:vertAlign w:val="superscript"/>
    </w:rPr>
  </w:style>
  <w:style w:type="character" w:customStyle="1" w:styleId="Mencinsinresolver3">
    <w:name w:val="Mención sin resolver3"/>
    <w:basedOn w:val="Fuentedeprrafopredeter"/>
    <w:uiPriority w:val="99"/>
    <w:semiHidden/>
    <w:unhideWhenUsed/>
    <w:rsid w:val="00DE16BE"/>
    <w:rPr>
      <w:color w:val="808080"/>
      <w:shd w:val="clear" w:color="auto" w:fill="E6E6E6"/>
    </w:rPr>
  </w:style>
  <w:style w:type="table" w:customStyle="1" w:styleId="Cuadrculadetablaclara1">
    <w:name w:val="Cuadrícula de tabla clara1"/>
    <w:basedOn w:val="Tablanormal"/>
    <w:uiPriority w:val="40"/>
    <w:rsid w:val="00DD7A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mmentTextChar1">
    <w:name w:val="Comment Text Char1"/>
    <w:basedOn w:val="Fuentedeprrafopredeter"/>
    <w:uiPriority w:val="99"/>
    <w:rsid w:val="00AD7386"/>
    <w:rPr>
      <w:rFonts w:ascii="Calibri" w:eastAsia="Calibri" w:hAnsi="Calibri" w:cs="Times New Roman"/>
      <w:sz w:val="20"/>
      <w:szCs w:val="20"/>
    </w:rPr>
  </w:style>
  <w:style w:type="character" w:customStyle="1" w:styleId="Mencinsinresolver4">
    <w:name w:val="Mención sin resolver4"/>
    <w:basedOn w:val="Fuentedeprrafopredeter"/>
    <w:uiPriority w:val="99"/>
    <w:semiHidden/>
    <w:unhideWhenUsed/>
    <w:rsid w:val="00506036"/>
    <w:rPr>
      <w:color w:val="808080"/>
      <w:shd w:val="clear" w:color="auto" w:fill="E6E6E6"/>
    </w:rPr>
  </w:style>
  <w:style w:type="character" w:customStyle="1" w:styleId="Mencinsinresolver5">
    <w:name w:val="Mención sin resolver5"/>
    <w:basedOn w:val="Fuentedeprrafopredeter"/>
    <w:uiPriority w:val="99"/>
    <w:semiHidden/>
    <w:unhideWhenUsed/>
    <w:rsid w:val="00BB3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977">
      <w:bodyDiv w:val="1"/>
      <w:marLeft w:val="0"/>
      <w:marRight w:val="0"/>
      <w:marTop w:val="0"/>
      <w:marBottom w:val="0"/>
      <w:divBdr>
        <w:top w:val="none" w:sz="0" w:space="0" w:color="auto"/>
        <w:left w:val="none" w:sz="0" w:space="0" w:color="auto"/>
        <w:bottom w:val="none" w:sz="0" w:space="0" w:color="auto"/>
        <w:right w:val="none" w:sz="0" w:space="0" w:color="auto"/>
      </w:divBdr>
    </w:div>
    <w:div w:id="4139922">
      <w:bodyDiv w:val="1"/>
      <w:marLeft w:val="0"/>
      <w:marRight w:val="0"/>
      <w:marTop w:val="0"/>
      <w:marBottom w:val="0"/>
      <w:divBdr>
        <w:top w:val="none" w:sz="0" w:space="0" w:color="auto"/>
        <w:left w:val="none" w:sz="0" w:space="0" w:color="auto"/>
        <w:bottom w:val="none" w:sz="0" w:space="0" w:color="auto"/>
        <w:right w:val="none" w:sz="0" w:space="0" w:color="auto"/>
      </w:divBdr>
    </w:div>
    <w:div w:id="5982908">
      <w:bodyDiv w:val="1"/>
      <w:marLeft w:val="0"/>
      <w:marRight w:val="0"/>
      <w:marTop w:val="0"/>
      <w:marBottom w:val="0"/>
      <w:divBdr>
        <w:top w:val="none" w:sz="0" w:space="0" w:color="auto"/>
        <w:left w:val="none" w:sz="0" w:space="0" w:color="auto"/>
        <w:bottom w:val="none" w:sz="0" w:space="0" w:color="auto"/>
        <w:right w:val="none" w:sz="0" w:space="0" w:color="auto"/>
      </w:divBdr>
    </w:div>
    <w:div w:id="8265553">
      <w:bodyDiv w:val="1"/>
      <w:marLeft w:val="0"/>
      <w:marRight w:val="0"/>
      <w:marTop w:val="0"/>
      <w:marBottom w:val="0"/>
      <w:divBdr>
        <w:top w:val="none" w:sz="0" w:space="0" w:color="auto"/>
        <w:left w:val="none" w:sz="0" w:space="0" w:color="auto"/>
        <w:bottom w:val="none" w:sz="0" w:space="0" w:color="auto"/>
        <w:right w:val="none" w:sz="0" w:space="0" w:color="auto"/>
      </w:divBdr>
    </w:div>
    <w:div w:id="10885169">
      <w:bodyDiv w:val="1"/>
      <w:marLeft w:val="0"/>
      <w:marRight w:val="0"/>
      <w:marTop w:val="0"/>
      <w:marBottom w:val="0"/>
      <w:divBdr>
        <w:top w:val="none" w:sz="0" w:space="0" w:color="auto"/>
        <w:left w:val="none" w:sz="0" w:space="0" w:color="auto"/>
        <w:bottom w:val="none" w:sz="0" w:space="0" w:color="auto"/>
        <w:right w:val="none" w:sz="0" w:space="0" w:color="auto"/>
      </w:divBdr>
    </w:div>
    <w:div w:id="11499129">
      <w:bodyDiv w:val="1"/>
      <w:marLeft w:val="0"/>
      <w:marRight w:val="0"/>
      <w:marTop w:val="0"/>
      <w:marBottom w:val="0"/>
      <w:divBdr>
        <w:top w:val="none" w:sz="0" w:space="0" w:color="auto"/>
        <w:left w:val="none" w:sz="0" w:space="0" w:color="auto"/>
        <w:bottom w:val="none" w:sz="0" w:space="0" w:color="auto"/>
        <w:right w:val="none" w:sz="0" w:space="0" w:color="auto"/>
      </w:divBdr>
    </w:div>
    <w:div w:id="17658451">
      <w:bodyDiv w:val="1"/>
      <w:marLeft w:val="0"/>
      <w:marRight w:val="0"/>
      <w:marTop w:val="0"/>
      <w:marBottom w:val="0"/>
      <w:divBdr>
        <w:top w:val="none" w:sz="0" w:space="0" w:color="auto"/>
        <w:left w:val="none" w:sz="0" w:space="0" w:color="auto"/>
        <w:bottom w:val="none" w:sz="0" w:space="0" w:color="auto"/>
        <w:right w:val="none" w:sz="0" w:space="0" w:color="auto"/>
      </w:divBdr>
    </w:div>
    <w:div w:id="20783856">
      <w:bodyDiv w:val="1"/>
      <w:marLeft w:val="0"/>
      <w:marRight w:val="0"/>
      <w:marTop w:val="0"/>
      <w:marBottom w:val="0"/>
      <w:divBdr>
        <w:top w:val="none" w:sz="0" w:space="0" w:color="auto"/>
        <w:left w:val="none" w:sz="0" w:space="0" w:color="auto"/>
        <w:bottom w:val="none" w:sz="0" w:space="0" w:color="auto"/>
        <w:right w:val="none" w:sz="0" w:space="0" w:color="auto"/>
      </w:divBdr>
    </w:div>
    <w:div w:id="22439993">
      <w:bodyDiv w:val="1"/>
      <w:marLeft w:val="0"/>
      <w:marRight w:val="0"/>
      <w:marTop w:val="0"/>
      <w:marBottom w:val="0"/>
      <w:divBdr>
        <w:top w:val="none" w:sz="0" w:space="0" w:color="auto"/>
        <w:left w:val="none" w:sz="0" w:space="0" w:color="auto"/>
        <w:bottom w:val="none" w:sz="0" w:space="0" w:color="auto"/>
        <w:right w:val="none" w:sz="0" w:space="0" w:color="auto"/>
      </w:divBdr>
    </w:div>
    <w:div w:id="26106003">
      <w:bodyDiv w:val="1"/>
      <w:marLeft w:val="0"/>
      <w:marRight w:val="0"/>
      <w:marTop w:val="0"/>
      <w:marBottom w:val="0"/>
      <w:divBdr>
        <w:top w:val="none" w:sz="0" w:space="0" w:color="auto"/>
        <w:left w:val="none" w:sz="0" w:space="0" w:color="auto"/>
        <w:bottom w:val="none" w:sz="0" w:space="0" w:color="auto"/>
        <w:right w:val="none" w:sz="0" w:space="0" w:color="auto"/>
      </w:divBdr>
    </w:div>
    <w:div w:id="32001788">
      <w:bodyDiv w:val="1"/>
      <w:marLeft w:val="0"/>
      <w:marRight w:val="0"/>
      <w:marTop w:val="0"/>
      <w:marBottom w:val="0"/>
      <w:divBdr>
        <w:top w:val="none" w:sz="0" w:space="0" w:color="auto"/>
        <w:left w:val="none" w:sz="0" w:space="0" w:color="auto"/>
        <w:bottom w:val="none" w:sz="0" w:space="0" w:color="auto"/>
        <w:right w:val="none" w:sz="0" w:space="0" w:color="auto"/>
      </w:divBdr>
    </w:div>
    <w:div w:id="37946760">
      <w:bodyDiv w:val="1"/>
      <w:marLeft w:val="0"/>
      <w:marRight w:val="0"/>
      <w:marTop w:val="0"/>
      <w:marBottom w:val="0"/>
      <w:divBdr>
        <w:top w:val="none" w:sz="0" w:space="0" w:color="auto"/>
        <w:left w:val="none" w:sz="0" w:space="0" w:color="auto"/>
        <w:bottom w:val="none" w:sz="0" w:space="0" w:color="auto"/>
        <w:right w:val="none" w:sz="0" w:space="0" w:color="auto"/>
      </w:divBdr>
    </w:div>
    <w:div w:id="46491995">
      <w:bodyDiv w:val="1"/>
      <w:marLeft w:val="0"/>
      <w:marRight w:val="0"/>
      <w:marTop w:val="0"/>
      <w:marBottom w:val="0"/>
      <w:divBdr>
        <w:top w:val="none" w:sz="0" w:space="0" w:color="auto"/>
        <w:left w:val="none" w:sz="0" w:space="0" w:color="auto"/>
        <w:bottom w:val="none" w:sz="0" w:space="0" w:color="auto"/>
        <w:right w:val="none" w:sz="0" w:space="0" w:color="auto"/>
      </w:divBdr>
    </w:div>
    <w:div w:id="49964421">
      <w:bodyDiv w:val="1"/>
      <w:marLeft w:val="0"/>
      <w:marRight w:val="0"/>
      <w:marTop w:val="0"/>
      <w:marBottom w:val="0"/>
      <w:divBdr>
        <w:top w:val="none" w:sz="0" w:space="0" w:color="auto"/>
        <w:left w:val="none" w:sz="0" w:space="0" w:color="auto"/>
        <w:bottom w:val="none" w:sz="0" w:space="0" w:color="auto"/>
        <w:right w:val="none" w:sz="0" w:space="0" w:color="auto"/>
      </w:divBdr>
    </w:div>
    <w:div w:id="65539846">
      <w:bodyDiv w:val="1"/>
      <w:marLeft w:val="0"/>
      <w:marRight w:val="0"/>
      <w:marTop w:val="0"/>
      <w:marBottom w:val="0"/>
      <w:divBdr>
        <w:top w:val="none" w:sz="0" w:space="0" w:color="auto"/>
        <w:left w:val="none" w:sz="0" w:space="0" w:color="auto"/>
        <w:bottom w:val="none" w:sz="0" w:space="0" w:color="auto"/>
        <w:right w:val="none" w:sz="0" w:space="0" w:color="auto"/>
      </w:divBdr>
    </w:div>
    <w:div w:id="69934580">
      <w:bodyDiv w:val="1"/>
      <w:marLeft w:val="0"/>
      <w:marRight w:val="0"/>
      <w:marTop w:val="0"/>
      <w:marBottom w:val="0"/>
      <w:divBdr>
        <w:top w:val="none" w:sz="0" w:space="0" w:color="auto"/>
        <w:left w:val="none" w:sz="0" w:space="0" w:color="auto"/>
        <w:bottom w:val="none" w:sz="0" w:space="0" w:color="auto"/>
        <w:right w:val="none" w:sz="0" w:space="0" w:color="auto"/>
      </w:divBdr>
    </w:div>
    <w:div w:id="72777156">
      <w:bodyDiv w:val="1"/>
      <w:marLeft w:val="0"/>
      <w:marRight w:val="0"/>
      <w:marTop w:val="0"/>
      <w:marBottom w:val="0"/>
      <w:divBdr>
        <w:top w:val="none" w:sz="0" w:space="0" w:color="auto"/>
        <w:left w:val="none" w:sz="0" w:space="0" w:color="auto"/>
        <w:bottom w:val="none" w:sz="0" w:space="0" w:color="auto"/>
        <w:right w:val="none" w:sz="0" w:space="0" w:color="auto"/>
      </w:divBdr>
    </w:div>
    <w:div w:id="77482515">
      <w:bodyDiv w:val="1"/>
      <w:marLeft w:val="0"/>
      <w:marRight w:val="0"/>
      <w:marTop w:val="0"/>
      <w:marBottom w:val="0"/>
      <w:divBdr>
        <w:top w:val="none" w:sz="0" w:space="0" w:color="auto"/>
        <w:left w:val="none" w:sz="0" w:space="0" w:color="auto"/>
        <w:bottom w:val="none" w:sz="0" w:space="0" w:color="auto"/>
        <w:right w:val="none" w:sz="0" w:space="0" w:color="auto"/>
      </w:divBdr>
    </w:div>
    <w:div w:id="89665501">
      <w:bodyDiv w:val="1"/>
      <w:marLeft w:val="0"/>
      <w:marRight w:val="0"/>
      <w:marTop w:val="0"/>
      <w:marBottom w:val="0"/>
      <w:divBdr>
        <w:top w:val="none" w:sz="0" w:space="0" w:color="auto"/>
        <w:left w:val="none" w:sz="0" w:space="0" w:color="auto"/>
        <w:bottom w:val="none" w:sz="0" w:space="0" w:color="auto"/>
        <w:right w:val="none" w:sz="0" w:space="0" w:color="auto"/>
      </w:divBdr>
    </w:div>
    <w:div w:id="97457478">
      <w:bodyDiv w:val="1"/>
      <w:marLeft w:val="0"/>
      <w:marRight w:val="0"/>
      <w:marTop w:val="0"/>
      <w:marBottom w:val="0"/>
      <w:divBdr>
        <w:top w:val="none" w:sz="0" w:space="0" w:color="auto"/>
        <w:left w:val="none" w:sz="0" w:space="0" w:color="auto"/>
        <w:bottom w:val="none" w:sz="0" w:space="0" w:color="auto"/>
        <w:right w:val="none" w:sz="0" w:space="0" w:color="auto"/>
      </w:divBdr>
    </w:div>
    <w:div w:id="99689538">
      <w:bodyDiv w:val="1"/>
      <w:marLeft w:val="0"/>
      <w:marRight w:val="0"/>
      <w:marTop w:val="0"/>
      <w:marBottom w:val="0"/>
      <w:divBdr>
        <w:top w:val="none" w:sz="0" w:space="0" w:color="auto"/>
        <w:left w:val="none" w:sz="0" w:space="0" w:color="auto"/>
        <w:bottom w:val="none" w:sz="0" w:space="0" w:color="auto"/>
        <w:right w:val="none" w:sz="0" w:space="0" w:color="auto"/>
      </w:divBdr>
    </w:div>
    <w:div w:id="107360153">
      <w:bodyDiv w:val="1"/>
      <w:marLeft w:val="0"/>
      <w:marRight w:val="0"/>
      <w:marTop w:val="0"/>
      <w:marBottom w:val="0"/>
      <w:divBdr>
        <w:top w:val="none" w:sz="0" w:space="0" w:color="auto"/>
        <w:left w:val="none" w:sz="0" w:space="0" w:color="auto"/>
        <w:bottom w:val="none" w:sz="0" w:space="0" w:color="auto"/>
        <w:right w:val="none" w:sz="0" w:space="0" w:color="auto"/>
      </w:divBdr>
    </w:div>
    <w:div w:id="112945694">
      <w:bodyDiv w:val="1"/>
      <w:marLeft w:val="0"/>
      <w:marRight w:val="0"/>
      <w:marTop w:val="0"/>
      <w:marBottom w:val="0"/>
      <w:divBdr>
        <w:top w:val="none" w:sz="0" w:space="0" w:color="auto"/>
        <w:left w:val="none" w:sz="0" w:space="0" w:color="auto"/>
        <w:bottom w:val="none" w:sz="0" w:space="0" w:color="auto"/>
        <w:right w:val="none" w:sz="0" w:space="0" w:color="auto"/>
      </w:divBdr>
      <w:divsChild>
        <w:div w:id="569385956">
          <w:marLeft w:val="0"/>
          <w:marRight w:val="0"/>
          <w:marTop w:val="0"/>
          <w:marBottom w:val="0"/>
          <w:divBdr>
            <w:top w:val="none" w:sz="0" w:space="0" w:color="auto"/>
            <w:left w:val="none" w:sz="0" w:space="0" w:color="auto"/>
            <w:bottom w:val="none" w:sz="0" w:space="0" w:color="auto"/>
            <w:right w:val="none" w:sz="0" w:space="0" w:color="auto"/>
          </w:divBdr>
          <w:divsChild>
            <w:div w:id="243881090">
              <w:marLeft w:val="0"/>
              <w:marRight w:val="0"/>
              <w:marTop w:val="0"/>
              <w:marBottom w:val="0"/>
              <w:divBdr>
                <w:top w:val="none" w:sz="0" w:space="0" w:color="auto"/>
                <w:left w:val="none" w:sz="0" w:space="0" w:color="auto"/>
                <w:bottom w:val="none" w:sz="0" w:space="0" w:color="auto"/>
                <w:right w:val="none" w:sz="0" w:space="0" w:color="auto"/>
              </w:divBdr>
              <w:divsChild>
                <w:div w:id="21021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1651">
      <w:bodyDiv w:val="1"/>
      <w:marLeft w:val="0"/>
      <w:marRight w:val="0"/>
      <w:marTop w:val="0"/>
      <w:marBottom w:val="0"/>
      <w:divBdr>
        <w:top w:val="none" w:sz="0" w:space="0" w:color="auto"/>
        <w:left w:val="none" w:sz="0" w:space="0" w:color="auto"/>
        <w:bottom w:val="none" w:sz="0" w:space="0" w:color="auto"/>
        <w:right w:val="none" w:sz="0" w:space="0" w:color="auto"/>
      </w:divBdr>
    </w:div>
    <w:div w:id="120147429">
      <w:bodyDiv w:val="1"/>
      <w:marLeft w:val="0"/>
      <w:marRight w:val="0"/>
      <w:marTop w:val="0"/>
      <w:marBottom w:val="0"/>
      <w:divBdr>
        <w:top w:val="none" w:sz="0" w:space="0" w:color="auto"/>
        <w:left w:val="none" w:sz="0" w:space="0" w:color="auto"/>
        <w:bottom w:val="none" w:sz="0" w:space="0" w:color="auto"/>
        <w:right w:val="none" w:sz="0" w:space="0" w:color="auto"/>
      </w:divBdr>
    </w:div>
    <w:div w:id="138425790">
      <w:bodyDiv w:val="1"/>
      <w:marLeft w:val="0"/>
      <w:marRight w:val="0"/>
      <w:marTop w:val="0"/>
      <w:marBottom w:val="0"/>
      <w:divBdr>
        <w:top w:val="none" w:sz="0" w:space="0" w:color="auto"/>
        <w:left w:val="none" w:sz="0" w:space="0" w:color="auto"/>
        <w:bottom w:val="none" w:sz="0" w:space="0" w:color="auto"/>
        <w:right w:val="none" w:sz="0" w:space="0" w:color="auto"/>
      </w:divBdr>
    </w:div>
    <w:div w:id="139006982">
      <w:bodyDiv w:val="1"/>
      <w:marLeft w:val="0"/>
      <w:marRight w:val="0"/>
      <w:marTop w:val="0"/>
      <w:marBottom w:val="0"/>
      <w:divBdr>
        <w:top w:val="none" w:sz="0" w:space="0" w:color="auto"/>
        <w:left w:val="none" w:sz="0" w:space="0" w:color="auto"/>
        <w:bottom w:val="none" w:sz="0" w:space="0" w:color="auto"/>
        <w:right w:val="none" w:sz="0" w:space="0" w:color="auto"/>
      </w:divBdr>
    </w:div>
    <w:div w:id="145513773">
      <w:bodyDiv w:val="1"/>
      <w:marLeft w:val="0"/>
      <w:marRight w:val="0"/>
      <w:marTop w:val="0"/>
      <w:marBottom w:val="0"/>
      <w:divBdr>
        <w:top w:val="none" w:sz="0" w:space="0" w:color="auto"/>
        <w:left w:val="none" w:sz="0" w:space="0" w:color="auto"/>
        <w:bottom w:val="none" w:sz="0" w:space="0" w:color="auto"/>
        <w:right w:val="none" w:sz="0" w:space="0" w:color="auto"/>
      </w:divBdr>
    </w:div>
    <w:div w:id="148636215">
      <w:bodyDiv w:val="1"/>
      <w:marLeft w:val="0"/>
      <w:marRight w:val="0"/>
      <w:marTop w:val="0"/>
      <w:marBottom w:val="0"/>
      <w:divBdr>
        <w:top w:val="none" w:sz="0" w:space="0" w:color="auto"/>
        <w:left w:val="none" w:sz="0" w:space="0" w:color="auto"/>
        <w:bottom w:val="none" w:sz="0" w:space="0" w:color="auto"/>
        <w:right w:val="none" w:sz="0" w:space="0" w:color="auto"/>
      </w:divBdr>
    </w:div>
    <w:div w:id="159735059">
      <w:bodyDiv w:val="1"/>
      <w:marLeft w:val="0"/>
      <w:marRight w:val="0"/>
      <w:marTop w:val="0"/>
      <w:marBottom w:val="0"/>
      <w:divBdr>
        <w:top w:val="none" w:sz="0" w:space="0" w:color="auto"/>
        <w:left w:val="none" w:sz="0" w:space="0" w:color="auto"/>
        <w:bottom w:val="none" w:sz="0" w:space="0" w:color="auto"/>
        <w:right w:val="none" w:sz="0" w:space="0" w:color="auto"/>
      </w:divBdr>
    </w:div>
    <w:div w:id="167526495">
      <w:bodyDiv w:val="1"/>
      <w:marLeft w:val="0"/>
      <w:marRight w:val="0"/>
      <w:marTop w:val="0"/>
      <w:marBottom w:val="0"/>
      <w:divBdr>
        <w:top w:val="none" w:sz="0" w:space="0" w:color="auto"/>
        <w:left w:val="none" w:sz="0" w:space="0" w:color="auto"/>
        <w:bottom w:val="none" w:sz="0" w:space="0" w:color="auto"/>
        <w:right w:val="none" w:sz="0" w:space="0" w:color="auto"/>
      </w:divBdr>
    </w:div>
    <w:div w:id="168838342">
      <w:bodyDiv w:val="1"/>
      <w:marLeft w:val="0"/>
      <w:marRight w:val="0"/>
      <w:marTop w:val="0"/>
      <w:marBottom w:val="0"/>
      <w:divBdr>
        <w:top w:val="none" w:sz="0" w:space="0" w:color="auto"/>
        <w:left w:val="none" w:sz="0" w:space="0" w:color="auto"/>
        <w:bottom w:val="none" w:sz="0" w:space="0" w:color="auto"/>
        <w:right w:val="none" w:sz="0" w:space="0" w:color="auto"/>
      </w:divBdr>
    </w:div>
    <w:div w:id="182213649">
      <w:bodyDiv w:val="1"/>
      <w:marLeft w:val="0"/>
      <w:marRight w:val="0"/>
      <w:marTop w:val="0"/>
      <w:marBottom w:val="0"/>
      <w:divBdr>
        <w:top w:val="none" w:sz="0" w:space="0" w:color="auto"/>
        <w:left w:val="none" w:sz="0" w:space="0" w:color="auto"/>
        <w:bottom w:val="none" w:sz="0" w:space="0" w:color="auto"/>
        <w:right w:val="none" w:sz="0" w:space="0" w:color="auto"/>
      </w:divBdr>
    </w:div>
    <w:div w:id="186332686">
      <w:bodyDiv w:val="1"/>
      <w:marLeft w:val="0"/>
      <w:marRight w:val="0"/>
      <w:marTop w:val="0"/>
      <w:marBottom w:val="0"/>
      <w:divBdr>
        <w:top w:val="none" w:sz="0" w:space="0" w:color="auto"/>
        <w:left w:val="none" w:sz="0" w:space="0" w:color="auto"/>
        <w:bottom w:val="none" w:sz="0" w:space="0" w:color="auto"/>
        <w:right w:val="none" w:sz="0" w:space="0" w:color="auto"/>
      </w:divBdr>
    </w:div>
    <w:div w:id="187642471">
      <w:bodyDiv w:val="1"/>
      <w:marLeft w:val="0"/>
      <w:marRight w:val="0"/>
      <w:marTop w:val="0"/>
      <w:marBottom w:val="0"/>
      <w:divBdr>
        <w:top w:val="none" w:sz="0" w:space="0" w:color="auto"/>
        <w:left w:val="none" w:sz="0" w:space="0" w:color="auto"/>
        <w:bottom w:val="none" w:sz="0" w:space="0" w:color="auto"/>
        <w:right w:val="none" w:sz="0" w:space="0" w:color="auto"/>
      </w:divBdr>
    </w:div>
    <w:div w:id="200099811">
      <w:bodyDiv w:val="1"/>
      <w:marLeft w:val="0"/>
      <w:marRight w:val="0"/>
      <w:marTop w:val="0"/>
      <w:marBottom w:val="0"/>
      <w:divBdr>
        <w:top w:val="none" w:sz="0" w:space="0" w:color="auto"/>
        <w:left w:val="none" w:sz="0" w:space="0" w:color="auto"/>
        <w:bottom w:val="none" w:sz="0" w:space="0" w:color="auto"/>
        <w:right w:val="none" w:sz="0" w:space="0" w:color="auto"/>
      </w:divBdr>
    </w:div>
    <w:div w:id="206989402">
      <w:bodyDiv w:val="1"/>
      <w:marLeft w:val="0"/>
      <w:marRight w:val="0"/>
      <w:marTop w:val="0"/>
      <w:marBottom w:val="0"/>
      <w:divBdr>
        <w:top w:val="none" w:sz="0" w:space="0" w:color="auto"/>
        <w:left w:val="none" w:sz="0" w:space="0" w:color="auto"/>
        <w:bottom w:val="none" w:sz="0" w:space="0" w:color="auto"/>
        <w:right w:val="none" w:sz="0" w:space="0" w:color="auto"/>
      </w:divBdr>
    </w:div>
    <w:div w:id="207842359">
      <w:bodyDiv w:val="1"/>
      <w:marLeft w:val="0"/>
      <w:marRight w:val="0"/>
      <w:marTop w:val="0"/>
      <w:marBottom w:val="0"/>
      <w:divBdr>
        <w:top w:val="none" w:sz="0" w:space="0" w:color="auto"/>
        <w:left w:val="none" w:sz="0" w:space="0" w:color="auto"/>
        <w:bottom w:val="none" w:sz="0" w:space="0" w:color="auto"/>
        <w:right w:val="none" w:sz="0" w:space="0" w:color="auto"/>
      </w:divBdr>
    </w:div>
    <w:div w:id="208691891">
      <w:bodyDiv w:val="1"/>
      <w:marLeft w:val="0"/>
      <w:marRight w:val="0"/>
      <w:marTop w:val="0"/>
      <w:marBottom w:val="0"/>
      <w:divBdr>
        <w:top w:val="none" w:sz="0" w:space="0" w:color="auto"/>
        <w:left w:val="none" w:sz="0" w:space="0" w:color="auto"/>
        <w:bottom w:val="none" w:sz="0" w:space="0" w:color="auto"/>
        <w:right w:val="none" w:sz="0" w:space="0" w:color="auto"/>
      </w:divBdr>
    </w:div>
    <w:div w:id="223374289">
      <w:bodyDiv w:val="1"/>
      <w:marLeft w:val="0"/>
      <w:marRight w:val="0"/>
      <w:marTop w:val="0"/>
      <w:marBottom w:val="0"/>
      <w:divBdr>
        <w:top w:val="none" w:sz="0" w:space="0" w:color="auto"/>
        <w:left w:val="none" w:sz="0" w:space="0" w:color="auto"/>
        <w:bottom w:val="none" w:sz="0" w:space="0" w:color="auto"/>
        <w:right w:val="none" w:sz="0" w:space="0" w:color="auto"/>
      </w:divBdr>
    </w:div>
    <w:div w:id="227502074">
      <w:bodyDiv w:val="1"/>
      <w:marLeft w:val="0"/>
      <w:marRight w:val="0"/>
      <w:marTop w:val="0"/>
      <w:marBottom w:val="0"/>
      <w:divBdr>
        <w:top w:val="none" w:sz="0" w:space="0" w:color="auto"/>
        <w:left w:val="none" w:sz="0" w:space="0" w:color="auto"/>
        <w:bottom w:val="none" w:sz="0" w:space="0" w:color="auto"/>
        <w:right w:val="none" w:sz="0" w:space="0" w:color="auto"/>
      </w:divBdr>
    </w:div>
    <w:div w:id="234095255">
      <w:bodyDiv w:val="1"/>
      <w:marLeft w:val="0"/>
      <w:marRight w:val="0"/>
      <w:marTop w:val="0"/>
      <w:marBottom w:val="0"/>
      <w:divBdr>
        <w:top w:val="none" w:sz="0" w:space="0" w:color="auto"/>
        <w:left w:val="none" w:sz="0" w:space="0" w:color="auto"/>
        <w:bottom w:val="none" w:sz="0" w:space="0" w:color="auto"/>
        <w:right w:val="none" w:sz="0" w:space="0" w:color="auto"/>
      </w:divBdr>
    </w:div>
    <w:div w:id="234825267">
      <w:bodyDiv w:val="1"/>
      <w:marLeft w:val="0"/>
      <w:marRight w:val="0"/>
      <w:marTop w:val="0"/>
      <w:marBottom w:val="0"/>
      <w:divBdr>
        <w:top w:val="none" w:sz="0" w:space="0" w:color="auto"/>
        <w:left w:val="none" w:sz="0" w:space="0" w:color="auto"/>
        <w:bottom w:val="none" w:sz="0" w:space="0" w:color="auto"/>
        <w:right w:val="none" w:sz="0" w:space="0" w:color="auto"/>
      </w:divBdr>
    </w:div>
    <w:div w:id="242884742">
      <w:bodyDiv w:val="1"/>
      <w:marLeft w:val="0"/>
      <w:marRight w:val="0"/>
      <w:marTop w:val="0"/>
      <w:marBottom w:val="0"/>
      <w:divBdr>
        <w:top w:val="none" w:sz="0" w:space="0" w:color="auto"/>
        <w:left w:val="none" w:sz="0" w:space="0" w:color="auto"/>
        <w:bottom w:val="none" w:sz="0" w:space="0" w:color="auto"/>
        <w:right w:val="none" w:sz="0" w:space="0" w:color="auto"/>
      </w:divBdr>
    </w:div>
    <w:div w:id="250430331">
      <w:bodyDiv w:val="1"/>
      <w:marLeft w:val="0"/>
      <w:marRight w:val="0"/>
      <w:marTop w:val="0"/>
      <w:marBottom w:val="0"/>
      <w:divBdr>
        <w:top w:val="none" w:sz="0" w:space="0" w:color="auto"/>
        <w:left w:val="none" w:sz="0" w:space="0" w:color="auto"/>
        <w:bottom w:val="none" w:sz="0" w:space="0" w:color="auto"/>
        <w:right w:val="none" w:sz="0" w:space="0" w:color="auto"/>
      </w:divBdr>
    </w:div>
    <w:div w:id="251403774">
      <w:bodyDiv w:val="1"/>
      <w:marLeft w:val="0"/>
      <w:marRight w:val="0"/>
      <w:marTop w:val="0"/>
      <w:marBottom w:val="0"/>
      <w:divBdr>
        <w:top w:val="none" w:sz="0" w:space="0" w:color="auto"/>
        <w:left w:val="none" w:sz="0" w:space="0" w:color="auto"/>
        <w:bottom w:val="none" w:sz="0" w:space="0" w:color="auto"/>
        <w:right w:val="none" w:sz="0" w:space="0" w:color="auto"/>
      </w:divBdr>
    </w:div>
    <w:div w:id="268240348">
      <w:bodyDiv w:val="1"/>
      <w:marLeft w:val="0"/>
      <w:marRight w:val="0"/>
      <w:marTop w:val="0"/>
      <w:marBottom w:val="0"/>
      <w:divBdr>
        <w:top w:val="none" w:sz="0" w:space="0" w:color="auto"/>
        <w:left w:val="none" w:sz="0" w:space="0" w:color="auto"/>
        <w:bottom w:val="none" w:sz="0" w:space="0" w:color="auto"/>
        <w:right w:val="none" w:sz="0" w:space="0" w:color="auto"/>
      </w:divBdr>
    </w:div>
    <w:div w:id="269170588">
      <w:bodyDiv w:val="1"/>
      <w:marLeft w:val="0"/>
      <w:marRight w:val="0"/>
      <w:marTop w:val="0"/>
      <w:marBottom w:val="0"/>
      <w:divBdr>
        <w:top w:val="none" w:sz="0" w:space="0" w:color="auto"/>
        <w:left w:val="none" w:sz="0" w:space="0" w:color="auto"/>
        <w:bottom w:val="none" w:sz="0" w:space="0" w:color="auto"/>
        <w:right w:val="none" w:sz="0" w:space="0" w:color="auto"/>
      </w:divBdr>
    </w:div>
    <w:div w:id="269510341">
      <w:bodyDiv w:val="1"/>
      <w:marLeft w:val="0"/>
      <w:marRight w:val="0"/>
      <w:marTop w:val="0"/>
      <w:marBottom w:val="0"/>
      <w:divBdr>
        <w:top w:val="none" w:sz="0" w:space="0" w:color="auto"/>
        <w:left w:val="none" w:sz="0" w:space="0" w:color="auto"/>
        <w:bottom w:val="none" w:sz="0" w:space="0" w:color="auto"/>
        <w:right w:val="none" w:sz="0" w:space="0" w:color="auto"/>
      </w:divBdr>
    </w:div>
    <w:div w:id="275530394">
      <w:bodyDiv w:val="1"/>
      <w:marLeft w:val="0"/>
      <w:marRight w:val="0"/>
      <w:marTop w:val="0"/>
      <w:marBottom w:val="0"/>
      <w:divBdr>
        <w:top w:val="none" w:sz="0" w:space="0" w:color="auto"/>
        <w:left w:val="none" w:sz="0" w:space="0" w:color="auto"/>
        <w:bottom w:val="none" w:sz="0" w:space="0" w:color="auto"/>
        <w:right w:val="none" w:sz="0" w:space="0" w:color="auto"/>
      </w:divBdr>
    </w:div>
    <w:div w:id="276837501">
      <w:bodyDiv w:val="1"/>
      <w:marLeft w:val="0"/>
      <w:marRight w:val="0"/>
      <w:marTop w:val="0"/>
      <w:marBottom w:val="0"/>
      <w:divBdr>
        <w:top w:val="none" w:sz="0" w:space="0" w:color="auto"/>
        <w:left w:val="none" w:sz="0" w:space="0" w:color="auto"/>
        <w:bottom w:val="none" w:sz="0" w:space="0" w:color="auto"/>
        <w:right w:val="none" w:sz="0" w:space="0" w:color="auto"/>
      </w:divBdr>
    </w:div>
    <w:div w:id="286545439">
      <w:bodyDiv w:val="1"/>
      <w:marLeft w:val="0"/>
      <w:marRight w:val="0"/>
      <w:marTop w:val="0"/>
      <w:marBottom w:val="0"/>
      <w:divBdr>
        <w:top w:val="none" w:sz="0" w:space="0" w:color="auto"/>
        <w:left w:val="none" w:sz="0" w:space="0" w:color="auto"/>
        <w:bottom w:val="none" w:sz="0" w:space="0" w:color="auto"/>
        <w:right w:val="none" w:sz="0" w:space="0" w:color="auto"/>
      </w:divBdr>
    </w:div>
    <w:div w:id="316305315">
      <w:bodyDiv w:val="1"/>
      <w:marLeft w:val="0"/>
      <w:marRight w:val="0"/>
      <w:marTop w:val="0"/>
      <w:marBottom w:val="0"/>
      <w:divBdr>
        <w:top w:val="none" w:sz="0" w:space="0" w:color="auto"/>
        <w:left w:val="none" w:sz="0" w:space="0" w:color="auto"/>
        <w:bottom w:val="none" w:sz="0" w:space="0" w:color="auto"/>
        <w:right w:val="none" w:sz="0" w:space="0" w:color="auto"/>
      </w:divBdr>
    </w:div>
    <w:div w:id="322664231">
      <w:bodyDiv w:val="1"/>
      <w:marLeft w:val="0"/>
      <w:marRight w:val="0"/>
      <w:marTop w:val="0"/>
      <w:marBottom w:val="0"/>
      <w:divBdr>
        <w:top w:val="none" w:sz="0" w:space="0" w:color="auto"/>
        <w:left w:val="none" w:sz="0" w:space="0" w:color="auto"/>
        <w:bottom w:val="none" w:sz="0" w:space="0" w:color="auto"/>
        <w:right w:val="none" w:sz="0" w:space="0" w:color="auto"/>
      </w:divBdr>
    </w:div>
    <w:div w:id="325745175">
      <w:bodyDiv w:val="1"/>
      <w:marLeft w:val="0"/>
      <w:marRight w:val="0"/>
      <w:marTop w:val="0"/>
      <w:marBottom w:val="0"/>
      <w:divBdr>
        <w:top w:val="none" w:sz="0" w:space="0" w:color="auto"/>
        <w:left w:val="none" w:sz="0" w:space="0" w:color="auto"/>
        <w:bottom w:val="none" w:sz="0" w:space="0" w:color="auto"/>
        <w:right w:val="none" w:sz="0" w:space="0" w:color="auto"/>
      </w:divBdr>
    </w:div>
    <w:div w:id="336008832">
      <w:bodyDiv w:val="1"/>
      <w:marLeft w:val="0"/>
      <w:marRight w:val="0"/>
      <w:marTop w:val="0"/>
      <w:marBottom w:val="0"/>
      <w:divBdr>
        <w:top w:val="none" w:sz="0" w:space="0" w:color="auto"/>
        <w:left w:val="none" w:sz="0" w:space="0" w:color="auto"/>
        <w:bottom w:val="none" w:sz="0" w:space="0" w:color="auto"/>
        <w:right w:val="none" w:sz="0" w:space="0" w:color="auto"/>
      </w:divBdr>
    </w:div>
    <w:div w:id="346374896">
      <w:bodyDiv w:val="1"/>
      <w:marLeft w:val="0"/>
      <w:marRight w:val="0"/>
      <w:marTop w:val="0"/>
      <w:marBottom w:val="0"/>
      <w:divBdr>
        <w:top w:val="none" w:sz="0" w:space="0" w:color="auto"/>
        <w:left w:val="none" w:sz="0" w:space="0" w:color="auto"/>
        <w:bottom w:val="none" w:sz="0" w:space="0" w:color="auto"/>
        <w:right w:val="none" w:sz="0" w:space="0" w:color="auto"/>
      </w:divBdr>
    </w:div>
    <w:div w:id="357128335">
      <w:bodyDiv w:val="1"/>
      <w:marLeft w:val="0"/>
      <w:marRight w:val="0"/>
      <w:marTop w:val="0"/>
      <w:marBottom w:val="0"/>
      <w:divBdr>
        <w:top w:val="none" w:sz="0" w:space="0" w:color="auto"/>
        <w:left w:val="none" w:sz="0" w:space="0" w:color="auto"/>
        <w:bottom w:val="none" w:sz="0" w:space="0" w:color="auto"/>
        <w:right w:val="none" w:sz="0" w:space="0" w:color="auto"/>
      </w:divBdr>
    </w:div>
    <w:div w:id="360593571">
      <w:bodyDiv w:val="1"/>
      <w:marLeft w:val="0"/>
      <w:marRight w:val="0"/>
      <w:marTop w:val="0"/>
      <w:marBottom w:val="0"/>
      <w:divBdr>
        <w:top w:val="none" w:sz="0" w:space="0" w:color="auto"/>
        <w:left w:val="none" w:sz="0" w:space="0" w:color="auto"/>
        <w:bottom w:val="none" w:sz="0" w:space="0" w:color="auto"/>
        <w:right w:val="none" w:sz="0" w:space="0" w:color="auto"/>
      </w:divBdr>
    </w:div>
    <w:div w:id="361397652">
      <w:bodyDiv w:val="1"/>
      <w:marLeft w:val="0"/>
      <w:marRight w:val="0"/>
      <w:marTop w:val="0"/>
      <w:marBottom w:val="0"/>
      <w:divBdr>
        <w:top w:val="none" w:sz="0" w:space="0" w:color="auto"/>
        <w:left w:val="none" w:sz="0" w:space="0" w:color="auto"/>
        <w:bottom w:val="none" w:sz="0" w:space="0" w:color="auto"/>
        <w:right w:val="none" w:sz="0" w:space="0" w:color="auto"/>
      </w:divBdr>
    </w:div>
    <w:div w:id="380518383">
      <w:bodyDiv w:val="1"/>
      <w:marLeft w:val="0"/>
      <w:marRight w:val="0"/>
      <w:marTop w:val="0"/>
      <w:marBottom w:val="0"/>
      <w:divBdr>
        <w:top w:val="none" w:sz="0" w:space="0" w:color="auto"/>
        <w:left w:val="none" w:sz="0" w:space="0" w:color="auto"/>
        <w:bottom w:val="none" w:sz="0" w:space="0" w:color="auto"/>
        <w:right w:val="none" w:sz="0" w:space="0" w:color="auto"/>
      </w:divBdr>
    </w:div>
    <w:div w:id="383019416">
      <w:bodyDiv w:val="1"/>
      <w:marLeft w:val="0"/>
      <w:marRight w:val="0"/>
      <w:marTop w:val="0"/>
      <w:marBottom w:val="0"/>
      <w:divBdr>
        <w:top w:val="none" w:sz="0" w:space="0" w:color="auto"/>
        <w:left w:val="none" w:sz="0" w:space="0" w:color="auto"/>
        <w:bottom w:val="none" w:sz="0" w:space="0" w:color="auto"/>
        <w:right w:val="none" w:sz="0" w:space="0" w:color="auto"/>
      </w:divBdr>
    </w:div>
    <w:div w:id="387922946">
      <w:bodyDiv w:val="1"/>
      <w:marLeft w:val="0"/>
      <w:marRight w:val="0"/>
      <w:marTop w:val="0"/>
      <w:marBottom w:val="0"/>
      <w:divBdr>
        <w:top w:val="none" w:sz="0" w:space="0" w:color="auto"/>
        <w:left w:val="none" w:sz="0" w:space="0" w:color="auto"/>
        <w:bottom w:val="none" w:sz="0" w:space="0" w:color="auto"/>
        <w:right w:val="none" w:sz="0" w:space="0" w:color="auto"/>
      </w:divBdr>
    </w:div>
    <w:div w:id="390346211">
      <w:bodyDiv w:val="1"/>
      <w:marLeft w:val="0"/>
      <w:marRight w:val="0"/>
      <w:marTop w:val="0"/>
      <w:marBottom w:val="0"/>
      <w:divBdr>
        <w:top w:val="none" w:sz="0" w:space="0" w:color="auto"/>
        <w:left w:val="none" w:sz="0" w:space="0" w:color="auto"/>
        <w:bottom w:val="none" w:sz="0" w:space="0" w:color="auto"/>
        <w:right w:val="none" w:sz="0" w:space="0" w:color="auto"/>
      </w:divBdr>
    </w:div>
    <w:div w:id="408886521">
      <w:bodyDiv w:val="1"/>
      <w:marLeft w:val="0"/>
      <w:marRight w:val="0"/>
      <w:marTop w:val="0"/>
      <w:marBottom w:val="0"/>
      <w:divBdr>
        <w:top w:val="none" w:sz="0" w:space="0" w:color="auto"/>
        <w:left w:val="none" w:sz="0" w:space="0" w:color="auto"/>
        <w:bottom w:val="none" w:sz="0" w:space="0" w:color="auto"/>
        <w:right w:val="none" w:sz="0" w:space="0" w:color="auto"/>
      </w:divBdr>
    </w:div>
    <w:div w:id="416559621">
      <w:bodyDiv w:val="1"/>
      <w:marLeft w:val="0"/>
      <w:marRight w:val="0"/>
      <w:marTop w:val="0"/>
      <w:marBottom w:val="0"/>
      <w:divBdr>
        <w:top w:val="none" w:sz="0" w:space="0" w:color="auto"/>
        <w:left w:val="none" w:sz="0" w:space="0" w:color="auto"/>
        <w:bottom w:val="none" w:sz="0" w:space="0" w:color="auto"/>
        <w:right w:val="none" w:sz="0" w:space="0" w:color="auto"/>
      </w:divBdr>
    </w:div>
    <w:div w:id="428624114">
      <w:bodyDiv w:val="1"/>
      <w:marLeft w:val="0"/>
      <w:marRight w:val="0"/>
      <w:marTop w:val="0"/>
      <w:marBottom w:val="0"/>
      <w:divBdr>
        <w:top w:val="none" w:sz="0" w:space="0" w:color="auto"/>
        <w:left w:val="none" w:sz="0" w:space="0" w:color="auto"/>
        <w:bottom w:val="none" w:sz="0" w:space="0" w:color="auto"/>
        <w:right w:val="none" w:sz="0" w:space="0" w:color="auto"/>
      </w:divBdr>
    </w:div>
    <w:div w:id="433867486">
      <w:bodyDiv w:val="1"/>
      <w:marLeft w:val="0"/>
      <w:marRight w:val="0"/>
      <w:marTop w:val="0"/>
      <w:marBottom w:val="0"/>
      <w:divBdr>
        <w:top w:val="none" w:sz="0" w:space="0" w:color="auto"/>
        <w:left w:val="none" w:sz="0" w:space="0" w:color="auto"/>
        <w:bottom w:val="none" w:sz="0" w:space="0" w:color="auto"/>
        <w:right w:val="none" w:sz="0" w:space="0" w:color="auto"/>
      </w:divBdr>
    </w:div>
    <w:div w:id="446852612">
      <w:bodyDiv w:val="1"/>
      <w:marLeft w:val="0"/>
      <w:marRight w:val="0"/>
      <w:marTop w:val="0"/>
      <w:marBottom w:val="0"/>
      <w:divBdr>
        <w:top w:val="none" w:sz="0" w:space="0" w:color="auto"/>
        <w:left w:val="none" w:sz="0" w:space="0" w:color="auto"/>
        <w:bottom w:val="none" w:sz="0" w:space="0" w:color="auto"/>
        <w:right w:val="none" w:sz="0" w:space="0" w:color="auto"/>
      </w:divBdr>
    </w:div>
    <w:div w:id="453986667">
      <w:bodyDiv w:val="1"/>
      <w:marLeft w:val="0"/>
      <w:marRight w:val="0"/>
      <w:marTop w:val="0"/>
      <w:marBottom w:val="0"/>
      <w:divBdr>
        <w:top w:val="none" w:sz="0" w:space="0" w:color="auto"/>
        <w:left w:val="none" w:sz="0" w:space="0" w:color="auto"/>
        <w:bottom w:val="none" w:sz="0" w:space="0" w:color="auto"/>
        <w:right w:val="none" w:sz="0" w:space="0" w:color="auto"/>
      </w:divBdr>
    </w:div>
    <w:div w:id="458912680">
      <w:bodyDiv w:val="1"/>
      <w:marLeft w:val="0"/>
      <w:marRight w:val="0"/>
      <w:marTop w:val="0"/>
      <w:marBottom w:val="0"/>
      <w:divBdr>
        <w:top w:val="none" w:sz="0" w:space="0" w:color="auto"/>
        <w:left w:val="none" w:sz="0" w:space="0" w:color="auto"/>
        <w:bottom w:val="none" w:sz="0" w:space="0" w:color="auto"/>
        <w:right w:val="none" w:sz="0" w:space="0" w:color="auto"/>
      </w:divBdr>
    </w:div>
    <w:div w:id="464546145">
      <w:bodyDiv w:val="1"/>
      <w:marLeft w:val="0"/>
      <w:marRight w:val="0"/>
      <w:marTop w:val="0"/>
      <w:marBottom w:val="0"/>
      <w:divBdr>
        <w:top w:val="none" w:sz="0" w:space="0" w:color="auto"/>
        <w:left w:val="none" w:sz="0" w:space="0" w:color="auto"/>
        <w:bottom w:val="none" w:sz="0" w:space="0" w:color="auto"/>
        <w:right w:val="none" w:sz="0" w:space="0" w:color="auto"/>
      </w:divBdr>
    </w:div>
    <w:div w:id="467168327">
      <w:bodyDiv w:val="1"/>
      <w:marLeft w:val="0"/>
      <w:marRight w:val="0"/>
      <w:marTop w:val="0"/>
      <w:marBottom w:val="0"/>
      <w:divBdr>
        <w:top w:val="none" w:sz="0" w:space="0" w:color="auto"/>
        <w:left w:val="none" w:sz="0" w:space="0" w:color="auto"/>
        <w:bottom w:val="none" w:sz="0" w:space="0" w:color="auto"/>
        <w:right w:val="none" w:sz="0" w:space="0" w:color="auto"/>
      </w:divBdr>
    </w:div>
    <w:div w:id="467210119">
      <w:bodyDiv w:val="1"/>
      <w:marLeft w:val="0"/>
      <w:marRight w:val="0"/>
      <w:marTop w:val="0"/>
      <w:marBottom w:val="0"/>
      <w:divBdr>
        <w:top w:val="none" w:sz="0" w:space="0" w:color="auto"/>
        <w:left w:val="none" w:sz="0" w:space="0" w:color="auto"/>
        <w:bottom w:val="none" w:sz="0" w:space="0" w:color="auto"/>
        <w:right w:val="none" w:sz="0" w:space="0" w:color="auto"/>
      </w:divBdr>
    </w:div>
    <w:div w:id="468203685">
      <w:bodyDiv w:val="1"/>
      <w:marLeft w:val="0"/>
      <w:marRight w:val="0"/>
      <w:marTop w:val="0"/>
      <w:marBottom w:val="0"/>
      <w:divBdr>
        <w:top w:val="none" w:sz="0" w:space="0" w:color="auto"/>
        <w:left w:val="none" w:sz="0" w:space="0" w:color="auto"/>
        <w:bottom w:val="none" w:sz="0" w:space="0" w:color="auto"/>
        <w:right w:val="none" w:sz="0" w:space="0" w:color="auto"/>
      </w:divBdr>
    </w:div>
    <w:div w:id="472328848">
      <w:bodyDiv w:val="1"/>
      <w:marLeft w:val="0"/>
      <w:marRight w:val="0"/>
      <w:marTop w:val="0"/>
      <w:marBottom w:val="0"/>
      <w:divBdr>
        <w:top w:val="none" w:sz="0" w:space="0" w:color="auto"/>
        <w:left w:val="none" w:sz="0" w:space="0" w:color="auto"/>
        <w:bottom w:val="none" w:sz="0" w:space="0" w:color="auto"/>
        <w:right w:val="none" w:sz="0" w:space="0" w:color="auto"/>
      </w:divBdr>
    </w:div>
    <w:div w:id="474495239">
      <w:bodyDiv w:val="1"/>
      <w:marLeft w:val="0"/>
      <w:marRight w:val="0"/>
      <w:marTop w:val="0"/>
      <w:marBottom w:val="0"/>
      <w:divBdr>
        <w:top w:val="none" w:sz="0" w:space="0" w:color="auto"/>
        <w:left w:val="none" w:sz="0" w:space="0" w:color="auto"/>
        <w:bottom w:val="none" w:sz="0" w:space="0" w:color="auto"/>
        <w:right w:val="none" w:sz="0" w:space="0" w:color="auto"/>
      </w:divBdr>
    </w:div>
    <w:div w:id="488792049">
      <w:bodyDiv w:val="1"/>
      <w:marLeft w:val="0"/>
      <w:marRight w:val="0"/>
      <w:marTop w:val="0"/>
      <w:marBottom w:val="0"/>
      <w:divBdr>
        <w:top w:val="none" w:sz="0" w:space="0" w:color="auto"/>
        <w:left w:val="none" w:sz="0" w:space="0" w:color="auto"/>
        <w:bottom w:val="none" w:sz="0" w:space="0" w:color="auto"/>
        <w:right w:val="none" w:sz="0" w:space="0" w:color="auto"/>
      </w:divBdr>
    </w:div>
    <w:div w:id="492793593">
      <w:bodyDiv w:val="1"/>
      <w:marLeft w:val="0"/>
      <w:marRight w:val="0"/>
      <w:marTop w:val="0"/>
      <w:marBottom w:val="0"/>
      <w:divBdr>
        <w:top w:val="none" w:sz="0" w:space="0" w:color="auto"/>
        <w:left w:val="none" w:sz="0" w:space="0" w:color="auto"/>
        <w:bottom w:val="none" w:sz="0" w:space="0" w:color="auto"/>
        <w:right w:val="none" w:sz="0" w:space="0" w:color="auto"/>
      </w:divBdr>
    </w:div>
    <w:div w:id="496842962">
      <w:bodyDiv w:val="1"/>
      <w:marLeft w:val="0"/>
      <w:marRight w:val="0"/>
      <w:marTop w:val="0"/>
      <w:marBottom w:val="0"/>
      <w:divBdr>
        <w:top w:val="none" w:sz="0" w:space="0" w:color="auto"/>
        <w:left w:val="none" w:sz="0" w:space="0" w:color="auto"/>
        <w:bottom w:val="none" w:sz="0" w:space="0" w:color="auto"/>
        <w:right w:val="none" w:sz="0" w:space="0" w:color="auto"/>
      </w:divBdr>
    </w:div>
    <w:div w:id="497233490">
      <w:bodyDiv w:val="1"/>
      <w:marLeft w:val="0"/>
      <w:marRight w:val="0"/>
      <w:marTop w:val="0"/>
      <w:marBottom w:val="0"/>
      <w:divBdr>
        <w:top w:val="none" w:sz="0" w:space="0" w:color="auto"/>
        <w:left w:val="none" w:sz="0" w:space="0" w:color="auto"/>
        <w:bottom w:val="none" w:sz="0" w:space="0" w:color="auto"/>
        <w:right w:val="none" w:sz="0" w:space="0" w:color="auto"/>
      </w:divBdr>
    </w:div>
    <w:div w:id="499545993">
      <w:bodyDiv w:val="1"/>
      <w:marLeft w:val="0"/>
      <w:marRight w:val="0"/>
      <w:marTop w:val="0"/>
      <w:marBottom w:val="0"/>
      <w:divBdr>
        <w:top w:val="none" w:sz="0" w:space="0" w:color="auto"/>
        <w:left w:val="none" w:sz="0" w:space="0" w:color="auto"/>
        <w:bottom w:val="none" w:sz="0" w:space="0" w:color="auto"/>
        <w:right w:val="none" w:sz="0" w:space="0" w:color="auto"/>
      </w:divBdr>
    </w:div>
    <w:div w:id="501161211">
      <w:bodyDiv w:val="1"/>
      <w:marLeft w:val="0"/>
      <w:marRight w:val="0"/>
      <w:marTop w:val="0"/>
      <w:marBottom w:val="0"/>
      <w:divBdr>
        <w:top w:val="none" w:sz="0" w:space="0" w:color="auto"/>
        <w:left w:val="none" w:sz="0" w:space="0" w:color="auto"/>
        <w:bottom w:val="none" w:sz="0" w:space="0" w:color="auto"/>
        <w:right w:val="none" w:sz="0" w:space="0" w:color="auto"/>
      </w:divBdr>
    </w:div>
    <w:div w:id="513110233">
      <w:bodyDiv w:val="1"/>
      <w:marLeft w:val="0"/>
      <w:marRight w:val="0"/>
      <w:marTop w:val="0"/>
      <w:marBottom w:val="0"/>
      <w:divBdr>
        <w:top w:val="none" w:sz="0" w:space="0" w:color="auto"/>
        <w:left w:val="none" w:sz="0" w:space="0" w:color="auto"/>
        <w:bottom w:val="none" w:sz="0" w:space="0" w:color="auto"/>
        <w:right w:val="none" w:sz="0" w:space="0" w:color="auto"/>
      </w:divBdr>
    </w:div>
    <w:div w:id="529998382">
      <w:bodyDiv w:val="1"/>
      <w:marLeft w:val="0"/>
      <w:marRight w:val="0"/>
      <w:marTop w:val="0"/>
      <w:marBottom w:val="0"/>
      <w:divBdr>
        <w:top w:val="none" w:sz="0" w:space="0" w:color="auto"/>
        <w:left w:val="none" w:sz="0" w:space="0" w:color="auto"/>
        <w:bottom w:val="none" w:sz="0" w:space="0" w:color="auto"/>
        <w:right w:val="none" w:sz="0" w:space="0" w:color="auto"/>
      </w:divBdr>
    </w:div>
    <w:div w:id="537932545">
      <w:bodyDiv w:val="1"/>
      <w:marLeft w:val="0"/>
      <w:marRight w:val="0"/>
      <w:marTop w:val="0"/>
      <w:marBottom w:val="0"/>
      <w:divBdr>
        <w:top w:val="none" w:sz="0" w:space="0" w:color="auto"/>
        <w:left w:val="none" w:sz="0" w:space="0" w:color="auto"/>
        <w:bottom w:val="none" w:sz="0" w:space="0" w:color="auto"/>
        <w:right w:val="none" w:sz="0" w:space="0" w:color="auto"/>
      </w:divBdr>
    </w:div>
    <w:div w:id="546334624">
      <w:bodyDiv w:val="1"/>
      <w:marLeft w:val="0"/>
      <w:marRight w:val="0"/>
      <w:marTop w:val="0"/>
      <w:marBottom w:val="0"/>
      <w:divBdr>
        <w:top w:val="none" w:sz="0" w:space="0" w:color="auto"/>
        <w:left w:val="none" w:sz="0" w:space="0" w:color="auto"/>
        <w:bottom w:val="none" w:sz="0" w:space="0" w:color="auto"/>
        <w:right w:val="none" w:sz="0" w:space="0" w:color="auto"/>
      </w:divBdr>
    </w:div>
    <w:div w:id="582568195">
      <w:bodyDiv w:val="1"/>
      <w:marLeft w:val="0"/>
      <w:marRight w:val="0"/>
      <w:marTop w:val="0"/>
      <w:marBottom w:val="0"/>
      <w:divBdr>
        <w:top w:val="none" w:sz="0" w:space="0" w:color="auto"/>
        <w:left w:val="none" w:sz="0" w:space="0" w:color="auto"/>
        <w:bottom w:val="none" w:sz="0" w:space="0" w:color="auto"/>
        <w:right w:val="none" w:sz="0" w:space="0" w:color="auto"/>
      </w:divBdr>
    </w:div>
    <w:div w:id="592662384">
      <w:bodyDiv w:val="1"/>
      <w:marLeft w:val="0"/>
      <w:marRight w:val="0"/>
      <w:marTop w:val="0"/>
      <w:marBottom w:val="0"/>
      <w:divBdr>
        <w:top w:val="none" w:sz="0" w:space="0" w:color="auto"/>
        <w:left w:val="none" w:sz="0" w:space="0" w:color="auto"/>
        <w:bottom w:val="none" w:sz="0" w:space="0" w:color="auto"/>
        <w:right w:val="none" w:sz="0" w:space="0" w:color="auto"/>
      </w:divBdr>
    </w:div>
    <w:div w:id="600794832">
      <w:bodyDiv w:val="1"/>
      <w:marLeft w:val="0"/>
      <w:marRight w:val="0"/>
      <w:marTop w:val="0"/>
      <w:marBottom w:val="0"/>
      <w:divBdr>
        <w:top w:val="none" w:sz="0" w:space="0" w:color="auto"/>
        <w:left w:val="none" w:sz="0" w:space="0" w:color="auto"/>
        <w:bottom w:val="none" w:sz="0" w:space="0" w:color="auto"/>
        <w:right w:val="none" w:sz="0" w:space="0" w:color="auto"/>
      </w:divBdr>
    </w:div>
    <w:div w:id="607002300">
      <w:bodyDiv w:val="1"/>
      <w:marLeft w:val="0"/>
      <w:marRight w:val="0"/>
      <w:marTop w:val="0"/>
      <w:marBottom w:val="0"/>
      <w:divBdr>
        <w:top w:val="none" w:sz="0" w:space="0" w:color="auto"/>
        <w:left w:val="none" w:sz="0" w:space="0" w:color="auto"/>
        <w:bottom w:val="none" w:sz="0" w:space="0" w:color="auto"/>
        <w:right w:val="none" w:sz="0" w:space="0" w:color="auto"/>
      </w:divBdr>
    </w:div>
    <w:div w:id="619841030">
      <w:bodyDiv w:val="1"/>
      <w:marLeft w:val="0"/>
      <w:marRight w:val="0"/>
      <w:marTop w:val="0"/>
      <w:marBottom w:val="0"/>
      <w:divBdr>
        <w:top w:val="none" w:sz="0" w:space="0" w:color="auto"/>
        <w:left w:val="none" w:sz="0" w:space="0" w:color="auto"/>
        <w:bottom w:val="none" w:sz="0" w:space="0" w:color="auto"/>
        <w:right w:val="none" w:sz="0" w:space="0" w:color="auto"/>
      </w:divBdr>
    </w:div>
    <w:div w:id="625963186">
      <w:bodyDiv w:val="1"/>
      <w:marLeft w:val="0"/>
      <w:marRight w:val="0"/>
      <w:marTop w:val="0"/>
      <w:marBottom w:val="0"/>
      <w:divBdr>
        <w:top w:val="none" w:sz="0" w:space="0" w:color="auto"/>
        <w:left w:val="none" w:sz="0" w:space="0" w:color="auto"/>
        <w:bottom w:val="none" w:sz="0" w:space="0" w:color="auto"/>
        <w:right w:val="none" w:sz="0" w:space="0" w:color="auto"/>
      </w:divBdr>
    </w:div>
    <w:div w:id="635523168">
      <w:bodyDiv w:val="1"/>
      <w:marLeft w:val="0"/>
      <w:marRight w:val="0"/>
      <w:marTop w:val="0"/>
      <w:marBottom w:val="0"/>
      <w:divBdr>
        <w:top w:val="none" w:sz="0" w:space="0" w:color="auto"/>
        <w:left w:val="none" w:sz="0" w:space="0" w:color="auto"/>
        <w:bottom w:val="none" w:sz="0" w:space="0" w:color="auto"/>
        <w:right w:val="none" w:sz="0" w:space="0" w:color="auto"/>
      </w:divBdr>
    </w:div>
    <w:div w:id="637222727">
      <w:bodyDiv w:val="1"/>
      <w:marLeft w:val="0"/>
      <w:marRight w:val="0"/>
      <w:marTop w:val="0"/>
      <w:marBottom w:val="0"/>
      <w:divBdr>
        <w:top w:val="none" w:sz="0" w:space="0" w:color="auto"/>
        <w:left w:val="none" w:sz="0" w:space="0" w:color="auto"/>
        <w:bottom w:val="none" w:sz="0" w:space="0" w:color="auto"/>
        <w:right w:val="none" w:sz="0" w:space="0" w:color="auto"/>
      </w:divBdr>
    </w:div>
    <w:div w:id="637957369">
      <w:bodyDiv w:val="1"/>
      <w:marLeft w:val="0"/>
      <w:marRight w:val="0"/>
      <w:marTop w:val="0"/>
      <w:marBottom w:val="0"/>
      <w:divBdr>
        <w:top w:val="none" w:sz="0" w:space="0" w:color="auto"/>
        <w:left w:val="none" w:sz="0" w:space="0" w:color="auto"/>
        <w:bottom w:val="none" w:sz="0" w:space="0" w:color="auto"/>
        <w:right w:val="none" w:sz="0" w:space="0" w:color="auto"/>
      </w:divBdr>
    </w:div>
    <w:div w:id="638614908">
      <w:bodyDiv w:val="1"/>
      <w:marLeft w:val="0"/>
      <w:marRight w:val="0"/>
      <w:marTop w:val="0"/>
      <w:marBottom w:val="0"/>
      <w:divBdr>
        <w:top w:val="none" w:sz="0" w:space="0" w:color="auto"/>
        <w:left w:val="none" w:sz="0" w:space="0" w:color="auto"/>
        <w:bottom w:val="none" w:sz="0" w:space="0" w:color="auto"/>
        <w:right w:val="none" w:sz="0" w:space="0" w:color="auto"/>
      </w:divBdr>
    </w:div>
    <w:div w:id="641540412">
      <w:bodyDiv w:val="1"/>
      <w:marLeft w:val="0"/>
      <w:marRight w:val="0"/>
      <w:marTop w:val="0"/>
      <w:marBottom w:val="0"/>
      <w:divBdr>
        <w:top w:val="none" w:sz="0" w:space="0" w:color="auto"/>
        <w:left w:val="none" w:sz="0" w:space="0" w:color="auto"/>
        <w:bottom w:val="none" w:sz="0" w:space="0" w:color="auto"/>
        <w:right w:val="none" w:sz="0" w:space="0" w:color="auto"/>
      </w:divBdr>
    </w:div>
    <w:div w:id="644242964">
      <w:bodyDiv w:val="1"/>
      <w:marLeft w:val="0"/>
      <w:marRight w:val="0"/>
      <w:marTop w:val="0"/>
      <w:marBottom w:val="0"/>
      <w:divBdr>
        <w:top w:val="none" w:sz="0" w:space="0" w:color="auto"/>
        <w:left w:val="none" w:sz="0" w:space="0" w:color="auto"/>
        <w:bottom w:val="none" w:sz="0" w:space="0" w:color="auto"/>
        <w:right w:val="none" w:sz="0" w:space="0" w:color="auto"/>
      </w:divBdr>
    </w:div>
    <w:div w:id="646781268">
      <w:bodyDiv w:val="1"/>
      <w:marLeft w:val="0"/>
      <w:marRight w:val="0"/>
      <w:marTop w:val="0"/>
      <w:marBottom w:val="0"/>
      <w:divBdr>
        <w:top w:val="none" w:sz="0" w:space="0" w:color="auto"/>
        <w:left w:val="none" w:sz="0" w:space="0" w:color="auto"/>
        <w:bottom w:val="none" w:sz="0" w:space="0" w:color="auto"/>
        <w:right w:val="none" w:sz="0" w:space="0" w:color="auto"/>
      </w:divBdr>
    </w:div>
    <w:div w:id="650793091">
      <w:bodyDiv w:val="1"/>
      <w:marLeft w:val="0"/>
      <w:marRight w:val="0"/>
      <w:marTop w:val="0"/>
      <w:marBottom w:val="0"/>
      <w:divBdr>
        <w:top w:val="none" w:sz="0" w:space="0" w:color="auto"/>
        <w:left w:val="none" w:sz="0" w:space="0" w:color="auto"/>
        <w:bottom w:val="none" w:sz="0" w:space="0" w:color="auto"/>
        <w:right w:val="none" w:sz="0" w:space="0" w:color="auto"/>
      </w:divBdr>
    </w:div>
    <w:div w:id="655767694">
      <w:bodyDiv w:val="1"/>
      <w:marLeft w:val="0"/>
      <w:marRight w:val="0"/>
      <w:marTop w:val="0"/>
      <w:marBottom w:val="0"/>
      <w:divBdr>
        <w:top w:val="none" w:sz="0" w:space="0" w:color="auto"/>
        <w:left w:val="none" w:sz="0" w:space="0" w:color="auto"/>
        <w:bottom w:val="none" w:sz="0" w:space="0" w:color="auto"/>
        <w:right w:val="none" w:sz="0" w:space="0" w:color="auto"/>
      </w:divBdr>
    </w:div>
    <w:div w:id="658077871">
      <w:bodyDiv w:val="1"/>
      <w:marLeft w:val="0"/>
      <w:marRight w:val="0"/>
      <w:marTop w:val="0"/>
      <w:marBottom w:val="0"/>
      <w:divBdr>
        <w:top w:val="none" w:sz="0" w:space="0" w:color="auto"/>
        <w:left w:val="none" w:sz="0" w:space="0" w:color="auto"/>
        <w:bottom w:val="none" w:sz="0" w:space="0" w:color="auto"/>
        <w:right w:val="none" w:sz="0" w:space="0" w:color="auto"/>
      </w:divBdr>
    </w:div>
    <w:div w:id="673066579">
      <w:bodyDiv w:val="1"/>
      <w:marLeft w:val="0"/>
      <w:marRight w:val="0"/>
      <w:marTop w:val="0"/>
      <w:marBottom w:val="0"/>
      <w:divBdr>
        <w:top w:val="none" w:sz="0" w:space="0" w:color="auto"/>
        <w:left w:val="none" w:sz="0" w:space="0" w:color="auto"/>
        <w:bottom w:val="none" w:sz="0" w:space="0" w:color="auto"/>
        <w:right w:val="none" w:sz="0" w:space="0" w:color="auto"/>
      </w:divBdr>
    </w:div>
    <w:div w:id="682710923">
      <w:bodyDiv w:val="1"/>
      <w:marLeft w:val="0"/>
      <w:marRight w:val="0"/>
      <w:marTop w:val="0"/>
      <w:marBottom w:val="0"/>
      <w:divBdr>
        <w:top w:val="none" w:sz="0" w:space="0" w:color="auto"/>
        <w:left w:val="none" w:sz="0" w:space="0" w:color="auto"/>
        <w:bottom w:val="none" w:sz="0" w:space="0" w:color="auto"/>
        <w:right w:val="none" w:sz="0" w:space="0" w:color="auto"/>
      </w:divBdr>
    </w:div>
    <w:div w:id="685983336">
      <w:bodyDiv w:val="1"/>
      <w:marLeft w:val="0"/>
      <w:marRight w:val="0"/>
      <w:marTop w:val="0"/>
      <w:marBottom w:val="0"/>
      <w:divBdr>
        <w:top w:val="none" w:sz="0" w:space="0" w:color="auto"/>
        <w:left w:val="none" w:sz="0" w:space="0" w:color="auto"/>
        <w:bottom w:val="none" w:sz="0" w:space="0" w:color="auto"/>
        <w:right w:val="none" w:sz="0" w:space="0" w:color="auto"/>
      </w:divBdr>
    </w:div>
    <w:div w:id="686714205">
      <w:bodyDiv w:val="1"/>
      <w:marLeft w:val="0"/>
      <w:marRight w:val="0"/>
      <w:marTop w:val="0"/>
      <w:marBottom w:val="0"/>
      <w:divBdr>
        <w:top w:val="none" w:sz="0" w:space="0" w:color="auto"/>
        <w:left w:val="none" w:sz="0" w:space="0" w:color="auto"/>
        <w:bottom w:val="none" w:sz="0" w:space="0" w:color="auto"/>
        <w:right w:val="none" w:sz="0" w:space="0" w:color="auto"/>
      </w:divBdr>
    </w:div>
    <w:div w:id="686832812">
      <w:bodyDiv w:val="1"/>
      <w:marLeft w:val="0"/>
      <w:marRight w:val="0"/>
      <w:marTop w:val="0"/>
      <w:marBottom w:val="0"/>
      <w:divBdr>
        <w:top w:val="none" w:sz="0" w:space="0" w:color="auto"/>
        <w:left w:val="none" w:sz="0" w:space="0" w:color="auto"/>
        <w:bottom w:val="none" w:sz="0" w:space="0" w:color="auto"/>
        <w:right w:val="none" w:sz="0" w:space="0" w:color="auto"/>
      </w:divBdr>
    </w:div>
    <w:div w:id="689452675">
      <w:bodyDiv w:val="1"/>
      <w:marLeft w:val="0"/>
      <w:marRight w:val="0"/>
      <w:marTop w:val="0"/>
      <w:marBottom w:val="0"/>
      <w:divBdr>
        <w:top w:val="none" w:sz="0" w:space="0" w:color="auto"/>
        <w:left w:val="none" w:sz="0" w:space="0" w:color="auto"/>
        <w:bottom w:val="none" w:sz="0" w:space="0" w:color="auto"/>
        <w:right w:val="none" w:sz="0" w:space="0" w:color="auto"/>
      </w:divBdr>
    </w:div>
    <w:div w:id="694580982">
      <w:bodyDiv w:val="1"/>
      <w:marLeft w:val="0"/>
      <w:marRight w:val="0"/>
      <w:marTop w:val="0"/>
      <w:marBottom w:val="0"/>
      <w:divBdr>
        <w:top w:val="none" w:sz="0" w:space="0" w:color="auto"/>
        <w:left w:val="none" w:sz="0" w:space="0" w:color="auto"/>
        <w:bottom w:val="none" w:sz="0" w:space="0" w:color="auto"/>
        <w:right w:val="none" w:sz="0" w:space="0" w:color="auto"/>
      </w:divBdr>
    </w:div>
    <w:div w:id="705567218">
      <w:bodyDiv w:val="1"/>
      <w:marLeft w:val="0"/>
      <w:marRight w:val="0"/>
      <w:marTop w:val="0"/>
      <w:marBottom w:val="0"/>
      <w:divBdr>
        <w:top w:val="none" w:sz="0" w:space="0" w:color="auto"/>
        <w:left w:val="none" w:sz="0" w:space="0" w:color="auto"/>
        <w:bottom w:val="none" w:sz="0" w:space="0" w:color="auto"/>
        <w:right w:val="none" w:sz="0" w:space="0" w:color="auto"/>
      </w:divBdr>
    </w:div>
    <w:div w:id="705956465">
      <w:bodyDiv w:val="1"/>
      <w:marLeft w:val="0"/>
      <w:marRight w:val="0"/>
      <w:marTop w:val="0"/>
      <w:marBottom w:val="0"/>
      <w:divBdr>
        <w:top w:val="none" w:sz="0" w:space="0" w:color="auto"/>
        <w:left w:val="none" w:sz="0" w:space="0" w:color="auto"/>
        <w:bottom w:val="none" w:sz="0" w:space="0" w:color="auto"/>
        <w:right w:val="none" w:sz="0" w:space="0" w:color="auto"/>
      </w:divBdr>
    </w:div>
    <w:div w:id="715932569">
      <w:bodyDiv w:val="1"/>
      <w:marLeft w:val="0"/>
      <w:marRight w:val="0"/>
      <w:marTop w:val="0"/>
      <w:marBottom w:val="0"/>
      <w:divBdr>
        <w:top w:val="none" w:sz="0" w:space="0" w:color="auto"/>
        <w:left w:val="none" w:sz="0" w:space="0" w:color="auto"/>
        <w:bottom w:val="none" w:sz="0" w:space="0" w:color="auto"/>
        <w:right w:val="none" w:sz="0" w:space="0" w:color="auto"/>
      </w:divBdr>
    </w:div>
    <w:div w:id="719130355">
      <w:bodyDiv w:val="1"/>
      <w:marLeft w:val="0"/>
      <w:marRight w:val="0"/>
      <w:marTop w:val="0"/>
      <w:marBottom w:val="0"/>
      <w:divBdr>
        <w:top w:val="none" w:sz="0" w:space="0" w:color="auto"/>
        <w:left w:val="none" w:sz="0" w:space="0" w:color="auto"/>
        <w:bottom w:val="none" w:sz="0" w:space="0" w:color="auto"/>
        <w:right w:val="none" w:sz="0" w:space="0" w:color="auto"/>
      </w:divBdr>
    </w:div>
    <w:div w:id="722870336">
      <w:bodyDiv w:val="1"/>
      <w:marLeft w:val="0"/>
      <w:marRight w:val="0"/>
      <w:marTop w:val="0"/>
      <w:marBottom w:val="0"/>
      <w:divBdr>
        <w:top w:val="none" w:sz="0" w:space="0" w:color="auto"/>
        <w:left w:val="none" w:sz="0" w:space="0" w:color="auto"/>
        <w:bottom w:val="none" w:sz="0" w:space="0" w:color="auto"/>
        <w:right w:val="none" w:sz="0" w:space="0" w:color="auto"/>
      </w:divBdr>
    </w:div>
    <w:div w:id="731276422">
      <w:bodyDiv w:val="1"/>
      <w:marLeft w:val="0"/>
      <w:marRight w:val="0"/>
      <w:marTop w:val="0"/>
      <w:marBottom w:val="0"/>
      <w:divBdr>
        <w:top w:val="none" w:sz="0" w:space="0" w:color="auto"/>
        <w:left w:val="none" w:sz="0" w:space="0" w:color="auto"/>
        <w:bottom w:val="none" w:sz="0" w:space="0" w:color="auto"/>
        <w:right w:val="none" w:sz="0" w:space="0" w:color="auto"/>
      </w:divBdr>
    </w:div>
    <w:div w:id="741414260">
      <w:bodyDiv w:val="1"/>
      <w:marLeft w:val="0"/>
      <w:marRight w:val="0"/>
      <w:marTop w:val="0"/>
      <w:marBottom w:val="0"/>
      <w:divBdr>
        <w:top w:val="none" w:sz="0" w:space="0" w:color="auto"/>
        <w:left w:val="none" w:sz="0" w:space="0" w:color="auto"/>
        <w:bottom w:val="none" w:sz="0" w:space="0" w:color="auto"/>
        <w:right w:val="none" w:sz="0" w:space="0" w:color="auto"/>
      </w:divBdr>
    </w:div>
    <w:div w:id="742262352">
      <w:bodyDiv w:val="1"/>
      <w:marLeft w:val="0"/>
      <w:marRight w:val="0"/>
      <w:marTop w:val="0"/>
      <w:marBottom w:val="0"/>
      <w:divBdr>
        <w:top w:val="none" w:sz="0" w:space="0" w:color="auto"/>
        <w:left w:val="none" w:sz="0" w:space="0" w:color="auto"/>
        <w:bottom w:val="none" w:sz="0" w:space="0" w:color="auto"/>
        <w:right w:val="none" w:sz="0" w:space="0" w:color="auto"/>
      </w:divBdr>
    </w:div>
    <w:div w:id="748962121">
      <w:bodyDiv w:val="1"/>
      <w:marLeft w:val="0"/>
      <w:marRight w:val="0"/>
      <w:marTop w:val="0"/>
      <w:marBottom w:val="0"/>
      <w:divBdr>
        <w:top w:val="none" w:sz="0" w:space="0" w:color="auto"/>
        <w:left w:val="none" w:sz="0" w:space="0" w:color="auto"/>
        <w:bottom w:val="none" w:sz="0" w:space="0" w:color="auto"/>
        <w:right w:val="none" w:sz="0" w:space="0" w:color="auto"/>
      </w:divBdr>
    </w:div>
    <w:div w:id="755979906">
      <w:bodyDiv w:val="1"/>
      <w:marLeft w:val="0"/>
      <w:marRight w:val="0"/>
      <w:marTop w:val="0"/>
      <w:marBottom w:val="0"/>
      <w:divBdr>
        <w:top w:val="none" w:sz="0" w:space="0" w:color="auto"/>
        <w:left w:val="none" w:sz="0" w:space="0" w:color="auto"/>
        <w:bottom w:val="none" w:sz="0" w:space="0" w:color="auto"/>
        <w:right w:val="none" w:sz="0" w:space="0" w:color="auto"/>
      </w:divBdr>
    </w:div>
    <w:div w:id="763763532">
      <w:bodyDiv w:val="1"/>
      <w:marLeft w:val="0"/>
      <w:marRight w:val="0"/>
      <w:marTop w:val="0"/>
      <w:marBottom w:val="0"/>
      <w:divBdr>
        <w:top w:val="none" w:sz="0" w:space="0" w:color="auto"/>
        <w:left w:val="none" w:sz="0" w:space="0" w:color="auto"/>
        <w:bottom w:val="none" w:sz="0" w:space="0" w:color="auto"/>
        <w:right w:val="none" w:sz="0" w:space="0" w:color="auto"/>
      </w:divBdr>
    </w:div>
    <w:div w:id="764038125">
      <w:bodyDiv w:val="1"/>
      <w:marLeft w:val="0"/>
      <w:marRight w:val="0"/>
      <w:marTop w:val="0"/>
      <w:marBottom w:val="0"/>
      <w:divBdr>
        <w:top w:val="none" w:sz="0" w:space="0" w:color="auto"/>
        <w:left w:val="none" w:sz="0" w:space="0" w:color="auto"/>
        <w:bottom w:val="none" w:sz="0" w:space="0" w:color="auto"/>
        <w:right w:val="none" w:sz="0" w:space="0" w:color="auto"/>
      </w:divBdr>
    </w:div>
    <w:div w:id="764617626">
      <w:bodyDiv w:val="1"/>
      <w:marLeft w:val="0"/>
      <w:marRight w:val="0"/>
      <w:marTop w:val="0"/>
      <w:marBottom w:val="0"/>
      <w:divBdr>
        <w:top w:val="none" w:sz="0" w:space="0" w:color="auto"/>
        <w:left w:val="none" w:sz="0" w:space="0" w:color="auto"/>
        <w:bottom w:val="none" w:sz="0" w:space="0" w:color="auto"/>
        <w:right w:val="none" w:sz="0" w:space="0" w:color="auto"/>
      </w:divBdr>
    </w:div>
    <w:div w:id="771626284">
      <w:bodyDiv w:val="1"/>
      <w:marLeft w:val="0"/>
      <w:marRight w:val="0"/>
      <w:marTop w:val="0"/>
      <w:marBottom w:val="0"/>
      <w:divBdr>
        <w:top w:val="none" w:sz="0" w:space="0" w:color="auto"/>
        <w:left w:val="none" w:sz="0" w:space="0" w:color="auto"/>
        <w:bottom w:val="none" w:sz="0" w:space="0" w:color="auto"/>
        <w:right w:val="none" w:sz="0" w:space="0" w:color="auto"/>
      </w:divBdr>
    </w:div>
    <w:div w:id="774134149">
      <w:bodyDiv w:val="1"/>
      <w:marLeft w:val="0"/>
      <w:marRight w:val="0"/>
      <w:marTop w:val="0"/>
      <w:marBottom w:val="0"/>
      <w:divBdr>
        <w:top w:val="none" w:sz="0" w:space="0" w:color="auto"/>
        <w:left w:val="none" w:sz="0" w:space="0" w:color="auto"/>
        <w:bottom w:val="none" w:sz="0" w:space="0" w:color="auto"/>
        <w:right w:val="none" w:sz="0" w:space="0" w:color="auto"/>
      </w:divBdr>
    </w:div>
    <w:div w:id="781339575">
      <w:bodyDiv w:val="1"/>
      <w:marLeft w:val="0"/>
      <w:marRight w:val="0"/>
      <w:marTop w:val="0"/>
      <w:marBottom w:val="0"/>
      <w:divBdr>
        <w:top w:val="none" w:sz="0" w:space="0" w:color="auto"/>
        <w:left w:val="none" w:sz="0" w:space="0" w:color="auto"/>
        <w:bottom w:val="none" w:sz="0" w:space="0" w:color="auto"/>
        <w:right w:val="none" w:sz="0" w:space="0" w:color="auto"/>
      </w:divBdr>
    </w:div>
    <w:div w:id="789591985">
      <w:bodyDiv w:val="1"/>
      <w:marLeft w:val="0"/>
      <w:marRight w:val="0"/>
      <w:marTop w:val="0"/>
      <w:marBottom w:val="0"/>
      <w:divBdr>
        <w:top w:val="none" w:sz="0" w:space="0" w:color="auto"/>
        <w:left w:val="none" w:sz="0" w:space="0" w:color="auto"/>
        <w:bottom w:val="none" w:sz="0" w:space="0" w:color="auto"/>
        <w:right w:val="none" w:sz="0" w:space="0" w:color="auto"/>
      </w:divBdr>
    </w:div>
    <w:div w:id="789980707">
      <w:bodyDiv w:val="1"/>
      <w:marLeft w:val="0"/>
      <w:marRight w:val="0"/>
      <w:marTop w:val="0"/>
      <w:marBottom w:val="0"/>
      <w:divBdr>
        <w:top w:val="none" w:sz="0" w:space="0" w:color="auto"/>
        <w:left w:val="none" w:sz="0" w:space="0" w:color="auto"/>
        <w:bottom w:val="none" w:sz="0" w:space="0" w:color="auto"/>
        <w:right w:val="none" w:sz="0" w:space="0" w:color="auto"/>
      </w:divBdr>
    </w:div>
    <w:div w:id="790052434">
      <w:bodyDiv w:val="1"/>
      <w:marLeft w:val="0"/>
      <w:marRight w:val="0"/>
      <w:marTop w:val="0"/>
      <w:marBottom w:val="0"/>
      <w:divBdr>
        <w:top w:val="none" w:sz="0" w:space="0" w:color="auto"/>
        <w:left w:val="none" w:sz="0" w:space="0" w:color="auto"/>
        <w:bottom w:val="none" w:sz="0" w:space="0" w:color="auto"/>
        <w:right w:val="none" w:sz="0" w:space="0" w:color="auto"/>
      </w:divBdr>
    </w:div>
    <w:div w:id="792360728">
      <w:bodyDiv w:val="1"/>
      <w:marLeft w:val="0"/>
      <w:marRight w:val="0"/>
      <w:marTop w:val="0"/>
      <w:marBottom w:val="0"/>
      <w:divBdr>
        <w:top w:val="none" w:sz="0" w:space="0" w:color="auto"/>
        <w:left w:val="none" w:sz="0" w:space="0" w:color="auto"/>
        <w:bottom w:val="none" w:sz="0" w:space="0" w:color="auto"/>
        <w:right w:val="none" w:sz="0" w:space="0" w:color="auto"/>
      </w:divBdr>
    </w:div>
    <w:div w:id="796071347">
      <w:bodyDiv w:val="1"/>
      <w:marLeft w:val="0"/>
      <w:marRight w:val="0"/>
      <w:marTop w:val="0"/>
      <w:marBottom w:val="0"/>
      <w:divBdr>
        <w:top w:val="none" w:sz="0" w:space="0" w:color="auto"/>
        <w:left w:val="none" w:sz="0" w:space="0" w:color="auto"/>
        <w:bottom w:val="none" w:sz="0" w:space="0" w:color="auto"/>
        <w:right w:val="none" w:sz="0" w:space="0" w:color="auto"/>
      </w:divBdr>
    </w:div>
    <w:div w:id="813136881">
      <w:bodyDiv w:val="1"/>
      <w:marLeft w:val="0"/>
      <w:marRight w:val="0"/>
      <w:marTop w:val="0"/>
      <w:marBottom w:val="0"/>
      <w:divBdr>
        <w:top w:val="none" w:sz="0" w:space="0" w:color="auto"/>
        <w:left w:val="none" w:sz="0" w:space="0" w:color="auto"/>
        <w:bottom w:val="none" w:sz="0" w:space="0" w:color="auto"/>
        <w:right w:val="none" w:sz="0" w:space="0" w:color="auto"/>
      </w:divBdr>
    </w:div>
    <w:div w:id="821896885">
      <w:bodyDiv w:val="1"/>
      <w:marLeft w:val="0"/>
      <w:marRight w:val="0"/>
      <w:marTop w:val="0"/>
      <w:marBottom w:val="0"/>
      <w:divBdr>
        <w:top w:val="none" w:sz="0" w:space="0" w:color="auto"/>
        <w:left w:val="none" w:sz="0" w:space="0" w:color="auto"/>
        <w:bottom w:val="none" w:sz="0" w:space="0" w:color="auto"/>
        <w:right w:val="none" w:sz="0" w:space="0" w:color="auto"/>
      </w:divBdr>
    </w:div>
    <w:div w:id="823352122">
      <w:bodyDiv w:val="1"/>
      <w:marLeft w:val="0"/>
      <w:marRight w:val="0"/>
      <w:marTop w:val="0"/>
      <w:marBottom w:val="0"/>
      <w:divBdr>
        <w:top w:val="none" w:sz="0" w:space="0" w:color="auto"/>
        <w:left w:val="none" w:sz="0" w:space="0" w:color="auto"/>
        <w:bottom w:val="none" w:sz="0" w:space="0" w:color="auto"/>
        <w:right w:val="none" w:sz="0" w:space="0" w:color="auto"/>
      </w:divBdr>
    </w:div>
    <w:div w:id="829441576">
      <w:bodyDiv w:val="1"/>
      <w:marLeft w:val="0"/>
      <w:marRight w:val="0"/>
      <w:marTop w:val="0"/>
      <w:marBottom w:val="0"/>
      <w:divBdr>
        <w:top w:val="none" w:sz="0" w:space="0" w:color="auto"/>
        <w:left w:val="none" w:sz="0" w:space="0" w:color="auto"/>
        <w:bottom w:val="none" w:sz="0" w:space="0" w:color="auto"/>
        <w:right w:val="none" w:sz="0" w:space="0" w:color="auto"/>
      </w:divBdr>
    </w:div>
    <w:div w:id="855071976">
      <w:bodyDiv w:val="1"/>
      <w:marLeft w:val="0"/>
      <w:marRight w:val="0"/>
      <w:marTop w:val="0"/>
      <w:marBottom w:val="0"/>
      <w:divBdr>
        <w:top w:val="none" w:sz="0" w:space="0" w:color="auto"/>
        <w:left w:val="none" w:sz="0" w:space="0" w:color="auto"/>
        <w:bottom w:val="none" w:sz="0" w:space="0" w:color="auto"/>
        <w:right w:val="none" w:sz="0" w:space="0" w:color="auto"/>
      </w:divBdr>
    </w:div>
    <w:div w:id="858469665">
      <w:bodyDiv w:val="1"/>
      <w:marLeft w:val="0"/>
      <w:marRight w:val="0"/>
      <w:marTop w:val="0"/>
      <w:marBottom w:val="0"/>
      <w:divBdr>
        <w:top w:val="none" w:sz="0" w:space="0" w:color="auto"/>
        <w:left w:val="none" w:sz="0" w:space="0" w:color="auto"/>
        <w:bottom w:val="none" w:sz="0" w:space="0" w:color="auto"/>
        <w:right w:val="none" w:sz="0" w:space="0" w:color="auto"/>
      </w:divBdr>
    </w:div>
    <w:div w:id="869219965">
      <w:bodyDiv w:val="1"/>
      <w:marLeft w:val="0"/>
      <w:marRight w:val="0"/>
      <w:marTop w:val="0"/>
      <w:marBottom w:val="0"/>
      <w:divBdr>
        <w:top w:val="none" w:sz="0" w:space="0" w:color="auto"/>
        <w:left w:val="none" w:sz="0" w:space="0" w:color="auto"/>
        <w:bottom w:val="none" w:sz="0" w:space="0" w:color="auto"/>
        <w:right w:val="none" w:sz="0" w:space="0" w:color="auto"/>
      </w:divBdr>
    </w:div>
    <w:div w:id="869419959">
      <w:bodyDiv w:val="1"/>
      <w:marLeft w:val="0"/>
      <w:marRight w:val="0"/>
      <w:marTop w:val="0"/>
      <w:marBottom w:val="0"/>
      <w:divBdr>
        <w:top w:val="none" w:sz="0" w:space="0" w:color="auto"/>
        <w:left w:val="none" w:sz="0" w:space="0" w:color="auto"/>
        <w:bottom w:val="none" w:sz="0" w:space="0" w:color="auto"/>
        <w:right w:val="none" w:sz="0" w:space="0" w:color="auto"/>
      </w:divBdr>
    </w:div>
    <w:div w:id="875896440">
      <w:bodyDiv w:val="1"/>
      <w:marLeft w:val="0"/>
      <w:marRight w:val="0"/>
      <w:marTop w:val="0"/>
      <w:marBottom w:val="0"/>
      <w:divBdr>
        <w:top w:val="none" w:sz="0" w:space="0" w:color="auto"/>
        <w:left w:val="none" w:sz="0" w:space="0" w:color="auto"/>
        <w:bottom w:val="none" w:sz="0" w:space="0" w:color="auto"/>
        <w:right w:val="none" w:sz="0" w:space="0" w:color="auto"/>
      </w:divBdr>
    </w:div>
    <w:div w:id="887693225">
      <w:bodyDiv w:val="1"/>
      <w:marLeft w:val="0"/>
      <w:marRight w:val="0"/>
      <w:marTop w:val="0"/>
      <w:marBottom w:val="0"/>
      <w:divBdr>
        <w:top w:val="none" w:sz="0" w:space="0" w:color="auto"/>
        <w:left w:val="none" w:sz="0" w:space="0" w:color="auto"/>
        <w:bottom w:val="none" w:sz="0" w:space="0" w:color="auto"/>
        <w:right w:val="none" w:sz="0" w:space="0" w:color="auto"/>
      </w:divBdr>
    </w:div>
    <w:div w:id="899486677">
      <w:bodyDiv w:val="1"/>
      <w:marLeft w:val="0"/>
      <w:marRight w:val="0"/>
      <w:marTop w:val="0"/>
      <w:marBottom w:val="0"/>
      <w:divBdr>
        <w:top w:val="none" w:sz="0" w:space="0" w:color="auto"/>
        <w:left w:val="none" w:sz="0" w:space="0" w:color="auto"/>
        <w:bottom w:val="none" w:sz="0" w:space="0" w:color="auto"/>
        <w:right w:val="none" w:sz="0" w:space="0" w:color="auto"/>
      </w:divBdr>
    </w:div>
    <w:div w:id="908880229">
      <w:bodyDiv w:val="1"/>
      <w:marLeft w:val="0"/>
      <w:marRight w:val="0"/>
      <w:marTop w:val="0"/>
      <w:marBottom w:val="0"/>
      <w:divBdr>
        <w:top w:val="none" w:sz="0" w:space="0" w:color="auto"/>
        <w:left w:val="none" w:sz="0" w:space="0" w:color="auto"/>
        <w:bottom w:val="none" w:sz="0" w:space="0" w:color="auto"/>
        <w:right w:val="none" w:sz="0" w:space="0" w:color="auto"/>
      </w:divBdr>
    </w:div>
    <w:div w:id="909342404">
      <w:bodyDiv w:val="1"/>
      <w:marLeft w:val="0"/>
      <w:marRight w:val="0"/>
      <w:marTop w:val="0"/>
      <w:marBottom w:val="0"/>
      <w:divBdr>
        <w:top w:val="none" w:sz="0" w:space="0" w:color="auto"/>
        <w:left w:val="none" w:sz="0" w:space="0" w:color="auto"/>
        <w:bottom w:val="none" w:sz="0" w:space="0" w:color="auto"/>
        <w:right w:val="none" w:sz="0" w:space="0" w:color="auto"/>
      </w:divBdr>
    </w:div>
    <w:div w:id="909462252">
      <w:bodyDiv w:val="1"/>
      <w:marLeft w:val="0"/>
      <w:marRight w:val="0"/>
      <w:marTop w:val="0"/>
      <w:marBottom w:val="0"/>
      <w:divBdr>
        <w:top w:val="none" w:sz="0" w:space="0" w:color="auto"/>
        <w:left w:val="none" w:sz="0" w:space="0" w:color="auto"/>
        <w:bottom w:val="none" w:sz="0" w:space="0" w:color="auto"/>
        <w:right w:val="none" w:sz="0" w:space="0" w:color="auto"/>
      </w:divBdr>
    </w:div>
    <w:div w:id="915670797">
      <w:bodyDiv w:val="1"/>
      <w:marLeft w:val="0"/>
      <w:marRight w:val="0"/>
      <w:marTop w:val="0"/>
      <w:marBottom w:val="0"/>
      <w:divBdr>
        <w:top w:val="none" w:sz="0" w:space="0" w:color="auto"/>
        <w:left w:val="none" w:sz="0" w:space="0" w:color="auto"/>
        <w:bottom w:val="none" w:sz="0" w:space="0" w:color="auto"/>
        <w:right w:val="none" w:sz="0" w:space="0" w:color="auto"/>
      </w:divBdr>
    </w:div>
    <w:div w:id="927931130">
      <w:bodyDiv w:val="1"/>
      <w:marLeft w:val="0"/>
      <w:marRight w:val="0"/>
      <w:marTop w:val="0"/>
      <w:marBottom w:val="0"/>
      <w:divBdr>
        <w:top w:val="none" w:sz="0" w:space="0" w:color="auto"/>
        <w:left w:val="none" w:sz="0" w:space="0" w:color="auto"/>
        <w:bottom w:val="none" w:sz="0" w:space="0" w:color="auto"/>
        <w:right w:val="none" w:sz="0" w:space="0" w:color="auto"/>
      </w:divBdr>
    </w:div>
    <w:div w:id="932054201">
      <w:bodyDiv w:val="1"/>
      <w:marLeft w:val="0"/>
      <w:marRight w:val="0"/>
      <w:marTop w:val="0"/>
      <w:marBottom w:val="0"/>
      <w:divBdr>
        <w:top w:val="none" w:sz="0" w:space="0" w:color="auto"/>
        <w:left w:val="none" w:sz="0" w:space="0" w:color="auto"/>
        <w:bottom w:val="none" w:sz="0" w:space="0" w:color="auto"/>
        <w:right w:val="none" w:sz="0" w:space="0" w:color="auto"/>
      </w:divBdr>
    </w:div>
    <w:div w:id="940263806">
      <w:bodyDiv w:val="1"/>
      <w:marLeft w:val="0"/>
      <w:marRight w:val="0"/>
      <w:marTop w:val="0"/>
      <w:marBottom w:val="0"/>
      <w:divBdr>
        <w:top w:val="none" w:sz="0" w:space="0" w:color="auto"/>
        <w:left w:val="none" w:sz="0" w:space="0" w:color="auto"/>
        <w:bottom w:val="none" w:sz="0" w:space="0" w:color="auto"/>
        <w:right w:val="none" w:sz="0" w:space="0" w:color="auto"/>
      </w:divBdr>
    </w:div>
    <w:div w:id="946081747">
      <w:bodyDiv w:val="1"/>
      <w:marLeft w:val="0"/>
      <w:marRight w:val="0"/>
      <w:marTop w:val="0"/>
      <w:marBottom w:val="0"/>
      <w:divBdr>
        <w:top w:val="none" w:sz="0" w:space="0" w:color="auto"/>
        <w:left w:val="none" w:sz="0" w:space="0" w:color="auto"/>
        <w:bottom w:val="none" w:sz="0" w:space="0" w:color="auto"/>
        <w:right w:val="none" w:sz="0" w:space="0" w:color="auto"/>
      </w:divBdr>
    </w:div>
    <w:div w:id="954361838">
      <w:bodyDiv w:val="1"/>
      <w:marLeft w:val="0"/>
      <w:marRight w:val="0"/>
      <w:marTop w:val="0"/>
      <w:marBottom w:val="0"/>
      <w:divBdr>
        <w:top w:val="none" w:sz="0" w:space="0" w:color="auto"/>
        <w:left w:val="none" w:sz="0" w:space="0" w:color="auto"/>
        <w:bottom w:val="none" w:sz="0" w:space="0" w:color="auto"/>
        <w:right w:val="none" w:sz="0" w:space="0" w:color="auto"/>
      </w:divBdr>
    </w:div>
    <w:div w:id="962467621">
      <w:bodyDiv w:val="1"/>
      <w:marLeft w:val="0"/>
      <w:marRight w:val="0"/>
      <w:marTop w:val="0"/>
      <w:marBottom w:val="0"/>
      <w:divBdr>
        <w:top w:val="none" w:sz="0" w:space="0" w:color="auto"/>
        <w:left w:val="none" w:sz="0" w:space="0" w:color="auto"/>
        <w:bottom w:val="none" w:sz="0" w:space="0" w:color="auto"/>
        <w:right w:val="none" w:sz="0" w:space="0" w:color="auto"/>
      </w:divBdr>
    </w:div>
    <w:div w:id="979000970">
      <w:bodyDiv w:val="1"/>
      <w:marLeft w:val="0"/>
      <w:marRight w:val="0"/>
      <w:marTop w:val="0"/>
      <w:marBottom w:val="0"/>
      <w:divBdr>
        <w:top w:val="none" w:sz="0" w:space="0" w:color="auto"/>
        <w:left w:val="none" w:sz="0" w:space="0" w:color="auto"/>
        <w:bottom w:val="none" w:sz="0" w:space="0" w:color="auto"/>
        <w:right w:val="none" w:sz="0" w:space="0" w:color="auto"/>
      </w:divBdr>
    </w:div>
    <w:div w:id="980697253">
      <w:bodyDiv w:val="1"/>
      <w:marLeft w:val="0"/>
      <w:marRight w:val="0"/>
      <w:marTop w:val="0"/>
      <w:marBottom w:val="0"/>
      <w:divBdr>
        <w:top w:val="none" w:sz="0" w:space="0" w:color="auto"/>
        <w:left w:val="none" w:sz="0" w:space="0" w:color="auto"/>
        <w:bottom w:val="none" w:sz="0" w:space="0" w:color="auto"/>
        <w:right w:val="none" w:sz="0" w:space="0" w:color="auto"/>
      </w:divBdr>
    </w:div>
    <w:div w:id="981426617">
      <w:bodyDiv w:val="1"/>
      <w:marLeft w:val="0"/>
      <w:marRight w:val="0"/>
      <w:marTop w:val="0"/>
      <w:marBottom w:val="0"/>
      <w:divBdr>
        <w:top w:val="none" w:sz="0" w:space="0" w:color="auto"/>
        <w:left w:val="none" w:sz="0" w:space="0" w:color="auto"/>
        <w:bottom w:val="none" w:sz="0" w:space="0" w:color="auto"/>
        <w:right w:val="none" w:sz="0" w:space="0" w:color="auto"/>
      </w:divBdr>
    </w:div>
    <w:div w:id="984889881">
      <w:bodyDiv w:val="1"/>
      <w:marLeft w:val="0"/>
      <w:marRight w:val="0"/>
      <w:marTop w:val="0"/>
      <w:marBottom w:val="0"/>
      <w:divBdr>
        <w:top w:val="none" w:sz="0" w:space="0" w:color="auto"/>
        <w:left w:val="none" w:sz="0" w:space="0" w:color="auto"/>
        <w:bottom w:val="none" w:sz="0" w:space="0" w:color="auto"/>
        <w:right w:val="none" w:sz="0" w:space="0" w:color="auto"/>
      </w:divBdr>
    </w:div>
    <w:div w:id="995500907">
      <w:bodyDiv w:val="1"/>
      <w:marLeft w:val="0"/>
      <w:marRight w:val="0"/>
      <w:marTop w:val="0"/>
      <w:marBottom w:val="0"/>
      <w:divBdr>
        <w:top w:val="none" w:sz="0" w:space="0" w:color="auto"/>
        <w:left w:val="none" w:sz="0" w:space="0" w:color="auto"/>
        <w:bottom w:val="none" w:sz="0" w:space="0" w:color="auto"/>
        <w:right w:val="none" w:sz="0" w:space="0" w:color="auto"/>
      </w:divBdr>
    </w:div>
    <w:div w:id="996572497">
      <w:bodyDiv w:val="1"/>
      <w:marLeft w:val="0"/>
      <w:marRight w:val="0"/>
      <w:marTop w:val="0"/>
      <w:marBottom w:val="0"/>
      <w:divBdr>
        <w:top w:val="none" w:sz="0" w:space="0" w:color="auto"/>
        <w:left w:val="none" w:sz="0" w:space="0" w:color="auto"/>
        <w:bottom w:val="none" w:sz="0" w:space="0" w:color="auto"/>
        <w:right w:val="none" w:sz="0" w:space="0" w:color="auto"/>
      </w:divBdr>
    </w:div>
    <w:div w:id="999234701">
      <w:bodyDiv w:val="1"/>
      <w:marLeft w:val="0"/>
      <w:marRight w:val="0"/>
      <w:marTop w:val="0"/>
      <w:marBottom w:val="0"/>
      <w:divBdr>
        <w:top w:val="none" w:sz="0" w:space="0" w:color="auto"/>
        <w:left w:val="none" w:sz="0" w:space="0" w:color="auto"/>
        <w:bottom w:val="none" w:sz="0" w:space="0" w:color="auto"/>
        <w:right w:val="none" w:sz="0" w:space="0" w:color="auto"/>
      </w:divBdr>
    </w:div>
    <w:div w:id="1000695073">
      <w:bodyDiv w:val="1"/>
      <w:marLeft w:val="0"/>
      <w:marRight w:val="0"/>
      <w:marTop w:val="0"/>
      <w:marBottom w:val="0"/>
      <w:divBdr>
        <w:top w:val="none" w:sz="0" w:space="0" w:color="auto"/>
        <w:left w:val="none" w:sz="0" w:space="0" w:color="auto"/>
        <w:bottom w:val="none" w:sz="0" w:space="0" w:color="auto"/>
        <w:right w:val="none" w:sz="0" w:space="0" w:color="auto"/>
      </w:divBdr>
    </w:div>
    <w:div w:id="1005285347">
      <w:bodyDiv w:val="1"/>
      <w:marLeft w:val="0"/>
      <w:marRight w:val="0"/>
      <w:marTop w:val="0"/>
      <w:marBottom w:val="0"/>
      <w:divBdr>
        <w:top w:val="none" w:sz="0" w:space="0" w:color="auto"/>
        <w:left w:val="none" w:sz="0" w:space="0" w:color="auto"/>
        <w:bottom w:val="none" w:sz="0" w:space="0" w:color="auto"/>
        <w:right w:val="none" w:sz="0" w:space="0" w:color="auto"/>
      </w:divBdr>
    </w:div>
    <w:div w:id="1009912588">
      <w:bodyDiv w:val="1"/>
      <w:marLeft w:val="0"/>
      <w:marRight w:val="0"/>
      <w:marTop w:val="0"/>
      <w:marBottom w:val="0"/>
      <w:divBdr>
        <w:top w:val="none" w:sz="0" w:space="0" w:color="auto"/>
        <w:left w:val="none" w:sz="0" w:space="0" w:color="auto"/>
        <w:bottom w:val="none" w:sz="0" w:space="0" w:color="auto"/>
        <w:right w:val="none" w:sz="0" w:space="0" w:color="auto"/>
      </w:divBdr>
    </w:div>
    <w:div w:id="1021857141">
      <w:bodyDiv w:val="1"/>
      <w:marLeft w:val="0"/>
      <w:marRight w:val="0"/>
      <w:marTop w:val="0"/>
      <w:marBottom w:val="0"/>
      <w:divBdr>
        <w:top w:val="none" w:sz="0" w:space="0" w:color="auto"/>
        <w:left w:val="none" w:sz="0" w:space="0" w:color="auto"/>
        <w:bottom w:val="none" w:sz="0" w:space="0" w:color="auto"/>
        <w:right w:val="none" w:sz="0" w:space="0" w:color="auto"/>
      </w:divBdr>
    </w:div>
    <w:div w:id="1033775234">
      <w:bodyDiv w:val="1"/>
      <w:marLeft w:val="0"/>
      <w:marRight w:val="0"/>
      <w:marTop w:val="0"/>
      <w:marBottom w:val="0"/>
      <w:divBdr>
        <w:top w:val="none" w:sz="0" w:space="0" w:color="auto"/>
        <w:left w:val="none" w:sz="0" w:space="0" w:color="auto"/>
        <w:bottom w:val="none" w:sz="0" w:space="0" w:color="auto"/>
        <w:right w:val="none" w:sz="0" w:space="0" w:color="auto"/>
      </w:divBdr>
    </w:div>
    <w:div w:id="1041444634">
      <w:bodyDiv w:val="1"/>
      <w:marLeft w:val="0"/>
      <w:marRight w:val="0"/>
      <w:marTop w:val="0"/>
      <w:marBottom w:val="0"/>
      <w:divBdr>
        <w:top w:val="none" w:sz="0" w:space="0" w:color="auto"/>
        <w:left w:val="none" w:sz="0" w:space="0" w:color="auto"/>
        <w:bottom w:val="none" w:sz="0" w:space="0" w:color="auto"/>
        <w:right w:val="none" w:sz="0" w:space="0" w:color="auto"/>
      </w:divBdr>
    </w:div>
    <w:div w:id="1042678062">
      <w:bodyDiv w:val="1"/>
      <w:marLeft w:val="0"/>
      <w:marRight w:val="0"/>
      <w:marTop w:val="0"/>
      <w:marBottom w:val="0"/>
      <w:divBdr>
        <w:top w:val="none" w:sz="0" w:space="0" w:color="auto"/>
        <w:left w:val="none" w:sz="0" w:space="0" w:color="auto"/>
        <w:bottom w:val="none" w:sz="0" w:space="0" w:color="auto"/>
        <w:right w:val="none" w:sz="0" w:space="0" w:color="auto"/>
      </w:divBdr>
    </w:div>
    <w:div w:id="1052845781">
      <w:bodyDiv w:val="1"/>
      <w:marLeft w:val="0"/>
      <w:marRight w:val="0"/>
      <w:marTop w:val="0"/>
      <w:marBottom w:val="0"/>
      <w:divBdr>
        <w:top w:val="none" w:sz="0" w:space="0" w:color="auto"/>
        <w:left w:val="none" w:sz="0" w:space="0" w:color="auto"/>
        <w:bottom w:val="none" w:sz="0" w:space="0" w:color="auto"/>
        <w:right w:val="none" w:sz="0" w:space="0" w:color="auto"/>
      </w:divBdr>
    </w:div>
    <w:div w:id="1054936174">
      <w:bodyDiv w:val="1"/>
      <w:marLeft w:val="0"/>
      <w:marRight w:val="0"/>
      <w:marTop w:val="0"/>
      <w:marBottom w:val="0"/>
      <w:divBdr>
        <w:top w:val="none" w:sz="0" w:space="0" w:color="auto"/>
        <w:left w:val="none" w:sz="0" w:space="0" w:color="auto"/>
        <w:bottom w:val="none" w:sz="0" w:space="0" w:color="auto"/>
        <w:right w:val="none" w:sz="0" w:space="0" w:color="auto"/>
      </w:divBdr>
    </w:div>
    <w:div w:id="1057362040">
      <w:bodyDiv w:val="1"/>
      <w:marLeft w:val="0"/>
      <w:marRight w:val="0"/>
      <w:marTop w:val="0"/>
      <w:marBottom w:val="0"/>
      <w:divBdr>
        <w:top w:val="none" w:sz="0" w:space="0" w:color="auto"/>
        <w:left w:val="none" w:sz="0" w:space="0" w:color="auto"/>
        <w:bottom w:val="none" w:sz="0" w:space="0" w:color="auto"/>
        <w:right w:val="none" w:sz="0" w:space="0" w:color="auto"/>
      </w:divBdr>
    </w:div>
    <w:div w:id="1057779901">
      <w:bodyDiv w:val="1"/>
      <w:marLeft w:val="0"/>
      <w:marRight w:val="0"/>
      <w:marTop w:val="0"/>
      <w:marBottom w:val="0"/>
      <w:divBdr>
        <w:top w:val="none" w:sz="0" w:space="0" w:color="auto"/>
        <w:left w:val="none" w:sz="0" w:space="0" w:color="auto"/>
        <w:bottom w:val="none" w:sz="0" w:space="0" w:color="auto"/>
        <w:right w:val="none" w:sz="0" w:space="0" w:color="auto"/>
      </w:divBdr>
    </w:div>
    <w:div w:id="1059128887">
      <w:bodyDiv w:val="1"/>
      <w:marLeft w:val="0"/>
      <w:marRight w:val="0"/>
      <w:marTop w:val="0"/>
      <w:marBottom w:val="0"/>
      <w:divBdr>
        <w:top w:val="none" w:sz="0" w:space="0" w:color="auto"/>
        <w:left w:val="none" w:sz="0" w:space="0" w:color="auto"/>
        <w:bottom w:val="none" w:sz="0" w:space="0" w:color="auto"/>
        <w:right w:val="none" w:sz="0" w:space="0" w:color="auto"/>
      </w:divBdr>
    </w:div>
    <w:div w:id="1068377367">
      <w:bodyDiv w:val="1"/>
      <w:marLeft w:val="0"/>
      <w:marRight w:val="0"/>
      <w:marTop w:val="0"/>
      <w:marBottom w:val="0"/>
      <w:divBdr>
        <w:top w:val="none" w:sz="0" w:space="0" w:color="auto"/>
        <w:left w:val="none" w:sz="0" w:space="0" w:color="auto"/>
        <w:bottom w:val="none" w:sz="0" w:space="0" w:color="auto"/>
        <w:right w:val="none" w:sz="0" w:space="0" w:color="auto"/>
      </w:divBdr>
    </w:div>
    <w:div w:id="1068840539">
      <w:bodyDiv w:val="1"/>
      <w:marLeft w:val="0"/>
      <w:marRight w:val="0"/>
      <w:marTop w:val="0"/>
      <w:marBottom w:val="0"/>
      <w:divBdr>
        <w:top w:val="none" w:sz="0" w:space="0" w:color="auto"/>
        <w:left w:val="none" w:sz="0" w:space="0" w:color="auto"/>
        <w:bottom w:val="none" w:sz="0" w:space="0" w:color="auto"/>
        <w:right w:val="none" w:sz="0" w:space="0" w:color="auto"/>
      </w:divBdr>
    </w:div>
    <w:div w:id="1078988737">
      <w:bodyDiv w:val="1"/>
      <w:marLeft w:val="0"/>
      <w:marRight w:val="0"/>
      <w:marTop w:val="0"/>
      <w:marBottom w:val="0"/>
      <w:divBdr>
        <w:top w:val="none" w:sz="0" w:space="0" w:color="auto"/>
        <w:left w:val="none" w:sz="0" w:space="0" w:color="auto"/>
        <w:bottom w:val="none" w:sz="0" w:space="0" w:color="auto"/>
        <w:right w:val="none" w:sz="0" w:space="0" w:color="auto"/>
      </w:divBdr>
    </w:div>
    <w:div w:id="1083144743">
      <w:bodyDiv w:val="1"/>
      <w:marLeft w:val="0"/>
      <w:marRight w:val="0"/>
      <w:marTop w:val="0"/>
      <w:marBottom w:val="0"/>
      <w:divBdr>
        <w:top w:val="none" w:sz="0" w:space="0" w:color="auto"/>
        <w:left w:val="none" w:sz="0" w:space="0" w:color="auto"/>
        <w:bottom w:val="none" w:sz="0" w:space="0" w:color="auto"/>
        <w:right w:val="none" w:sz="0" w:space="0" w:color="auto"/>
      </w:divBdr>
      <w:divsChild>
        <w:div w:id="1678730405">
          <w:marLeft w:val="0"/>
          <w:marRight w:val="0"/>
          <w:marTop w:val="0"/>
          <w:marBottom w:val="0"/>
          <w:divBdr>
            <w:top w:val="none" w:sz="0" w:space="0" w:color="auto"/>
            <w:left w:val="none" w:sz="0" w:space="0" w:color="auto"/>
            <w:bottom w:val="none" w:sz="0" w:space="0" w:color="auto"/>
            <w:right w:val="none" w:sz="0" w:space="0" w:color="auto"/>
          </w:divBdr>
          <w:divsChild>
            <w:div w:id="1456217950">
              <w:marLeft w:val="0"/>
              <w:marRight w:val="0"/>
              <w:marTop w:val="0"/>
              <w:marBottom w:val="0"/>
              <w:divBdr>
                <w:top w:val="none" w:sz="0" w:space="0" w:color="auto"/>
                <w:left w:val="none" w:sz="0" w:space="0" w:color="auto"/>
                <w:bottom w:val="none" w:sz="0" w:space="0" w:color="auto"/>
                <w:right w:val="none" w:sz="0" w:space="0" w:color="auto"/>
              </w:divBdr>
              <w:divsChild>
                <w:div w:id="5042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33312">
      <w:bodyDiv w:val="1"/>
      <w:marLeft w:val="0"/>
      <w:marRight w:val="0"/>
      <w:marTop w:val="0"/>
      <w:marBottom w:val="0"/>
      <w:divBdr>
        <w:top w:val="none" w:sz="0" w:space="0" w:color="auto"/>
        <w:left w:val="none" w:sz="0" w:space="0" w:color="auto"/>
        <w:bottom w:val="none" w:sz="0" w:space="0" w:color="auto"/>
        <w:right w:val="none" w:sz="0" w:space="0" w:color="auto"/>
      </w:divBdr>
    </w:div>
    <w:div w:id="1092316658">
      <w:bodyDiv w:val="1"/>
      <w:marLeft w:val="0"/>
      <w:marRight w:val="0"/>
      <w:marTop w:val="0"/>
      <w:marBottom w:val="0"/>
      <w:divBdr>
        <w:top w:val="none" w:sz="0" w:space="0" w:color="auto"/>
        <w:left w:val="none" w:sz="0" w:space="0" w:color="auto"/>
        <w:bottom w:val="none" w:sz="0" w:space="0" w:color="auto"/>
        <w:right w:val="none" w:sz="0" w:space="0" w:color="auto"/>
      </w:divBdr>
    </w:div>
    <w:div w:id="1092776295">
      <w:bodyDiv w:val="1"/>
      <w:marLeft w:val="0"/>
      <w:marRight w:val="0"/>
      <w:marTop w:val="0"/>
      <w:marBottom w:val="0"/>
      <w:divBdr>
        <w:top w:val="none" w:sz="0" w:space="0" w:color="auto"/>
        <w:left w:val="none" w:sz="0" w:space="0" w:color="auto"/>
        <w:bottom w:val="none" w:sz="0" w:space="0" w:color="auto"/>
        <w:right w:val="none" w:sz="0" w:space="0" w:color="auto"/>
      </w:divBdr>
    </w:div>
    <w:div w:id="1097402913">
      <w:bodyDiv w:val="1"/>
      <w:marLeft w:val="0"/>
      <w:marRight w:val="0"/>
      <w:marTop w:val="0"/>
      <w:marBottom w:val="0"/>
      <w:divBdr>
        <w:top w:val="none" w:sz="0" w:space="0" w:color="auto"/>
        <w:left w:val="none" w:sz="0" w:space="0" w:color="auto"/>
        <w:bottom w:val="none" w:sz="0" w:space="0" w:color="auto"/>
        <w:right w:val="none" w:sz="0" w:space="0" w:color="auto"/>
      </w:divBdr>
    </w:div>
    <w:div w:id="1100641073">
      <w:bodyDiv w:val="1"/>
      <w:marLeft w:val="0"/>
      <w:marRight w:val="0"/>
      <w:marTop w:val="0"/>
      <w:marBottom w:val="0"/>
      <w:divBdr>
        <w:top w:val="none" w:sz="0" w:space="0" w:color="auto"/>
        <w:left w:val="none" w:sz="0" w:space="0" w:color="auto"/>
        <w:bottom w:val="none" w:sz="0" w:space="0" w:color="auto"/>
        <w:right w:val="none" w:sz="0" w:space="0" w:color="auto"/>
      </w:divBdr>
    </w:div>
    <w:div w:id="1104959236">
      <w:bodyDiv w:val="1"/>
      <w:marLeft w:val="0"/>
      <w:marRight w:val="0"/>
      <w:marTop w:val="0"/>
      <w:marBottom w:val="0"/>
      <w:divBdr>
        <w:top w:val="none" w:sz="0" w:space="0" w:color="auto"/>
        <w:left w:val="none" w:sz="0" w:space="0" w:color="auto"/>
        <w:bottom w:val="none" w:sz="0" w:space="0" w:color="auto"/>
        <w:right w:val="none" w:sz="0" w:space="0" w:color="auto"/>
      </w:divBdr>
    </w:div>
    <w:div w:id="1107500935">
      <w:bodyDiv w:val="1"/>
      <w:marLeft w:val="0"/>
      <w:marRight w:val="0"/>
      <w:marTop w:val="0"/>
      <w:marBottom w:val="0"/>
      <w:divBdr>
        <w:top w:val="none" w:sz="0" w:space="0" w:color="auto"/>
        <w:left w:val="none" w:sz="0" w:space="0" w:color="auto"/>
        <w:bottom w:val="none" w:sz="0" w:space="0" w:color="auto"/>
        <w:right w:val="none" w:sz="0" w:space="0" w:color="auto"/>
      </w:divBdr>
    </w:div>
    <w:div w:id="1108891398">
      <w:bodyDiv w:val="1"/>
      <w:marLeft w:val="0"/>
      <w:marRight w:val="0"/>
      <w:marTop w:val="0"/>
      <w:marBottom w:val="0"/>
      <w:divBdr>
        <w:top w:val="none" w:sz="0" w:space="0" w:color="auto"/>
        <w:left w:val="none" w:sz="0" w:space="0" w:color="auto"/>
        <w:bottom w:val="none" w:sz="0" w:space="0" w:color="auto"/>
        <w:right w:val="none" w:sz="0" w:space="0" w:color="auto"/>
      </w:divBdr>
    </w:div>
    <w:div w:id="1116949849">
      <w:bodyDiv w:val="1"/>
      <w:marLeft w:val="0"/>
      <w:marRight w:val="0"/>
      <w:marTop w:val="0"/>
      <w:marBottom w:val="0"/>
      <w:divBdr>
        <w:top w:val="none" w:sz="0" w:space="0" w:color="auto"/>
        <w:left w:val="none" w:sz="0" w:space="0" w:color="auto"/>
        <w:bottom w:val="none" w:sz="0" w:space="0" w:color="auto"/>
        <w:right w:val="none" w:sz="0" w:space="0" w:color="auto"/>
      </w:divBdr>
    </w:div>
    <w:div w:id="1118334176">
      <w:bodyDiv w:val="1"/>
      <w:marLeft w:val="0"/>
      <w:marRight w:val="0"/>
      <w:marTop w:val="0"/>
      <w:marBottom w:val="0"/>
      <w:divBdr>
        <w:top w:val="none" w:sz="0" w:space="0" w:color="auto"/>
        <w:left w:val="none" w:sz="0" w:space="0" w:color="auto"/>
        <w:bottom w:val="none" w:sz="0" w:space="0" w:color="auto"/>
        <w:right w:val="none" w:sz="0" w:space="0" w:color="auto"/>
      </w:divBdr>
    </w:div>
    <w:div w:id="1131556430">
      <w:bodyDiv w:val="1"/>
      <w:marLeft w:val="0"/>
      <w:marRight w:val="0"/>
      <w:marTop w:val="0"/>
      <w:marBottom w:val="0"/>
      <w:divBdr>
        <w:top w:val="none" w:sz="0" w:space="0" w:color="auto"/>
        <w:left w:val="none" w:sz="0" w:space="0" w:color="auto"/>
        <w:bottom w:val="none" w:sz="0" w:space="0" w:color="auto"/>
        <w:right w:val="none" w:sz="0" w:space="0" w:color="auto"/>
      </w:divBdr>
    </w:div>
    <w:div w:id="1134643941">
      <w:bodyDiv w:val="1"/>
      <w:marLeft w:val="0"/>
      <w:marRight w:val="0"/>
      <w:marTop w:val="0"/>
      <w:marBottom w:val="0"/>
      <w:divBdr>
        <w:top w:val="none" w:sz="0" w:space="0" w:color="auto"/>
        <w:left w:val="none" w:sz="0" w:space="0" w:color="auto"/>
        <w:bottom w:val="none" w:sz="0" w:space="0" w:color="auto"/>
        <w:right w:val="none" w:sz="0" w:space="0" w:color="auto"/>
      </w:divBdr>
    </w:div>
    <w:div w:id="1135685314">
      <w:bodyDiv w:val="1"/>
      <w:marLeft w:val="0"/>
      <w:marRight w:val="0"/>
      <w:marTop w:val="0"/>
      <w:marBottom w:val="0"/>
      <w:divBdr>
        <w:top w:val="none" w:sz="0" w:space="0" w:color="auto"/>
        <w:left w:val="none" w:sz="0" w:space="0" w:color="auto"/>
        <w:bottom w:val="none" w:sz="0" w:space="0" w:color="auto"/>
        <w:right w:val="none" w:sz="0" w:space="0" w:color="auto"/>
      </w:divBdr>
    </w:div>
    <w:div w:id="1136293843">
      <w:bodyDiv w:val="1"/>
      <w:marLeft w:val="0"/>
      <w:marRight w:val="0"/>
      <w:marTop w:val="0"/>
      <w:marBottom w:val="0"/>
      <w:divBdr>
        <w:top w:val="none" w:sz="0" w:space="0" w:color="auto"/>
        <w:left w:val="none" w:sz="0" w:space="0" w:color="auto"/>
        <w:bottom w:val="none" w:sz="0" w:space="0" w:color="auto"/>
        <w:right w:val="none" w:sz="0" w:space="0" w:color="auto"/>
      </w:divBdr>
    </w:div>
    <w:div w:id="1138916166">
      <w:bodyDiv w:val="1"/>
      <w:marLeft w:val="0"/>
      <w:marRight w:val="0"/>
      <w:marTop w:val="0"/>
      <w:marBottom w:val="0"/>
      <w:divBdr>
        <w:top w:val="none" w:sz="0" w:space="0" w:color="auto"/>
        <w:left w:val="none" w:sz="0" w:space="0" w:color="auto"/>
        <w:bottom w:val="none" w:sz="0" w:space="0" w:color="auto"/>
        <w:right w:val="none" w:sz="0" w:space="0" w:color="auto"/>
      </w:divBdr>
    </w:div>
    <w:div w:id="1144347865">
      <w:bodyDiv w:val="1"/>
      <w:marLeft w:val="0"/>
      <w:marRight w:val="0"/>
      <w:marTop w:val="0"/>
      <w:marBottom w:val="0"/>
      <w:divBdr>
        <w:top w:val="none" w:sz="0" w:space="0" w:color="auto"/>
        <w:left w:val="none" w:sz="0" w:space="0" w:color="auto"/>
        <w:bottom w:val="none" w:sz="0" w:space="0" w:color="auto"/>
        <w:right w:val="none" w:sz="0" w:space="0" w:color="auto"/>
      </w:divBdr>
    </w:div>
    <w:div w:id="1155338494">
      <w:bodyDiv w:val="1"/>
      <w:marLeft w:val="0"/>
      <w:marRight w:val="0"/>
      <w:marTop w:val="0"/>
      <w:marBottom w:val="0"/>
      <w:divBdr>
        <w:top w:val="none" w:sz="0" w:space="0" w:color="auto"/>
        <w:left w:val="none" w:sz="0" w:space="0" w:color="auto"/>
        <w:bottom w:val="none" w:sz="0" w:space="0" w:color="auto"/>
        <w:right w:val="none" w:sz="0" w:space="0" w:color="auto"/>
      </w:divBdr>
    </w:div>
    <w:div w:id="1161121914">
      <w:bodyDiv w:val="1"/>
      <w:marLeft w:val="0"/>
      <w:marRight w:val="0"/>
      <w:marTop w:val="0"/>
      <w:marBottom w:val="0"/>
      <w:divBdr>
        <w:top w:val="none" w:sz="0" w:space="0" w:color="auto"/>
        <w:left w:val="none" w:sz="0" w:space="0" w:color="auto"/>
        <w:bottom w:val="none" w:sz="0" w:space="0" w:color="auto"/>
        <w:right w:val="none" w:sz="0" w:space="0" w:color="auto"/>
      </w:divBdr>
    </w:div>
    <w:div w:id="1164393049">
      <w:bodyDiv w:val="1"/>
      <w:marLeft w:val="0"/>
      <w:marRight w:val="0"/>
      <w:marTop w:val="0"/>
      <w:marBottom w:val="0"/>
      <w:divBdr>
        <w:top w:val="none" w:sz="0" w:space="0" w:color="auto"/>
        <w:left w:val="none" w:sz="0" w:space="0" w:color="auto"/>
        <w:bottom w:val="none" w:sz="0" w:space="0" w:color="auto"/>
        <w:right w:val="none" w:sz="0" w:space="0" w:color="auto"/>
      </w:divBdr>
    </w:div>
    <w:div w:id="1165126695">
      <w:bodyDiv w:val="1"/>
      <w:marLeft w:val="0"/>
      <w:marRight w:val="0"/>
      <w:marTop w:val="0"/>
      <w:marBottom w:val="0"/>
      <w:divBdr>
        <w:top w:val="none" w:sz="0" w:space="0" w:color="auto"/>
        <w:left w:val="none" w:sz="0" w:space="0" w:color="auto"/>
        <w:bottom w:val="none" w:sz="0" w:space="0" w:color="auto"/>
        <w:right w:val="none" w:sz="0" w:space="0" w:color="auto"/>
      </w:divBdr>
    </w:div>
    <w:div w:id="1171290300">
      <w:bodyDiv w:val="1"/>
      <w:marLeft w:val="0"/>
      <w:marRight w:val="0"/>
      <w:marTop w:val="0"/>
      <w:marBottom w:val="0"/>
      <w:divBdr>
        <w:top w:val="none" w:sz="0" w:space="0" w:color="auto"/>
        <w:left w:val="none" w:sz="0" w:space="0" w:color="auto"/>
        <w:bottom w:val="none" w:sz="0" w:space="0" w:color="auto"/>
        <w:right w:val="none" w:sz="0" w:space="0" w:color="auto"/>
      </w:divBdr>
    </w:div>
    <w:div w:id="1178887053">
      <w:bodyDiv w:val="1"/>
      <w:marLeft w:val="0"/>
      <w:marRight w:val="0"/>
      <w:marTop w:val="0"/>
      <w:marBottom w:val="0"/>
      <w:divBdr>
        <w:top w:val="none" w:sz="0" w:space="0" w:color="auto"/>
        <w:left w:val="none" w:sz="0" w:space="0" w:color="auto"/>
        <w:bottom w:val="none" w:sz="0" w:space="0" w:color="auto"/>
        <w:right w:val="none" w:sz="0" w:space="0" w:color="auto"/>
      </w:divBdr>
    </w:div>
    <w:div w:id="1181164576">
      <w:bodyDiv w:val="1"/>
      <w:marLeft w:val="0"/>
      <w:marRight w:val="0"/>
      <w:marTop w:val="0"/>
      <w:marBottom w:val="0"/>
      <w:divBdr>
        <w:top w:val="none" w:sz="0" w:space="0" w:color="auto"/>
        <w:left w:val="none" w:sz="0" w:space="0" w:color="auto"/>
        <w:bottom w:val="none" w:sz="0" w:space="0" w:color="auto"/>
        <w:right w:val="none" w:sz="0" w:space="0" w:color="auto"/>
      </w:divBdr>
    </w:div>
    <w:div w:id="1183517940">
      <w:bodyDiv w:val="1"/>
      <w:marLeft w:val="0"/>
      <w:marRight w:val="0"/>
      <w:marTop w:val="0"/>
      <w:marBottom w:val="0"/>
      <w:divBdr>
        <w:top w:val="none" w:sz="0" w:space="0" w:color="auto"/>
        <w:left w:val="none" w:sz="0" w:space="0" w:color="auto"/>
        <w:bottom w:val="none" w:sz="0" w:space="0" w:color="auto"/>
        <w:right w:val="none" w:sz="0" w:space="0" w:color="auto"/>
      </w:divBdr>
    </w:div>
    <w:div w:id="1187448010">
      <w:bodyDiv w:val="1"/>
      <w:marLeft w:val="0"/>
      <w:marRight w:val="0"/>
      <w:marTop w:val="0"/>
      <w:marBottom w:val="0"/>
      <w:divBdr>
        <w:top w:val="none" w:sz="0" w:space="0" w:color="auto"/>
        <w:left w:val="none" w:sz="0" w:space="0" w:color="auto"/>
        <w:bottom w:val="none" w:sz="0" w:space="0" w:color="auto"/>
        <w:right w:val="none" w:sz="0" w:space="0" w:color="auto"/>
      </w:divBdr>
    </w:div>
    <w:div w:id="1199049046">
      <w:bodyDiv w:val="1"/>
      <w:marLeft w:val="0"/>
      <w:marRight w:val="0"/>
      <w:marTop w:val="0"/>
      <w:marBottom w:val="0"/>
      <w:divBdr>
        <w:top w:val="none" w:sz="0" w:space="0" w:color="auto"/>
        <w:left w:val="none" w:sz="0" w:space="0" w:color="auto"/>
        <w:bottom w:val="none" w:sz="0" w:space="0" w:color="auto"/>
        <w:right w:val="none" w:sz="0" w:space="0" w:color="auto"/>
      </w:divBdr>
    </w:div>
    <w:div w:id="1202938440">
      <w:bodyDiv w:val="1"/>
      <w:marLeft w:val="0"/>
      <w:marRight w:val="0"/>
      <w:marTop w:val="0"/>
      <w:marBottom w:val="0"/>
      <w:divBdr>
        <w:top w:val="none" w:sz="0" w:space="0" w:color="auto"/>
        <w:left w:val="none" w:sz="0" w:space="0" w:color="auto"/>
        <w:bottom w:val="none" w:sz="0" w:space="0" w:color="auto"/>
        <w:right w:val="none" w:sz="0" w:space="0" w:color="auto"/>
      </w:divBdr>
    </w:div>
    <w:div w:id="1207253229">
      <w:bodyDiv w:val="1"/>
      <w:marLeft w:val="0"/>
      <w:marRight w:val="0"/>
      <w:marTop w:val="0"/>
      <w:marBottom w:val="0"/>
      <w:divBdr>
        <w:top w:val="none" w:sz="0" w:space="0" w:color="auto"/>
        <w:left w:val="none" w:sz="0" w:space="0" w:color="auto"/>
        <w:bottom w:val="none" w:sz="0" w:space="0" w:color="auto"/>
        <w:right w:val="none" w:sz="0" w:space="0" w:color="auto"/>
      </w:divBdr>
    </w:div>
    <w:div w:id="1208372959">
      <w:bodyDiv w:val="1"/>
      <w:marLeft w:val="0"/>
      <w:marRight w:val="0"/>
      <w:marTop w:val="0"/>
      <w:marBottom w:val="0"/>
      <w:divBdr>
        <w:top w:val="none" w:sz="0" w:space="0" w:color="auto"/>
        <w:left w:val="none" w:sz="0" w:space="0" w:color="auto"/>
        <w:bottom w:val="none" w:sz="0" w:space="0" w:color="auto"/>
        <w:right w:val="none" w:sz="0" w:space="0" w:color="auto"/>
      </w:divBdr>
    </w:div>
    <w:div w:id="1213343672">
      <w:bodyDiv w:val="1"/>
      <w:marLeft w:val="0"/>
      <w:marRight w:val="0"/>
      <w:marTop w:val="0"/>
      <w:marBottom w:val="0"/>
      <w:divBdr>
        <w:top w:val="none" w:sz="0" w:space="0" w:color="auto"/>
        <w:left w:val="none" w:sz="0" w:space="0" w:color="auto"/>
        <w:bottom w:val="none" w:sz="0" w:space="0" w:color="auto"/>
        <w:right w:val="none" w:sz="0" w:space="0" w:color="auto"/>
      </w:divBdr>
    </w:div>
    <w:div w:id="1215434759">
      <w:bodyDiv w:val="1"/>
      <w:marLeft w:val="0"/>
      <w:marRight w:val="0"/>
      <w:marTop w:val="0"/>
      <w:marBottom w:val="0"/>
      <w:divBdr>
        <w:top w:val="none" w:sz="0" w:space="0" w:color="auto"/>
        <w:left w:val="none" w:sz="0" w:space="0" w:color="auto"/>
        <w:bottom w:val="none" w:sz="0" w:space="0" w:color="auto"/>
        <w:right w:val="none" w:sz="0" w:space="0" w:color="auto"/>
      </w:divBdr>
    </w:div>
    <w:div w:id="1217349647">
      <w:bodyDiv w:val="1"/>
      <w:marLeft w:val="0"/>
      <w:marRight w:val="0"/>
      <w:marTop w:val="0"/>
      <w:marBottom w:val="0"/>
      <w:divBdr>
        <w:top w:val="none" w:sz="0" w:space="0" w:color="auto"/>
        <w:left w:val="none" w:sz="0" w:space="0" w:color="auto"/>
        <w:bottom w:val="none" w:sz="0" w:space="0" w:color="auto"/>
        <w:right w:val="none" w:sz="0" w:space="0" w:color="auto"/>
      </w:divBdr>
    </w:div>
    <w:div w:id="1224754223">
      <w:bodyDiv w:val="1"/>
      <w:marLeft w:val="0"/>
      <w:marRight w:val="0"/>
      <w:marTop w:val="0"/>
      <w:marBottom w:val="0"/>
      <w:divBdr>
        <w:top w:val="none" w:sz="0" w:space="0" w:color="auto"/>
        <w:left w:val="none" w:sz="0" w:space="0" w:color="auto"/>
        <w:bottom w:val="none" w:sz="0" w:space="0" w:color="auto"/>
        <w:right w:val="none" w:sz="0" w:space="0" w:color="auto"/>
      </w:divBdr>
    </w:div>
    <w:div w:id="1230270206">
      <w:bodyDiv w:val="1"/>
      <w:marLeft w:val="0"/>
      <w:marRight w:val="0"/>
      <w:marTop w:val="0"/>
      <w:marBottom w:val="0"/>
      <w:divBdr>
        <w:top w:val="none" w:sz="0" w:space="0" w:color="auto"/>
        <w:left w:val="none" w:sz="0" w:space="0" w:color="auto"/>
        <w:bottom w:val="none" w:sz="0" w:space="0" w:color="auto"/>
        <w:right w:val="none" w:sz="0" w:space="0" w:color="auto"/>
      </w:divBdr>
    </w:div>
    <w:div w:id="1234582790">
      <w:bodyDiv w:val="1"/>
      <w:marLeft w:val="0"/>
      <w:marRight w:val="0"/>
      <w:marTop w:val="0"/>
      <w:marBottom w:val="0"/>
      <w:divBdr>
        <w:top w:val="none" w:sz="0" w:space="0" w:color="auto"/>
        <w:left w:val="none" w:sz="0" w:space="0" w:color="auto"/>
        <w:bottom w:val="none" w:sz="0" w:space="0" w:color="auto"/>
        <w:right w:val="none" w:sz="0" w:space="0" w:color="auto"/>
      </w:divBdr>
    </w:div>
    <w:div w:id="1236087847">
      <w:bodyDiv w:val="1"/>
      <w:marLeft w:val="0"/>
      <w:marRight w:val="0"/>
      <w:marTop w:val="0"/>
      <w:marBottom w:val="0"/>
      <w:divBdr>
        <w:top w:val="none" w:sz="0" w:space="0" w:color="auto"/>
        <w:left w:val="none" w:sz="0" w:space="0" w:color="auto"/>
        <w:bottom w:val="none" w:sz="0" w:space="0" w:color="auto"/>
        <w:right w:val="none" w:sz="0" w:space="0" w:color="auto"/>
      </w:divBdr>
    </w:div>
    <w:div w:id="1246574236">
      <w:bodyDiv w:val="1"/>
      <w:marLeft w:val="0"/>
      <w:marRight w:val="0"/>
      <w:marTop w:val="0"/>
      <w:marBottom w:val="0"/>
      <w:divBdr>
        <w:top w:val="none" w:sz="0" w:space="0" w:color="auto"/>
        <w:left w:val="none" w:sz="0" w:space="0" w:color="auto"/>
        <w:bottom w:val="none" w:sz="0" w:space="0" w:color="auto"/>
        <w:right w:val="none" w:sz="0" w:space="0" w:color="auto"/>
      </w:divBdr>
    </w:div>
    <w:div w:id="1246646992">
      <w:bodyDiv w:val="1"/>
      <w:marLeft w:val="0"/>
      <w:marRight w:val="0"/>
      <w:marTop w:val="0"/>
      <w:marBottom w:val="0"/>
      <w:divBdr>
        <w:top w:val="none" w:sz="0" w:space="0" w:color="auto"/>
        <w:left w:val="none" w:sz="0" w:space="0" w:color="auto"/>
        <w:bottom w:val="none" w:sz="0" w:space="0" w:color="auto"/>
        <w:right w:val="none" w:sz="0" w:space="0" w:color="auto"/>
      </w:divBdr>
    </w:div>
    <w:div w:id="1248272524">
      <w:bodyDiv w:val="1"/>
      <w:marLeft w:val="0"/>
      <w:marRight w:val="0"/>
      <w:marTop w:val="0"/>
      <w:marBottom w:val="0"/>
      <w:divBdr>
        <w:top w:val="none" w:sz="0" w:space="0" w:color="auto"/>
        <w:left w:val="none" w:sz="0" w:space="0" w:color="auto"/>
        <w:bottom w:val="none" w:sz="0" w:space="0" w:color="auto"/>
        <w:right w:val="none" w:sz="0" w:space="0" w:color="auto"/>
      </w:divBdr>
    </w:div>
    <w:div w:id="1257594139">
      <w:bodyDiv w:val="1"/>
      <w:marLeft w:val="0"/>
      <w:marRight w:val="0"/>
      <w:marTop w:val="0"/>
      <w:marBottom w:val="0"/>
      <w:divBdr>
        <w:top w:val="none" w:sz="0" w:space="0" w:color="auto"/>
        <w:left w:val="none" w:sz="0" w:space="0" w:color="auto"/>
        <w:bottom w:val="none" w:sz="0" w:space="0" w:color="auto"/>
        <w:right w:val="none" w:sz="0" w:space="0" w:color="auto"/>
      </w:divBdr>
    </w:div>
    <w:div w:id="1266575716">
      <w:bodyDiv w:val="1"/>
      <w:marLeft w:val="0"/>
      <w:marRight w:val="0"/>
      <w:marTop w:val="0"/>
      <w:marBottom w:val="0"/>
      <w:divBdr>
        <w:top w:val="none" w:sz="0" w:space="0" w:color="auto"/>
        <w:left w:val="none" w:sz="0" w:space="0" w:color="auto"/>
        <w:bottom w:val="none" w:sz="0" w:space="0" w:color="auto"/>
        <w:right w:val="none" w:sz="0" w:space="0" w:color="auto"/>
      </w:divBdr>
    </w:div>
    <w:div w:id="1270626711">
      <w:bodyDiv w:val="1"/>
      <w:marLeft w:val="0"/>
      <w:marRight w:val="0"/>
      <w:marTop w:val="0"/>
      <w:marBottom w:val="0"/>
      <w:divBdr>
        <w:top w:val="none" w:sz="0" w:space="0" w:color="auto"/>
        <w:left w:val="none" w:sz="0" w:space="0" w:color="auto"/>
        <w:bottom w:val="none" w:sz="0" w:space="0" w:color="auto"/>
        <w:right w:val="none" w:sz="0" w:space="0" w:color="auto"/>
      </w:divBdr>
    </w:div>
    <w:div w:id="1277908078">
      <w:bodyDiv w:val="1"/>
      <w:marLeft w:val="0"/>
      <w:marRight w:val="0"/>
      <w:marTop w:val="0"/>
      <w:marBottom w:val="0"/>
      <w:divBdr>
        <w:top w:val="none" w:sz="0" w:space="0" w:color="auto"/>
        <w:left w:val="none" w:sz="0" w:space="0" w:color="auto"/>
        <w:bottom w:val="none" w:sz="0" w:space="0" w:color="auto"/>
        <w:right w:val="none" w:sz="0" w:space="0" w:color="auto"/>
      </w:divBdr>
    </w:div>
    <w:div w:id="1282571022">
      <w:bodyDiv w:val="1"/>
      <w:marLeft w:val="0"/>
      <w:marRight w:val="0"/>
      <w:marTop w:val="0"/>
      <w:marBottom w:val="0"/>
      <w:divBdr>
        <w:top w:val="none" w:sz="0" w:space="0" w:color="auto"/>
        <w:left w:val="none" w:sz="0" w:space="0" w:color="auto"/>
        <w:bottom w:val="none" w:sz="0" w:space="0" w:color="auto"/>
        <w:right w:val="none" w:sz="0" w:space="0" w:color="auto"/>
      </w:divBdr>
    </w:div>
    <w:div w:id="1284652835">
      <w:bodyDiv w:val="1"/>
      <w:marLeft w:val="0"/>
      <w:marRight w:val="0"/>
      <w:marTop w:val="0"/>
      <w:marBottom w:val="0"/>
      <w:divBdr>
        <w:top w:val="none" w:sz="0" w:space="0" w:color="auto"/>
        <w:left w:val="none" w:sz="0" w:space="0" w:color="auto"/>
        <w:bottom w:val="none" w:sz="0" w:space="0" w:color="auto"/>
        <w:right w:val="none" w:sz="0" w:space="0" w:color="auto"/>
      </w:divBdr>
    </w:div>
    <w:div w:id="1286616696">
      <w:bodyDiv w:val="1"/>
      <w:marLeft w:val="0"/>
      <w:marRight w:val="0"/>
      <w:marTop w:val="0"/>
      <w:marBottom w:val="0"/>
      <w:divBdr>
        <w:top w:val="none" w:sz="0" w:space="0" w:color="auto"/>
        <w:left w:val="none" w:sz="0" w:space="0" w:color="auto"/>
        <w:bottom w:val="none" w:sz="0" w:space="0" w:color="auto"/>
        <w:right w:val="none" w:sz="0" w:space="0" w:color="auto"/>
      </w:divBdr>
    </w:div>
    <w:div w:id="1291205593">
      <w:bodyDiv w:val="1"/>
      <w:marLeft w:val="0"/>
      <w:marRight w:val="0"/>
      <w:marTop w:val="0"/>
      <w:marBottom w:val="0"/>
      <w:divBdr>
        <w:top w:val="none" w:sz="0" w:space="0" w:color="auto"/>
        <w:left w:val="none" w:sz="0" w:space="0" w:color="auto"/>
        <w:bottom w:val="none" w:sz="0" w:space="0" w:color="auto"/>
        <w:right w:val="none" w:sz="0" w:space="0" w:color="auto"/>
      </w:divBdr>
    </w:div>
    <w:div w:id="1293170836">
      <w:bodyDiv w:val="1"/>
      <w:marLeft w:val="0"/>
      <w:marRight w:val="0"/>
      <w:marTop w:val="0"/>
      <w:marBottom w:val="0"/>
      <w:divBdr>
        <w:top w:val="none" w:sz="0" w:space="0" w:color="auto"/>
        <w:left w:val="none" w:sz="0" w:space="0" w:color="auto"/>
        <w:bottom w:val="none" w:sz="0" w:space="0" w:color="auto"/>
        <w:right w:val="none" w:sz="0" w:space="0" w:color="auto"/>
      </w:divBdr>
    </w:div>
    <w:div w:id="1297879305">
      <w:bodyDiv w:val="1"/>
      <w:marLeft w:val="0"/>
      <w:marRight w:val="0"/>
      <w:marTop w:val="0"/>
      <w:marBottom w:val="0"/>
      <w:divBdr>
        <w:top w:val="none" w:sz="0" w:space="0" w:color="auto"/>
        <w:left w:val="none" w:sz="0" w:space="0" w:color="auto"/>
        <w:bottom w:val="none" w:sz="0" w:space="0" w:color="auto"/>
        <w:right w:val="none" w:sz="0" w:space="0" w:color="auto"/>
      </w:divBdr>
    </w:div>
    <w:div w:id="1306397390">
      <w:bodyDiv w:val="1"/>
      <w:marLeft w:val="0"/>
      <w:marRight w:val="0"/>
      <w:marTop w:val="0"/>
      <w:marBottom w:val="0"/>
      <w:divBdr>
        <w:top w:val="none" w:sz="0" w:space="0" w:color="auto"/>
        <w:left w:val="none" w:sz="0" w:space="0" w:color="auto"/>
        <w:bottom w:val="none" w:sz="0" w:space="0" w:color="auto"/>
        <w:right w:val="none" w:sz="0" w:space="0" w:color="auto"/>
      </w:divBdr>
    </w:div>
    <w:div w:id="1330062756">
      <w:bodyDiv w:val="1"/>
      <w:marLeft w:val="0"/>
      <w:marRight w:val="0"/>
      <w:marTop w:val="0"/>
      <w:marBottom w:val="0"/>
      <w:divBdr>
        <w:top w:val="none" w:sz="0" w:space="0" w:color="auto"/>
        <w:left w:val="none" w:sz="0" w:space="0" w:color="auto"/>
        <w:bottom w:val="none" w:sz="0" w:space="0" w:color="auto"/>
        <w:right w:val="none" w:sz="0" w:space="0" w:color="auto"/>
      </w:divBdr>
    </w:div>
    <w:div w:id="1335574098">
      <w:bodyDiv w:val="1"/>
      <w:marLeft w:val="0"/>
      <w:marRight w:val="0"/>
      <w:marTop w:val="0"/>
      <w:marBottom w:val="0"/>
      <w:divBdr>
        <w:top w:val="none" w:sz="0" w:space="0" w:color="auto"/>
        <w:left w:val="none" w:sz="0" w:space="0" w:color="auto"/>
        <w:bottom w:val="none" w:sz="0" w:space="0" w:color="auto"/>
        <w:right w:val="none" w:sz="0" w:space="0" w:color="auto"/>
      </w:divBdr>
    </w:div>
    <w:div w:id="1337347710">
      <w:bodyDiv w:val="1"/>
      <w:marLeft w:val="0"/>
      <w:marRight w:val="0"/>
      <w:marTop w:val="0"/>
      <w:marBottom w:val="0"/>
      <w:divBdr>
        <w:top w:val="none" w:sz="0" w:space="0" w:color="auto"/>
        <w:left w:val="none" w:sz="0" w:space="0" w:color="auto"/>
        <w:bottom w:val="none" w:sz="0" w:space="0" w:color="auto"/>
        <w:right w:val="none" w:sz="0" w:space="0" w:color="auto"/>
      </w:divBdr>
    </w:div>
    <w:div w:id="1347056575">
      <w:bodyDiv w:val="1"/>
      <w:marLeft w:val="0"/>
      <w:marRight w:val="0"/>
      <w:marTop w:val="0"/>
      <w:marBottom w:val="0"/>
      <w:divBdr>
        <w:top w:val="none" w:sz="0" w:space="0" w:color="auto"/>
        <w:left w:val="none" w:sz="0" w:space="0" w:color="auto"/>
        <w:bottom w:val="none" w:sz="0" w:space="0" w:color="auto"/>
        <w:right w:val="none" w:sz="0" w:space="0" w:color="auto"/>
      </w:divBdr>
    </w:div>
    <w:div w:id="1352073829">
      <w:bodyDiv w:val="1"/>
      <w:marLeft w:val="0"/>
      <w:marRight w:val="0"/>
      <w:marTop w:val="0"/>
      <w:marBottom w:val="0"/>
      <w:divBdr>
        <w:top w:val="none" w:sz="0" w:space="0" w:color="auto"/>
        <w:left w:val="none" w:sz="0" w:space="0" w:color="auto"/>
        <w:bottom w:val="none" w:sz="0" w:space="0" w:color="auto"/>
        <w:right w:val="none" w:sz="0" w:space="0" w:color="auto"/>
      </w:divBdr>
    </w:div>
    <w:div w:id="1354111110">
      <w:bodyDiv w:val="1"/>
      <w:marLeft w:val="0"/>
      <w:marRight w:val="0"/>
      <w:marTop w:val="0"/>
      <w:marBottom w:val="0"/>
      <w:divBdr>
        <w:top w:val="none" w:sz="0" w:space="0" w:color="auto"/>
        <w:left w:val="none" w:sz="0" w:space="0" w:color="auto"/>
        <w:bottom w:val="none" w:sz="0" w:space="0" w:color="auto"/>
        <w:right w:val="none" w:sz="0" w:space="0" w:color="auto"/>
      </w:divBdr>
    </w:div>
    <w:div w:id="1357268795">
      <w:bodyDiv w:val="1"/>
      <w:marLeft w:val="0"/>
      <w:marRight w:val="0"/>
      <w:marTop w:val="0"/>
      <w:marBottom w:val="0"/>
      <w:divBdr>
        <w:top w:val="none" w:sz="0" w:space="0" w:color="auto"/>
        <w:left w:val="none" w:sz="0" w:space="0" w:color="auto"/>
        <w:bottom w:val="none" w:sz="0" w:space="0" w:color="auto"/>
        <w:right w:val="none" w:sz="0" w:space="0" w:color="auto"/>
      </w:divBdr>
    </w:div>
    <w:div w:id="1361934726">
      <w:bodyDiv w:val="1"/>
      <w:marLeft w:val="0"/>
      <w:marRight w:val="0"/>
      <w:marTop w:val="0"/>
      <w:marBottom w:val="0"/>
      <w:divBdr>
        <w:top w:val="none" w:sz="0" w:space="0" w:color="auto"/>
        <w:left w:val="none" w:sz="0" w:space="0" w:color="auto"/>
        <w:bottom w:val="none" w:sz="0" w:space="0" w:color="auto"/>
        <w:right w:val="none" w:sz="0" w:space="0" w:color="auto"/>
      </w:divBdr>
    </w:div>
    <w:div w:id="1366979081">
      <w:bodyDiv w:val="1"/>
      <w:marLeft w:val="0"/>
      <w:marRight w:val="0"/>
      <w:marTop w:val="0"/>
      <w:marBottom w:val="0"/>
      <w:divBdr>
        <w:top w:val="none" w:sz="0" w:space="0" w:color="auto"/>
        <w:left w:val="none" w:sz="0" w:space="0" w:color="auto"/>
        <w:bottom w:val="none" w:sz="0" w:space="0" w:color="auto"/>
        <w:right w:val="none" w:sz="0" w:space="0" w:color="auto"/>
      </w:divBdr>
    </w:div>
    <w:div w:id="1367759679">
      <w:bodyDiv w:val="1"/>
      <w:marLeft w:val="0"/>
      <w:marRight w:val="0"/>
      <w:marTop w:val="0"/>
      <w:marBottom w:val="0"/>
      <w:divBdr>
        <w:top w:val="none" w:sz="0" w:space="0" w:color="auto"/>
        <w:left w:val="none" w:sz="0" w:space="0" w:color="auto"/>
        <w:bottom w:val="none" w:sz="0" w:space="0" w:color="auto"/>
        <w:right w:val="none" w:sz="0" w:space="0" w:color="auto"/>
      </w:divBdr>
    </w:div>
    <w:div w:id="1368871266">
      <w:bodyDiv w:val="1"/>
      <w:marLeft w:val="0"/>
      <w:marRight w:val="0"/>
      <w:marTop w:val="0"/>
      <w:marBottom w:val="0"/>
      <w:divBdr>
        <w:top w:val="none" w:sz="0" w:space="0" w:color="auto"/>
        <w:left w:val="none" w:sz="0" w:space="0" w:color="auto"/>
        <w:bottom w:val="none" w:sz="0" w:space="0" w:color="auto"/>
        <w:right w:val="none" w:sz="0" w:space="0" w:color="auto"/>
      </w:divBdr>
    </w:div>
    <w:div w:id="1369835386">
      <w:bodyDiv w:val="1"/>
      <w:marLeft w:val="0"/>
      <w:marRight w:val="0"/>
      <w:marTop w:val="0"/>
      <w:marBottom w:val="0"/>
      <w:divBdr>
        <w:top w:val="none" w:sz="0" w:space="0" w:color="auto"/>
        <w:left w:val="none" w:sz="0" w:space="0" w:color="auto"/>
        <w:bottom w:val="none" w:sz="0" w:space="0" w:color="auto"/>
        <w:right w:val="none" w:sz="0" w:space="0" w:color="auto"/>
      </w:divBdr>
    </w:div>
    <w:div w:id="1372724988">
      <w:bodyDiv w:val="1"/>
      <w:marLeft w:val="0"/>
      <w:marRight w:val="0"/>
      <w:marTop w:val="0"/>
      <w:marBottom w:val="0"/>
      <w:divBdr>
        <w:top w:val="none" w:sz="0" w:space="0" w:color="auto"/>
        <w:left w:val="none" w:sz="0" w:space="0" w:color="auto"/>
        <w:bottom w:val="none" w:sz="0" w:space="0" w:color="auto"/>
        <w:right w:val="none" w:sz="0" w:space="0" w:color="auto"/>
      </w:divBdr>
    </w:div>
    <w:div w:id="1373194749">
      <w:bodyDiv w:val="1"/>
      <w:marLeft w:val="0"/>
      <w:marRight w:val="0"/>
      <w:marTop w:val="0"/>
      <w:marBottom w:val="0"/>
      <w:divBdr>
        <w:top w:val="none" w:sz="0" w:space="0" w:color="auto"/>
        <w:left w:val="none" w:sz="0" w:space="0" w:color="auto"/>
        <w:bottom w:val="none" w:sz="0" w:space="0" w:color="auto"/>
        <w:right w:val="none" w:sz="0" w:space="0" w:color="auto"/>
      </w:divBdr>
    </w:div>
    <w:div w:id="1376002246">
      <w:bodyDiv w:val="1"/>
      <w:marLeft w:val="0"/>
      <w:marRight w:val="0"/>
      <w:marTop w:val="0"/>
      <w:marBottom w:val="0"/>
      <w:divBdr>
        <w:top w:val="none" w:sz="0" w:space="0" w:color="auto"/>
        <w:left w:val="none" w:sz="0" w:space="0" w:color="auto"/>
        <w:bottom w:val="none" w:sz="0" w:space="0" w:color="auto"/>
        <w:right w:val="none" w:sz="0" w:space="0" w:color="auto"/>
      </w:divBdr>
    </w:div>
    <w:div w:id="1383401257">
      <w:bodyDiv w:val="1"/>
      <w:marLeft w:val="0"/>
      <w:marRight w:val="0"/>
      <w:marTop w:val="0"/>
      <w:marBottom w:val="0"/>
      <w:divBdr>
        <w:top w:val="none" w:sz="0" w:space="0" w:color="auto"/>
        <w:left w:val="none" w:sz="0" w:space="0" w:color="auto"/>
        <w:bottom w:val="none" w:sz="0" w:space="0" w:color="auto"/>
        <w:right w:val="none" w:sz="0" w:space="0" w:color="auto"/>
      </w:divBdr>
    </w:div>
    <w:div w:id="1395467637">
      <w:bodyDiv w:val="1"/>
      <w:marLeft w:val="0"/>
      <w:marRight w:val="0"/>
      <w:marTop w:val="0"/>
      <w:marBottom w:val="0"/>
      <w:divBdr>
        <w:top w:val="none" w:sz="0" w:space="0" w:color="auto"/>
        <w:left w:val="none" w:sz="0" w:space="0" w:color="auto"/>
        <w:bottom w:val="none" w:sz="0" w:space="0" w:color="auto"/>
        <w:right w:val="none" w:sz="0" w:space="0" w:color="auto"/>
      </w:divBdr>
    </w:div>
    <w:div w:id="1398550104">
      <w:bodyDiv w:val="1"/>
      <w:marLeft w:val="0"/>
      <w:marRight w:val="0"/>
      <w:marTop w:val="0"/>
      <w:marBottom w:val="0"/>
      <w:divBdr>
        <w:top w:val="none" w:sz="0" w:space="0" w:color="auto"/>
        <w:left w:val="none" w:sz="0" w:space="0" w:color="auto"/>
        <w:bottom w:val="none" w:sz="0" w:space="0" w:color="auto"/>
        <w:right w:val="none" w:sz="0" w:space="0" w:color="auto"/>
      </w:divBdr>
    </w:div>
    <w:div w:id="1423180961">
      <w:bodyDiv w:val="1"/>
      <w:marLeft w:val="0"/>
      <w:marRight w:val="0"/>
      <w:marTop w:val="0"/>
      <w:marBottom w:val="0"/>
      <w:divBdr>
        <w:top w:val="none" w:sz="0" w:space="0" w:color="auto"/>
        <w:left w:val="none" w:sz="0" w:space="0" w:color="auto"/>
        <w:bottom w:val="none" w:sz="0" w:space="0" w:color="auto"/>
        <w:right w:val="none" w:sz="0" w:space="0" w:color="auto"/>
      </w:divBdr>
    </w:div>
    <w:div w:id="1436436380">
      <w:bodyDiv w:val="1"/>
      <w:marLeft w:val="0"/>
      <w:marRight w:val="0"/>
      <w:marTop w:val="0"/>
      <w:marBottom w:val="0"/>
      <w:divBdr>
        <w:top w:val="none" w:sz="0" w:space="0" w:color="auto"/>
        <w:left w:val="none" w:sz="0" w:space="0" w:color="auto"/>
        <w:bottom w:val="none" w:sz="0" w:space="0" w:color="auto"/>
        <w:right w:val="none" w:sz="0" w:space="0" w:color="auto"/>
      </w:divBdr>
    </w:div>
    <w:div w:id="1436900814">
      <w:bodyDiv w:val="1"/>
      <w:marLeft w:val="0"/>
      <w:marRight w:val="0"/>
      <w:marTop w:val="0"/>
      <w:marBottom w:val="0"/>
      <w:divBdr>
        <w:top w:val="none" w:sz="0" w:space="0" w:color="auto"/>
        <w:left w:val="none" w:sz="0" w:space="0" w:color="auto"/>
        <w:bottom w:val="none" w:sz="0" w:space="0" w:color="auto"/>
        <w:right w:val="none" w:sz="0" w:space="0" w:color="auto"/>
      </w:divBdr>
    </w:div>
    <w:div w:id="1437360582">
      <w:bodyDiv w:val="1"/>
      <w:marLeft w:val="0"/>
      <w:marRight w:val="0"/>
      <w:marTop w:val="0"/>
      <w:marBottom w:val="0"/>
      <w:divBdr>
        <w:top w:val="none" w:sz="0" w:space="0" w:color="auto"/>
        <w:left w:val="none" w:sz="0" w:space="0" w:color="auto"/>
        <w:bottom w:val="none" w:sz="0" w:space="0" w:color="auto"/>
        <w:right w:val="none" w:sz="0" w:space="0" w:color="auto"/>
      </w:divBdr>
    </w:div>
    <w:div w:id="1443376956">
      <w:bodyDiv w:val="1"/>
      <w:marLeft w:val="0"/>
      <w:marRight w:val="0"/>
      <w:marTop w:val="0"/>
      <w:marBottom w:val="0"/>
      <w:divBdr>
        <w:top w:val="none" w:sz="0" w:space="0" w:color="auto"/>
        <w:left w:val="none" w:sz="0" w:space="0" w:color="auto"/>
        <w:bottom w:val="none" w:sz="0" w:space="0" w:color="auto"/>
        <w:right w:val="none" w:sz="0" w:space="0" w:color="auto"/>
      </w:divBdr>
    </w:div>
    <w:div w:id="1451778957">
      <w:bodyDiv w:val="1"/>
      <w:marLeft w:val="0"/>
      <w:marRight w:val="0"/>
      <w:marTop w:val="0"/>
      <w:marBottom w:val="0"/>
      <w:divBdr>
        <w:top w:val="none" w:sz="0" w:space="0" w:color="auto"/>
        <w:left w:val="none" w:sz="0" w:space="0" w:color="auto"/>
        <w:bottom w:val="none" w:sz="0" w:space="0" w:color="auto"/>
        <w:right w:val="none" w:sz="0" w:space="0" w:color="auto"/>
      </w:divBdr>
    </w:div>
    <w:div w:id="1452087731">
      <w:bodyDiv w:val="1"/>
      <w:marLeft w:val="0"/>
      <w:marRight w:val="0"/>
      <w:marTop w:val="0"/>
      <w:marBottom w:val="0"/>
      <w:divBdr>
        <w:top w:val="none" w:sz="0" w:space="0" w:color="auto"/>
        <w:left w:val="none" w:sz="0" w:space="0" w:color="auto"/>
        <w:bottom w:val="none" w:sz="0" w:space="0" w:color="auto"/>
        <w:right w:val="none" w:sz="0" w:space="0" w:color="auto"/>
      </w:divBdr>
    </w:div>
    <w:div w:id="1457749715">
      <w:bodyDiv w:val="1"/>
      <w:marLeft w:val="0"/>
      <w:marRight w:val="0"/>
      <w:marTop w:val="0"/>
      <w:marBottom w:val="0"/>
      <w:divBdr>
        <w:top w:val="none" w:sz="0" w:space="0" w:color="auto"/>
        <w:left w:val="none" w:sz="0" w:space="0" w:color="auto"/>
        <w:bottom w:val="none" w:sz="0" w:space="0" w:color="auto"/>
        <w:right w:val="none" w:sz="0" w:space="0" w:color="auto"/>
      </w:divBdr>
    </w:div>
    <w:div w:id="1463843157">
      <w:bodyDiv w:val="1"/>
      <w:marLeft w:val="0"/>
      <w:marRight w:val="0"/>
      <w:marTop w:val="0"/>
      <w:marBottom w:val="0"/>
      <w:divBdr>
        <w:top w:val="none" w:sz="0" w:space="0" w:color="auto"/>
        <w:left w:val="none" w:sz="0" w:space="0" w:color="auto"/>
        <w:bottom w:val="none" w:sz="0" w:space="0" w:color="auto"/>
        <w:right w:val="none" w:sz="0" w:space="0" w:color="auto"/>
      </w:divBdr>
    </w:div>
    <w:div w:id="1464276381">
      <w:bodyDiv w:val="1"/>
      <w:marLeft w:val="0"/>
      <w:marRight w:val="0"/>
      <w:marTop w:val="0"/>
      <w:marBottom w:val="0"/>
      <w:divBdr>
        <w:top w:val="none" w:sz="0" w:space="0" w:color="auto"/>
        <w:left w:val="none" w:sz="0" w:space="0" w:color="auto"/>
        <w:bottom w:val="none" w:sz="0" w:space="0" w:color="auto"/>
        <w:right w:val="none" w:sz="0" w:space="0" w:color="auto"/>
      </w:divBdr>
    </w:div>
    <w:div w:id="1469783593">
      <w:bodyDiv w:val="1"/>
      <w:marLeft w:val="0"/>
      <w:marRight w:val="0"/>
      <w:marTop w:val="0"/>
      <w:marBottom w:val="0"/>
      <w:divBdr>
        <w:top w:val="none" w:sz="0" w:space="0" w:color="auto"/>
        <w:left w:val="none" w:sz="0" w:space="0" w:color="auto"/>
        <w:bottom w:val="none" w:sz="0" w:space="0" w:color="auto"/>
        <w:right w:val="none" w:sz="0" w:space="0" w:color="auto"/>
      </w:divBdr>
    </w:div>
    <w:div w:id="1482381789">
      <w:bodyDiv w:val="1"/>
      <w:marLeft w:val="0"/>
      <w:marRight w:val="0"/>
      <w:marTop w:val="0"/>
      <w:marBottom w:val="0"/>
      <w:divBdr>
        <w:top w:val="none" w:sz="0" w:space="0" w:color="auto"/>
        <w:left w:val="none" w:sz="0" w:space="0" w:color="auto"/>
        <w:bottom w:val="none" w:sz="0" w:space="0" w:color="auto"/>
        <w:right w:val="none" w:sz="0" w:space="0" w:color="auto"/>
      </w:divBdr>
    </w:div>
    <w:div w:id="1490511920">
      <w:bodyDiv w:val="1"/>
      <w:marLeft w:val="0"/>
      <w:marRight w:val="0"/>
      <w:marTop w:val="0"/>
      <w:marBottom w:val="0"/>
      <w:divBdr>
        <w:top w:val="none" w:sz="0" w:space="0" w:color="auto"/>
        <w:left w:val="none" w:sz="0" w:space="0" w:color="auto"/>
        <w:bottom w:val="none" w:sz="0" w:space="0" w:color="auto"/>
        <w:right w:val="none" w:sz="0" w:space="0" w:color="auto"/>
      </w:divBdr>
    </w:div>
    <w:div w:id="1491369489">
      <w:bodyDiv w:val="1"/>
      <w:marLeft w:val="0"/>
      <w:marRight w:val="0"/>
      <w:marTop w:val="0"/>
      <w:marBottom w:val="0"/>
      <w:divBdr>
        <w:top w:val="none" w:sz="0" w:space="0" w:color="auto"/>
        <w:left w:val="none" w:sz="0" w:space="0" w:color="auto"/>
        <w:bottom w:val="none" w:sz="0" w:space="0" w:color="auto"/>
        <w:right w:val="none" w:sz="0" w:space="0" w:color="auto"/>
      </w:divBdr>
    </w:div>
    <w:div w:id="1492402994">
      <w:bodyDiv w:val="1"/>
      <w:marLeft w:val="0"/>
      <w:marRight w:val="0"/>
      <w:marTop w:val="0"/>
      <w:marBottom w:val="0"/>
      <w:divBdr>
        <w:top w:val="none" w:sz="0" w:space="0" w:color="auto"/>
        <w:left w:val="none" w:sz="0" w:space="0" w:color="auto"/>
        <w:bottom w:val="none" w:sz="0" w:space="0" w:color="auto"/>
        <w:right w:val="none" w:sz="0" w:space="0" w:color="auto"/>
      </w:divBdr>
    </w:div>
    <w:div w:id="1492678788">
      <w:bodyDiv w:val="1"/>
      <w:marLeft w:val="0"/>
      <w:marRight w:val="0"/>
      <w:marTop w:val="0"/>
      <w:marBottom w:val="0"/>
      <w:divBdr>
        <w:top w:val="none" w:sz="0" w:space="0" w:color="auto"/>
        <w:left w:val="none" w:sz="0" w:space="0" w:color="auto"/>
        <w:bottom w:val="none" w:sz="0" w:space="0" w:color="auto"/>
        <w:right w:val="none" w:sz="0" w:space="0" w:color="auto"/>
      </w:divBdr>
    </w:div>
    <w:div w:id="1500999290">
      <w:bodyDiv w:val="1"/>
      <w:marLeft w:val="0"/>
      <w:marRight w:val="0"/>
      <w:marTop w:val="0"/>
      <w:marBottom w:val="0"/>
      <w:divBdr>
        <w:top w:val="none" w:sz="0" w:space="0" w:color="auto"/>
        <w:left w:val="none" w:sz="0" w:space="0" w:color="auto"/>
        <w:bottom w:val="none" w:sz="0" w:space="0" w:color="auto"/>
        <w:right w:val="none" w:sz="0" w:space="0" w:color="auto"/>
      </w:divBdr>
    </w:div>
    <w:div w:id="1505893947">
      <w:bodyDiv w:val="1"/>
      <w:marLeft w:val="0"/>
      <w:marRight w:val="0"/>
      <w:marTop w:val="0"/>
      <w:marBottom w:val="0"/>
      <w:divBdr>
        <w:top w:val="none" w:sz="0" w:space="0" w:color="auto"/>
        <w:left w:val="none" w:sz="0" w:space="0" w:color="auto"/>
        <w:bottom w:val="none" w:sz="0" w:space="0" w:color="auto"/>
        <w:right w:val="none" w:sz="0" w:space="0" w:color="auto"/>
      </w:divBdr>
    </w:div>
    <w:div w:id="1509833286">
      <w:bodyDiv w:val="1"/>
      <w:marLeft w:val="0"/>
      <w:marRight w:val="0"/>
      <w:marTop w:val="0"/>
      <w:marBottom w:val="0"/>
      <w:divBdr>
        <w:top w:val="none" w:sz="0" w:space="0" w:color="auto"/>
        <w:left w:val="none" w:sz="0" w:space="0" w:color="auto"/>
        <w:bottom w:val="none" w:sz="0" w:space="0" w:color="auto"/>
        <w:right w:val="none" w:sz="0" w:space="0" w:color="auto"/>
      </w:divBdr>
    </w:div>
    <w:div w:id="1516456233">
      <w:bodyDiv w:val="1"/>
      <w:marLeft w:val="0"/>
      <w:marRight w:val="0"/>
      <w:marTop w:val="0"/>
      <w:marBottom w:val="0"/>
      <w:divBdr>
        <w:top w:val="none" w:sz="0" w:space="0" w:color="auto"/>
        <w:left w:val="none" w:sz="0" w:space="0" w:color="auto"/>
        <w:bottom w:val="none" w:sz="0" w:space="0" w:color="auto"/>
        <w:right w:val="none" w:sz="0" w:space="0" w:color="auto"/>
      </w:divBdr>
    </w:div>
    <w:div w:id="1522546843">
      <w:bodyDiv w:val="1"/>
      <w:marLeft w:val="0"/>
      <w:marRight w:val="0"/>
      <w:marTop w:val="0"/>
      <w:marBottom w:val="0"/>
      <w:divBdr>
        <w:top w:val="none" w:sz="0" w:space="0" w:color="auto"/>
        <w:left w:val="none" w:sz="0" w:space="0" w:color="auto"/>
        <w:bottom w:val="none" w:sz="0" w:space="0" w:color="auto"/>
        <w:right w:val="none" w:sz="0" w:space="0" w:color="auto"/>
      </w:divBdr>
    </w:div>
    <w:div w:id="1523201650">
      <w:bodyDiv w:val="1"/>
      <w:marLeft w:val="0"/>
      <w:marRight w:val="0"/>
      <w:marTop w:val="0"/>
      <w:marBottom w:val="0"/>
      <w:divBdr>
        <w:top w:val="none" w:sz="0" w:space="0" w:color="auto"/>
        <w:left w:val="none" w:sz="0" w:space="0" w:color="auto"/>
        <w:bottom w:val="none" w:sz="0" w:space="0" w:color="auto"/>
        <w:right w:val="none" w:sz="0" w:space="0" w:color="auto"/>
      </w:divBdr>
    </w:div>
    <w:div w:id="1526863832">
      <w:bodyDiv w:val="1"/>
      <w:marLeft w:val="0"/>
      <w:marRight w:val="0"/>
      <w:marTop w:val="0"/>
      <w:marBottom w:val="0"/>
      <w:divBdr>
        <w:top w:val="none" w:sz="0" w:space="0" w:color="auto"/>
        <w:left w:val="none" w:sz="0" w:space="0" w:color="auto"/>
        <w:bottom w:val="none" w:sz="0" w:space="0" w:color="auto"/>
        <w:right w:val="none" w:sz="0" w:space="0" w:color="auto"/>
      </w:divBdr>
    </w:div>
    <w:div w:id="1529753051">
      <w:bodyDiv w:val="1"/>
      <w:marLeft w:val="0"/>
      <w:marRight w:val="0"/>
      <w:marTop w:val="0"/>
      <w:marBottom w:val="0"/>
      <w:divBdr>
        <w:top w:val="none" w:sz="0" w:space="0" w:color="auto"/>
        <w:left w:val="none" w:sz="0" w:space="0" w:color="auto"/>
        <w:bottom w:val="none" w:sz="0" w:space="0" w:color="auto"/>
        <w:right w:val="none" w:sz="0" w:space="0" w:color="auto"/>
      </w:divBdr>
    </w:div>
    <w:div w:id="1534607714">
      <w:bodyDiv w:val="1"/>
      <w:marLeft w:val="0"/>
      <w:marRight w:val="0"/>
      <w:marTop w:val="0"/>
      <w:marBottom w:val="0"/>
      <w:divBdr>
        <w:top w:val="none" w:sz="0" w:space="0" w:color="auto"/>
        <w:left w:val="none" w:sz="0" w:space="0" w:color="auto"/>
        <w:bottom w:val="none" w:sz="0" w:space="0" w:color="auto"/>
        <w:right w:val="none" w:sz="0" w:space="0" w:color="auto"/>
      </w:divBdr>
    </w:div>
    <w:div w:id="1535771559">
      <w:bodyDiv w:val="1"/>
      <w:marLeft w:val="0"/>
      <w:marRight w:val="0"/>
      <w:marTop w:val="0"/>
      <w:marBottom w:val="0"/>
      <w:divBdr>
        <w:top w:val="none" w:sz="0" w:space="0" w:color="auto"/>
        <w:left w:val="none" w:sz="0" w:space="0" w:color="auto"/>
        <w:bottom w:val="none" w:sz="0" w:space="0" w:color="auto"/>
        <w:right w:val="none" w:sz="0" w:space="0" w:color="auto"/>
      </w:divBdr>
    </w:div>
    <w:div w:id="1546024753">
      <w:bodyDiv w:val="1"/>
      <w:marLeft w:val="0"/>
      <w:marRight w:val="0"/>
      <w:marTop w:val="0"/>
      <w:marBottom w:val="0"/>
      <w:divBdr>
        <w:top w:val="none" w:sz="0" w:space="0" w:color="auto"/>
        <w:left w:val="none" w:sz="0" w:space="0" w:color="auto"/>
        <w:bottom w:val="none" w:sz="0" w:space="0" w:color="auto"/>
        <w:right w:val="none" w:sz="0" w:space="0" w:color="auto"/>
      </w:divBdr>
    </w:div>
    <w:div w:id="1547066847">
      <w:bodyDiv w:val="1"/>
      <w:marLeft w:val="0"/>
      <w:marRight w:val="0"/>
      <w:marTop w:val="0"/>
      <w:marBottom w:val="0"/>
      <w:divBdr>
        <w:top w:val="none" w:sz="0" w:space="0" w:color="auto"/>
        <w:left w:val="none" w:sz="0" w:space="0" w:color="auto"/>
        <w:bottom w:val="none" w:sz="0" w:space="0" w:color="auto"/>
        <w:right w:val="none" w:sz="0" w:space="0" w:color="auto"/>
      </w:divBdr>
    </w:div>
    <w:div w:id="1549029155">
      <w:bodyDiv w:val="1"/>
      <w:marLeft w:val="0"/>
      <w:marRight w:val="0"/>
      <w:marTop w:val="0"/>
      <w:marBottom w:val="0"/>
      <w:divBdr>
        <w:top w:val="none" w:sz="0" w:space="0" w:color="auto"/>
        <w:left w:val="none" w:sz="0" w:space="0" w:color="auto"/>
        <w:bottom w:val="none" w:sz="0" w:space="0" w:color="auto"/>
        <w:right w:val="none" w:sz="0" w:space="0" w:color="auto"/>
      </w:divBdr>
    </w:div>
    <w:div w:id="1549411354">
      <w:bodyDiv w:val="1"/>
      <w:marLeft w:val="0"/>
      <w:marRight w:val="0"/>
      <w:marTop w:val="0"/>
      <w:marBottom w:val="0"/>
      <w:divBdr>
        <w:top w:val="none" w:sz="0" w:space="0" w:color="auto"/>
        <w:left w:val="none" w:sz="0" w:space="0" w:color="auto"/>
        <w:bottom w:val="none" w:sz="0" w:space="0" w:color="auto"/>
        <w:right w:val="none" w:sz="0" w:space="0" w:color="auto"/>
      </w:divBdr>
    </w:div>
    <w:div w:id="1550993215">
      <w:bodyDiv w:val="1"/>
      <w:marLeft w:val="0"/>
      <w:marRight w:val="0"/>
      <w:marTop w:val="0"/>
      <w:marBottom w:val="0"/>
      <w:divBdr>
        <w:top w:val="none" w:sz="0" w:space="0" w:color="auto"/>
        <w:left w:val="none" w:sz="0" w:space="0" w:color="auto"/>
        <w:bottom w:val="none" w:sz="0" w:space="0" w:color="auto"/>
        <w:right w:val="none" w:sz="0" w:space="0" w:color="auto"/>
      </w:divBdr>
    </w:div>
    <w:div w:id="1567256094">
      <w:bodyDiv w:val="1"/>
      <w:marLeft w:val="0"/>
      <w:marRight w:val="0"/>
      <w:marTop w:val="0"/>
      <w:marBottom w:val="0"/>
      <w:divBdr>
        <w:top w:val="none" w:sz="0" w:space="0" w:color="auto"/>
        <w:left w:val="none" w:sz="0" w:space="0" w:color="auto"/>
        <w:bottom w:val="none" w:sz="0" w:space="0" w:color="auto"/>
        <w:right w:val="none" w:sz="0" w:space="0" w:color="auto"/>
      </w:divBdr>
    </w:div>
    <w:div w:id="1570069484">
      <w:bodyDiv w:val="1"/>
      <w:marLeft w:val="0"/>
      <w:marRight w:val="0"/>
      <w:marTop w:val="0"/>
      <w:marBottom w:val="0"/>
      <w:divBdr>
        <w:top w:val="none" w:sz="0" w:space="0" w:color="auto"/>
        <w:left w:val="none" w:sz="0" w:space="0" w:color="auto"/>
        <w:bottom w:val="none" w:sz="0" w:space="0" w:color="auto"/>
        <w:right w:val="none" w:sz="0" w:space="0" w:color="auto"/>
      </w:divBdr>
    </w:div>
    <w:div w:id="1570576272">
      <w:bodyDiv w:val="1"/>
      <w:marLeft w:val="0"/>
      <w:marRight w:val="0"/>
      <w:marTop w:val="0"/>
      <w:marBottom w:val="0"/>
      <w:divBdr>
        <w:top w:val="none" w:sz="0" w:space="0" w:color="auto"/>
        <w:left w:val="none" w:sz="0" w:space="0" w:color="auto"/>
        <w:bottom w:val="none" w:sz="0" w:space="0" w:color="auto"/>
        <w:right w:val="none" w:sz="0" w:space="0" w:color="auto"/>
      </w:divBdr>
      <w:divsChild>
        <w:div w:id="2007056014">
          <w:marLeft w:val="0"/>
          <w:marRight w:val="0"/>
          <w:marTop w:val="0"/>
          <w:marBottom w:val="0"/>
          <w:divBdr>
            <w:top w:val="none" w:sz="0" w:space="0" w:color="auto"/>
            <w:left w:val="none" w:sz="0" w:space="0" w:color="auto"/>
            <w:bottom w:val="none" w:sz="0" w:space="0" w:color="auto"/>
            <w:right w:val="none" w:sz="0" w:space="0" w:color="auto"/>
          </w:divBdr>
        </w:div>
      </w:divsChild>
    </w:div>
    <w:div w:id="1576360440">
      <w:bodyDiv w:val="1"/>
      <w:marLeft w:val="0"/>
      <w:marRight w:val="0"/>
      <w:marTop w:val="0"/>
      <w:marBottom w:val="0"/>
      <w:divBdr>
        <w:top w:val="none" w:sz="0" w:space="0" w:color="auto"/>
        <w:left w:val="none" w:sz="0" w:space="0" w:color="auto"/>
        <w:bottom w:val="none" w:sz="0" w:space="0" w:color="auto"/>
        <w:right w:val="none" w:sz="0" w:space="0" w:color="auto"/>
      </w:divBdr>
    </w:div>
    <w:div w:id="1577009368">
      <w:bodyDiv w:val="1"/>
      <w:marLeft w:val="0"/>
      <w:marRight w:val="0"/>
      <w:marTop w:val="0"/>
      <w:marBottom w:val="0"/>
      <w:divBdr>
        <w:top w:val="none" w:sz="0" w:space="0" w:color="auto"/>
        <w:left w:val="none" w:sz="0" w:space="0" w:color="auto"/>
        <w:bottom w:val="none" w:sz="0" w:space="0" w:color="auto"/>
        <w:right w:val="none" w:sz="0" w:space="0" w:color="auto"/>
      </w:divBdr>
    </w:div>
    <w:div w:id="1584953109">
      <w:bodyDiv w:val="1"/>
      <w:marLeft w:val="0"/>
      <w:marRight w:val="0"/>
      <w:marTop w:val="0"/>
      <w:marBottom w:val="0"/>
      <w:divBdr>
        <w:top w:val="none" w:sz="0" w:space="0" w:color="auto"/>
        <w:left w:val="none" w:sz="0" w:space="0" w:color="auto"/>
        <w:bottom w:val="none" w:sz="0" w:space="0" w:color="auto"/>
        <w:right w:val="none" w:sz="0" w:space="0" w:color="auto"/>
      </w:divBdr>
    </w:div>
    <w:div w:id="1591963148">
      <w:bodyDiv w:val="1"/>
      <w:marLeft w:val="0"/>
      <w:marRight w:val="0"/>
      <w:marTop w:val="0"/>
      <w:marBottom w:val="0"/>
      <w:divBdr>
        <w:top w:val="none" w:sz="0" w:space="0" w:color="auto"/>
        <w:left w:val="none" w:sz="0" w:space="0" w:color="auto"/>
        <w:bottom w:val="none" w:sz="0" w:space="0" w:color="auto"/>
        <w:right w:val="none" w:sz="0" w:space="0" w:color="auto"/>
      </w:divBdr>
    </w:div>
    <w:div w:id="1594897662">
      <w:bodyDiv w:val="1"/>
      <w:marLeft w:val="0"/>
      <w:marRight w:val="0"/>
      <w:marTop w:val="0"/>
      <w:marBottom w:val="0"/>
      <w:divBdr>
        <w:top w:val="none" w:sz="0" w:space="0" w:color="auto"/>
        <w:left w:val="none" w:sz="0" w:space="0" w:color="auto"/>
        <w:bottom w:val="none" w:sz="0" w:space="0" w:color="auto"/>
        <w:right w:val="none" w:sz="0" w:space="0" w:color="auto"/>
      </w:divBdr>
    </w:div>
    <w:div w:id="1598060426">
      <w:bodyDiv w:val="1"/>
      <w:marLeft w:val="0"/>
      <w:marRight w:val="0"/>
      <w:marTop w:val="0"/>
      <w:marBottom w:val="0"/>
      <w:divBdr>
        <w:top w:val="none" w:sz="0" w:space="0" w:color="auto"/>
        <w:left w:val="none" w:sz="0" w:space="0" w:color="auto"/>
        <w:bottom w:val="none" w:sz="0" w:space="0" w:color="auto"/>
        <w:right w:val="none" w:sz="0" w:space="0" w:color="auto"/>
      </w:divBdr>
    </w:div>
    <w:div w:id="1598750935">
      <w:bodyDiv w:val="1"/>
      <w:marLeft w:val="0"/>
      <w:marRight w:val="0"/>
      <w:marTop w:val="0"/>
      <w:marBottom w:val="0"/>
      <w:divBdr>
        <w:top w:val="none" w:sz="0" w:space="0" w:color="auto"/>
        <w:left w:val="none" w:sz="0" w:space="0" w:color="auto"/>
        <w:bottom w:val="none" w:sz="0" w:space="0" w:color="auto"/>
        <w:right w:val="none" w:sz="0" w:space="0" w:color="auto"/>
      </w:divBdr>
    </w:div>
    <w:div w:id="1598757407">
      <w:bodyDiv w:val="1"/>
      <w:marLeft w:val="0"/>
      <w:marRight w:val="0"/>
      <w:marTop w:val="0"/>
      <w:marBottom w:val="0"/>
      <w:divBdr>
        <w:top w:val="none" w:sz="0" w:space="0" w:color="auto"/>
        <w:left w:val="none" w:sz="0" w:space="0" w:color="auto"/>
        <w:bottom w:val="none" w:sz="0" w:space="0" w:color="auto"/>
        <w:right w:val="none" w:sz="0" w:space="0" w:color="auto"/>
      </w:divBdr>
    </w:div>
    <w:div w:id="1611935343">
      <w:bodyDiv w:val="1"/>
      <w:marLeft w:val="0"/>
      <w:marRight w:val="0"/>
      <w:marTop w:val="0"/>
      <w:marBottom w:val="0"/>
      <w:divBdr>
        <w:top w:val="none" w:sz="0" w:space="0" w:color="auto"/>
        <w:left w:val="none" w:sz="0" w:space="0" w:color="auto"/>
        <w:bottom w:val="none" w:sz="0" w:space="0" w:color="auto"/>
        <w:right w:val="none" w:sz="0" w:space="0" w:color="auto"/>
      </w:divBdr>
    </w:div>
    <w:div w:id="1629315978">
      <w:bodyDiv w:val="1"/>
      <w:marLeft w:val="0"/>
      <w:marRight w:val="0"/>
      <w:marTop w:val="0"/>
      <w:marBottom w:val="0"/>
      <w:divBdr>
        <w:top w:val="none" w:sz="0" w:space="0" w:color="auto"/>
        <w:left w:val="none" w:sz="0" w:space="0" w:color="auto"/>
        <w:bottom w:val="none" w:sz="0" w:space="0" w:color="auto"/>
        <w:right w:val="none" w:sz="0" w:space="0" w:color="auto"/>
      </w:divBdr>
    </w:div>
    <w:div w:id="1631520268">
      <w:bodyDiv w:val="1"/>
      <w:marLeft w:val="0"/>
      <w:marRight w:val="0"/>
      <w:marTop w:val="0"/>
      <w:marBottom w:val="0"/>
      <w:divBdr>
        <w:top w:val="none" w:sz="0" w:space="0" w:color="auto"/>
        <w:left w:val="none" w:sz="0" w:space="0" w:color="auto"/>
        <w:bottom w:val="none" w:sz="0" w:space="0" w:color="auto"/>
        <w:right w:val="none" w:sz="0" w:space="0" w:color="auto"/>
      </w:divBdr>
    </w:div>
    <w:div w:id="1636519352">
      <w:bodyDiv w:val="1"/>
      <w:marLeft w:val="0"/>
      <w:marRight w:val="0"/>
      <w:marTop w:val="0"/>
      <w:marBottom w:val="0"/>
      <w:divBdr>
        <w:top w:val="none" w:sz="0" w:space="0" w:color="auto"/>
        <w:left w:val="none" w:sz="0" w:space="0" w:color="auto"/>
        <w:bottom w:val="none" w:sz="0" w:space="0" w:color="auto"/>
        <w:right w:val="none" w:sz="0" w:space="0" w:color="auto"/>
      </w:divBdr>
    </w:div>
    <w:div w:id="1641350064">
      <w:bodyDiv w:val="1"/>
      <w:marLeft w:val="0"/>
      <w:marRight w:val="0"/>
      <w:marTop w:val="0"/>
      <w:marBottom w:val="0"/>
      <w:divBdr>
        <w:top w:val="none" w:sz="0" w:space="0" w:color="auto"/>
        <w:left w:val="none" w:sz="0" w:space="0" w:color="auto"/>
        <w:bottom w:val="none" w:sz="0" w:space="0" w:color="auto"/>
        <w:right w:val="none" w:sz="0" w:space="0" w:color="auto"/>
      </w:divBdr>
    </w:div>
    <w:div w:id="1642805561">
      <w:bodyDiv w:val="1"/>
      <w:marLeft w:val="0"/>
      <w:marRight w:val="0"/>
      <w:marTop w:val="0"/>
      <w:marBottom w:val="0"/>
      <w:divBdr>
        <w:top w:val="none" w:sz="0" w:space="0" w:color="auto"/>
        <w:left w:val="none" w:sz="0" w:space="0" w:color="auto"/>
        <w:bottom w:val="none" w:sz="0" w:space="0" w:color="auto"/>
        <w:right w:val="none" w:sz="0" w:space="0" w:color="auto"/>
      </w:divBdr>
    </w:div>
    <w:div w:id="1643651291">
      <w:bodyDiv w:val="1"/>
      <w:marLeft w:val="0"/>
      <w:marRight w:val="0"/>
      <w:marTop w:val="0"/>
      <w:marBottom w:val="0"/>
      <w:divBdr>
        <w:top w:val="none" w:sz="0" w:space="0" w:color="auto"/>
        <w:left w:val="none" w:sz="0" w:space="0" w:color="auto"/>
        <w:bottom w:val="none" w:sz="0" w:space="0" w:color="auto"/>
        <w:right w:val="none" w:sz="0" w:space="0" w:color="auto"/>
      </w:divBdr>
    </w:div>
    <w:div w:id="1647275960">
      <w:bodyDiv w:val="1"/>
      <w:marLeft w:val="0"/>
      <w:marRight w:val="0"/>
      <w:marTop w:val="0"/>
      <w:marBottom w:val="0"/>
      <w:divBdr>
        <w:top w:val="none" w:sz="0" w:space="0" w:color="auto"/>
        <w:left w:val="none" w:sz="0" w:space="0" w:color="auto"/>
        <w:bottom w:val="none" w:sz="0" w:space="0" w:color="auto"/>
        <w:right w:val="none" w:sz="0" w:space="0" w:color="auto"/>
      </w:divBdr>
    </w:div>
    <w:div w:id="1648631426">
      <w:bodyDiv w:val="1"/>
      <w:marLeft w:val="0"/>
      <w:marRight w:val="0"/>
      <w:marTop w:val="0"/>
      <w:marBottom w:val="0"/>
      <w:divBdr>
        <w:top w:val="none" w:sz="0" w:space="0" w:color="auto"/>
        <w:left w:val="none" w:sz="0" w:space="0" w:color="auto"/>
        <w:bottom w:val="none" w:sz="0" w:space="0" w:color="auto"/>
        <w:right w:val="none" w:sz="0" w:space="0" w:color="auto"/>
      </w:divBdr>
    </w:div>
    <w:div w:id="1650672161">
      <w:bodyDiv w:val="1"/>
      <w:marLeft w:val="0"/>
      <w:marRight w:val="0"/>
      <w:marTop w:val="0"/>
      <w:marBottom w:val="0"/>
      <w:divBdr>
        <w:top w:val="none" w:sz="0" w:space="0" w:color="auto"/>
        <w:left w:val="none" w:sz="0" w:space="0" w:color="auto"/>
        <w:bottom w:val="none" w:sz="0" w:space="0" w:color="auto"/>
        <w:right w:val="none" w:sz="0" w:space="0" w:color="auto"/>
      </w:divBdr>
    </w:div>
    <w:div w:id="1652950403">
      <w:bodyDiv w:val="1"/>
      <w:marLeft w:val="0"/>
      <w:marRight w:val="0"/>
      <w:marTop w:val="0"/>
      <w:marBottom w:val="0"/>
      <w:divBdr>
        <w:top w:val="none" w:sz="0" w:space="0" w:color="auto"/>
        <w:left w:val="none" w:sz="0" w:space="0" w:color="auto"/>
        <w:bottom w:val="none" w:sz="0" w:space="0" w:color="auto"/>
        <w:right w:val="none" w:sz="0" w:space="0" w:color="auto"/>
      </w:divBdr>
    </w:div>
    <w:div w:id="1660502344">
      <w:bodyDiv w:val="1"/>
      <w:marLeft w:val="0"/>
      <w:marRight w:val="0"/>
      <w:marTop w:val="0"/>
      <w:marBottom w:val="0"/>
      <w:divBdr>
        <w:top w:val="none" w:sz="0" w:space="0" w:color="auto"/>
        <w:left w:val="none" w:sz="0" w:space="0" w:color="auto"/>
        <w:bottom w:val="none" w:sz="0" w:space="0" w:color="auto"/>
        <w:right w:val="none" w:sz="0" w:space="0" w:color="auto"/>
      </w:divBdr>
    </w:div>
    <w:div w:id="1661931959">
      <w:bodyDiv w:val="1"/>
      <w:marLeft w:val="0"/>
      <w:marRight w:val="0"/>
      <w:marTop w:val="0"/>
      <w:marBottom w:val="0"/>
      <w:divBdr>
        <w:top w:val="none" w:sz="0" w:space="0" w:color="auto"/>
        <w:left w:val="none" w:sz="0" w:space="0" w:color="auto"/>
        <w:bottom w:val="none" w:sz="0" w:space="0" w:color="auto"/>
        <w:right w:val="none" w:sz="0" w:space="0" w:color="auto"/>
      </w:divBdr>
    </w:div>
    <w:div w:id="1665821796">
      <w:bodyDiv w:val="1"/>
      <w:marLeft w:val="0"/>
      <w:marRight w:val="0"/>
      <w:marTop w:val="0"/>
      <w:marBottom w:val="0"/>
      <w:divBdr>
        <w:top w:val="none" w:sz="0" w:space="0" w:color="auto"/>
        <w:left w:val="none" w:sz="0" w:space="0" w:color="auto"/>
        <w:bottom w:val="none" w:sz="0" w:space="0" w:color="auto"/>
        <w:right w:val="none" w:sz="0" w:space="0" w:color="auto"/>
      </w:divBdr>
    </w:div>
    <w:div w:id="1669753154">
      <w:bodyDiv w:val="1"/>
      <w:marLeft w:val="0"/>
      <w:marRight w:val="0"/>
      <w:marTop w:val="0"/>
      <w:marBottom w:val="0"/>
      <w:divBdr>
        <w:top w:val="none" w:sz="0" w:space="0" w:color="auto"/>
        <w:left w:val="none" w:sz="0" w:space="0" w:color="auto"/>
        <w:bottom w:val="none" w:sz="0" w:space="0" w:color="auto"/>
        <w:right w:val="none" w:sz="0" w:space="0" w:color="auto"/>
      </w:divBdr>
    </w:div>
    <w:div w:id="1670938110">
      <w:bodyDiv w:val="1"/>
      <w:marLeft w:val="0"/>
      <w:marRight w:val="0"/>
      <w:marTop w:val="0"/>
      <w:marBottom w:val="0"/>
      <w:divBdr>
        <w:top w:val="none" w:sz="0" w:space="0" w:color="auto"/>
        <w:left w:val="none" w:sz="0" w:space="0" w:color="auto"/>
        <w:bottom w:val="none" w:sz="0" w:space="0" w:color="auto"/>
        <w:right w:val="none" w:sz="0" w:space="0" w:color="auto"/>
      </w:divBdr>
    </w:div>
    <w:div w:id="1677465369">
      <w:bodyDiv w:val="1"/>
      <w:marLeft w:val="0"/>
      <w:marRight w:val="0"/>
      <w:marTop w:val="0"/>
      <w:marBottom w:val="0"/>
      <w:divBdr>
        <w:top w:val="none" w:sz="0" w:space="0" w:color="auto"/>
        <w:left w:val="none" w:sz="0" w:space="0" w:color="auto"/>
        <w:bottom w:val="none" w:sz="0" w:space="0" w:color="auto"/>
        <w:right w:val="none" w:sz="0" w:space="0" w:color="auto"/>
      </w:divBdr>
    </w:div>
    <w:div w:id="1677926768">
      <w:bodyDiv w:val="1"/>
      <w:marLeft w:val="0"/>
      <w:marRight w:val="0"/>
      <w:marTop w:val="0"/>
      <w:marBottom w:val="0"/>
      <w:divBdr>
        <w:top w:val="none" w:sz="0" w:space="0" w:color="auto"/>
        <w:left w:val="none" w:sz="0" w:space="0" w:color="auto"/>
        <w:bottom w:val="none" w:sz="0" w:space="0" w:color="auto"/>
        <w:right w:val="none" w:sz="0" w:space="0" w:color="auto"/>
      </w:divBdr>
    </w:div>
    <w:div w:id="1684743351">
      <w:bodyDiv w:val="1"/>
      <w:marLeft w:val="0"/>
      <w:marRight w:val="0"/>
      <w:marTop w:val="0"/>
      <w:marBottom w:val="0"/>
      <w:divBdr>
        <w:top w:val="none" w:sz="0" w:space="0" w:color="auto"/>
        <w:left w:val="none" w:sz="0" w:space="0" w:color="auto"/>
        <w:bottom w:val="none" w:sz="0" w:space="0" w:color="auto"/>
        <w:right w:val="none" w:sz="0" w:space="0" w:color="auto"/>
      </w:divBdr>
    </w:div>
    <w:div w:id="1687558901">
      <w:bodyDiv w:val="1"/>
      <w:marLeft w:val="0"/>
      <w:marRight w:val="0"/>
      <w:marTop w:val="0"/>
      <w:marBottom w:val="0"/>
      <w:divBdr>
        <w:top w:val="none" w:sz="0" w:space="0" w:color="auto"/>
        <w:left w:val="none" w:sz="0" w:space="0" w:color="auto"/>
        <w:bottom w:val="none" w:sz="0" w:space="0" w:color="auto"/>
        <w:right w:val="none" w:sz="0" w:space="0" w:color="auto"/>
      </w:divBdr>
    </w:div>
    <w:div w:id="1687635575">
      <w:bodyDiv w:val="1"/>
      <w:marLeft w:val="0"/>
      <w:marRight w:val="0"/>
      <w:marTop w:val="0"/>
      <w:marBottom w:val="0"/>
      <w:divBdr>
        <w:top w:val="none" w:sz="0" w:space="0" w:color="auto"/>
        <w:left w:val="none" w:sz="0" w:space="0" w:color="auto"/>
        <w:bottom w:val="none" w:sz="0" w:space="0" w:color="auto"/>
        <w:right w:val="none" w:sz="0" w:space="0" w:color="auto"/>
      </w:divBdr>
    </w:div>
    <w:div w:id="1697390965">
      <w:bodyDiv w:val="1"/>
      <w:marLeft w:val="0"/>
      <w:marRight w:val="0"/>
      <w:marTop w:val="0"/>
      <w:marBottom w:val="0"/>
      <w:divBdr>
        <w:top w:val="none" w:sz="0" w:space="0" w:color="auto"/>
        <w:left w:val="none" w:sz="0" w:space="0" w:color="auto"/>
        <w:bottom w:val="none" w:sz="0" w:space="0" w:color="auto"/>
        <w:right w:val="none" w:sz="0" w:space="0" w:color="auto"/>
      </w:divBdr>
    </w:div>
    <w:div w:id="1697999083">
      <w:bodyDiv w:val="1"/>
      <w:marLeft w:val="0"/>
      <w:marRight w:val="0"/>
      <w:marTop w:val="0"/>
      <w:marBottom w:val="0"/>
      <w:divBdr>
        <w:top w:val="none" w:sz="0" w:space="0" w:color="auto"/>
        <w:left w:val="none" w:sz="0" w:space="0" w:color="auto"/>
        <w:bottom w:val="none" w:sz="0" w:space="0" w:color="auto"/>
        <w:right w:val="none" w:sz="0" w:space="0" w:color="auto"/>
      </w:divBdr>
    </w:div>
    <w:div w:id="1699044578">
      <w:bodyDiv w:val="1"/>
      <w:marLeft w:val="0"/>
      <w:marRight w:val="0"/>
      <w:marTop w:val="0"/>
      <w:marBottom w:val="0"/>
      <w:divBdr>
        <w:top w:val="none" w:sz="0" w:space="0" w:color="auto"/>
        <w:left w:val="none" w:sz="0" w:space="0" w:color="auto"/>
        <w:bottom w:val="none" w:sz="0" w:space="0" w:color="auto"/>
        <w:right w:val="none" w:sz="0" w:space="0" w:color="auto"/>
      </w:divBdr>
    </w:div>
    <w:div w:id="1708411884">
      <w:bodyDiv w:val="1"/>
      <w:marLeft w:val="0"/>
      <w:marRight w:val="0"/>
      <w:marTop w:val="0"/>
      <w:marBottom w:val="0"/>
      <w:divBdr>
        <w:top w:val="none" w:sz="0" w:space="0" w:color="auto"/>
        <w:left w:val="none" w:sz="0" w:space="0" w:color="auto"/>
        <w:bottom w:val="none" w:sz="0" w:space="0" w:color="auto"/>
        <w:right w:val="none" w:sz="0" w:space="0" w:color="auto"/>
      </w:divBdr>
    </w:div>
    <w:div w:id="1708917025">
      <w:bodyDiv w:val="1"/>
      <w:marLeft w:val="0"/>
      <w:marRight w:val="0"/>
      <w:marTop w:val="0"/>
      <w:marBottom w:val="0"/>
      <w:divBdr>
        <w:top w:val="none" w:sz="0" w:space="0" w:color="auto"/>
        <w:left w:val="none" w:sz="0" w:space="0" w:color="auto"/>
        <w:bottom w:val="none" w:sz="0" w:space="0" w:color="auto"/>
        <w:right w:val="none" w:sz="0" w:space="0" w:color="auto"/>
      </w:divBdr>
    </w:div>
    <w:div w:id="1710836315">
      <w:bodyDiv w:val="1"/>
      <w:marLeft w:val="0"/>
      <w:marRight w:val="0"/>
      <w:marTop w:val="0"/>
      <w:marBottom w:val="0"/>
      <w:divBdr>
        <w:top w:val="none" w:sz="0" w:space="0" w:color="auto"/>
        <w:left w:val="none" w:sz="0" w:space="0" w:color="auto"/>
        <w:bottom w:val="none" w:sz="0" w:space="0" w:color="auto"/>
        <w:right w:val="none" w:sz="0" w:space="0" w:color="auto"/>
      </w:divBdr>
    </w:div>
    <w:div w:id="1713916405">
      <w:bodyDiv w:val="1"/>
      <w:marLeft w:val="0"/>
      <w:marRight w:val="0"/>
      <w:marTop w:val="0"/>
      <w:marBottom w:val="0"/>
      <w:divBdr>
        <w:top w:val="none" w:sz="0" w:space="0" w:color="auto"/>
        <w:left w:val="none" w:sz="0" w:space="0" w:color="auto"/>
        <w:bottom w:val="none" w:sz="0" w:space="0" w:color="auto"/>
        <w:right w:val="none" w:sz="0" w:space="0" w:color="auto"/>
      </w:divBdr>
    </w:div>
    <w:div w:id="1726757698">
      <w:bodyDiv w:val="1"/>
      <w:marLeft w:val="0"/>
      <w:marRight w:val="0"/>
      <w:marTop w:val="0"/>
      <w:marBottom w:val="0"/>
      <w:divBdr>
        <w:top w:val="none" w:sz="0" w:space="0" w:color="auto"/>
        <w:left w:val="none" w:sz="0" w:space="0" w:color="auto"/>
        <w:bottom w:val="none" w:sz="0" w:space="0" w:color="auto"/>
        <w:right w:val="none" w:sz="0" w:space="0" w:color="auto"/>
      </w:divBdr>
    </w:div>
    <w:div w:id="1728675721">
      <w:bodyDiv w:val="1"/>
      <w:marLeft w:val="0"/>
      <w:marRight w:val="0"/>
      <w:marTop w:val="0"/>
      <w:marBottom w:val="0"/>
      <w:divBdr>
        <w:top w:val="none" w:sz="0" w:space="0" w:color="auto"/>
        <w:left w:val="none" w:sz="0" w:space="0" w:color="auto"/>
        <w:bottom w:val="none" w:sz="0" w:space="0" w:color="auto"/>
        <w:right w:val="none" w:sz="0" w:space="0" w:color="auto"/>
      </w:divBdr>
    </w:div>
    <w:div w:id="1747217389">
      <w:bodyDiv w:val="1"/>
      <w:marLeft w:val="0"/>
      <w:marRight w:val="0"/>
      <w:marTop w:val="0"/>
      <w:marBottom w:val="0"/>
      <w:divBdr>
        <w:top w:val="none" w:sz="0" w:space="0" w:color="auto"/>
        <w:left w:val="none" w:sz="0" w:space="0" w:color="auto"/>
        <w:bottom w:val="none" w:sz="0" w:space="0" w:color="auto"/>
        <w:right w:val="none" w:sz="0" w:space="0" w:color="auto"/>
      </w:divBdr>
    </w:div>
    <w:div w:id="1748188765">
      <w:bodyDiv w:val="1"/>
      <w:marLeft w:val="0"/>
      <w:marRight w:val="0"/>
      <w:marTop w:val="0"/>
      <w:marBottom w:val="0"/>
      <w:divBdr>
        <w:top w:val="none" w:sz="0" w:space="0" w:color="auto"/>
        <w:left w:val="none" w:sz="0" w:space="0" w:color="auto"/>
        <w:bottom w:val="none" w:sz="0" w:space="0" w:color="auto"/>
        <w:right w:val="none" w:sz="0" w:space="0" w:color="auto"/>
      </w:divBdr>
    </w:div>
    <w:div w:id="1759474822">
      <w:bodyDiv w:val="1"/>
      <w:marLeft w:val="0"/>
      <w:marRight w:val="0"/>
      <w:marTop w:val="0"/>
      <w:marBottom w:val="0"/>
      <w:divBdr>
        <w:top w:val="none" w:sz="0" w:space="0" w:color="auto"/>
        <w:left w:val="none" w:sz="0" w:space="0" w:color="auto"/>
        <w:bottom w:val="none" w:sz="0" w:space="0" w:color="auto"/>
        <w:right w:val="none" w:sz="0" w:space="0" w:color="auto"/>
      </w:divBdr>
    </w:div>
    <w:div w:id="1761101735">
      <w:bodyDiv w:val="1"/>
      <w:marLeft w:val="0"/>
      <w:marRight w:val="0"/>
      <w:marTop w:val="0"/>
      <w:marBottom w:val="0"/>
      <w:divBdr>
        <w:top w:val="none" w:sz="0" w:space="0" w:color="auto"/>
        <w:left w:val="none" w:sz="0" w:space="0" w:color="auto"/>
        <w:bottom w:val="none" w:sz="0" w:space="0" w:color="auto"/>
        <w:right w:val="none" w:sz="0" w:space="0" w:color="auto"/>
      </w:divBdr>
    </w:div>
    <w:div w:id="1764913900">
      <w:bodyDiv w:val="1"/>
      <w:marLeft w:val="0"/>
      <w:marRight w:val="0"/>
      <w:marTop w:val="0"/>
      <w:marBottom w:val="0"/>
      <w:divBdr>
        <w:top w:val="none" w:sz="0" w:space="0" w:color="auto"/>
        <w:left w:val="none" w:sz="0" w:space="0" w:color="auto"/>
        <w:bottom w:val="none" w:sz="0" w:space="0" w:color="auto"/>
        <w:right w:val="none" w:sz="0" w:space="0" w:color="auto"/>
      </w:divBdr>
    </w:div>
    <w:div w:id="1764959362">
      <w:bodyDiv w:val="1"/>
      <w:marLeft w:val="0"/>
      <w:marRight w:val="0"/>
      <w:marTop w:val="0"/>
      <w:marBottom w:val="0"/>
      <w:divBdr>
        <w:top w:val="none" w:sz="0" w:space="0" w:color="auto"/>
        <w:left w:val="none" w:sz="0" w:space="0" w:color="auto"/>
        <w:bottom w:val="none" w:sz="0" w:space="0" w:color="auto"/>
        <w:right w:val="none" w:sz="0" w:space="0" w:color="auto"/>
      </w:divBdr>
    </w:div>
    <w:div w:id="1765760036">
      <w:bodyDiv w:val="1"/>
      <w:marLeft w:val="0"/>
      <w:marRight w:val="0"/>
      <w:marTop w:val="0"/>
      <w:marBottom w:val="0"/>
      <w:divBdr>
        <w:top w:val="none" w:sz="0" w:space="0" w:color="auto"/>
        <w:left w:val="none" w:sz="0" w:space="0" w:color="auto"/>
        <w:bottom w:val="none" w:sz="0" w:space="0" w:color="auto"/>
        <w:right w:val="none" w:sz="0" w:space="0" w:color="auto"/>
      </w:divBdr>
    </w:div>
    <w:div w:id="1772700092">
      <w:bodyDiv w:val="1"/>
      <w:marLeft w:val="0"/>
      <w:marRight w:val="0"/>
      <w:marTop w:val="0"/>
      <w:marBottom w:val="0"/>
      <w:divBdr>
        <w:top w:val="none" w:sz="0" w:space="0" w:color="auto"/>
        <w:left w:val="none" w:sz="0" w:space="0" w:color="auto"/>
        <w:bottom w:val="none" w:sz="0" w:space="0" w:color="auto"/>
        <w:right w:val="none" w:sz="0" w:space="0" w:color="auto"/>
      </w:divBdr>
    </w:div>
    <w:div w:id="1799953581">
      <w:bodyDiv w:val="1"/>
      <w:marLeft w:val="0"/>
      <w:marRight w:val="0"/>
      <w:marTop w:val="0"/>
      <w:marBottom w:val="0"/>
      <w:divBdr>
        <w:top w:val="none" w:sz="0" w:space="0" w:color="auto"/>
        <w:left w:val="none" w:sz="0" w:space="0" w:color="auto"/>
        <w:bottom w:val="none" w:sz="0" w:space="0" w:color="auto"/>
        <w:right w:val="none" w:sz="0" w:space="0" w:color="auto"/>
      </w:divBdr>
    </w:div>
    <w:div w:id="1803571095">
      <w:bodyDiv w:val="1"/>
      <w:marLeft w:val="0"/>
      <w:marRight w:val="0"/>
      <w:marTop w:val="0"/>
      <w:marBottom w:val="0"/>
      <w:divBdr>
        <w:top w:val="none" w:sz="0" w:space="0" w:color="auto"/>
        <w:left w:val="none" w:sz="0" w:space="0" w:color="auto"/>
        <w:bottom w:val="none" w:sz="0" w:space="0" w:color="auto"/>
        <w:right w:val="none" w:sz="0" w:space="0" w:color="auto"/>
      </w:divBdr>
    </w:div>
    <w:div w:id="1804808526">
      <w:bodyDiv w:val="1"/>
      <w:marLeft w:val="0"/>
      <w:marRight w:val="0"/>
      <w:marTop w:val="0"/>
      <w:marBottom w:val="0"/>
      <w:divBdr>
        <w:top w:val="none" w:sz="0" w:space="0" w:color="auto"/>
        <w:left w:val="none" w:sz="0" w:space="0" w:color="auto"/>
        <w:bottom w:val="none" w:sz="0" w:space="0" w:color="auto"/>
        <w:right w:val="none" w:sz="0" w:space="0" w:color="auto"/>
      </w:divBdr>
    </w:div>
    <w:div w:id="1805656964">
      <w:bodyDiv w:val="1"/>
      <w:marLeft w:val="0"/>
      <w:marRight w:val="0"/>
      <w:marTop w:val="0"/>
      <w:marBottom w:val="0"/>
      <w:divBdr>
        <w:top w:val="none" w:sz="0" w:space="0" w:color="auto"/>
        <w:left w:val="none" w:sz="0" w:space="0" w:color="auto"/>
        <w:bottom w:val="none" w:sz="0" w:space="0" w:color="auto"/>
        <w:right w:val="none" w:sz="0" w:space="0" w:color="auto"/>
      </w:divBdr>
    </w:div>
    <w:div w:id="1809400128">
      <w:bodyDiv w:val="1"/>
      <w:marLeft w:val="0"/>
      <w:marRight w:val="0"/>
      <w:marTop w:val="0"/>
      <w:marBottom w:val="0"/>
      <w:divBdr>
        <w:top w:val="none" w:sz="0" w:space="0" w:color="auto"/>
        <w:left w:val="none" w:sz="0" w:space="0" w:color="auto"/>
        <w:bottom w:val="none" w:sz="0" w:space="0" w:color="auto"/>
        <w:right w:val="none" w:sz="0" w:space="0" w:color="auto"/>
      </w:divBdr>
    </w:div>
    <w:div w:id="1810442571">
      <w:bodyDiv w:val="1"/>
      <w:marLeft w:val="0"/>
      <w:marRight w:val="0"/>
      <w:marTop w:val="0"/>
      <w:marBottom w:val="0"/>
      <w:divBdr>
        <w:top w:val="none" w:sz="0" w:space="0" w:color="auto"/>
        <w:left w:val="none" w:sz="0" w:space="0" w:color="auto"/>
        <w:bottom w:val="none" w:sz="0" w:space="0" w:color="auto"/>
        <w:right w:val="none" w:sz="0" w:space="0" w:color="auto"/>
      </w:divBdr>
    </w:div>
    <w:div w:id="1821461164">
      <w:bodyDiv w:val="1"/>
      <w:marLeft w:val="0"/>
      <w:marRight w:val="0"/>
      <w:marTop w:val="0"/>
      <w:marBottom w:val="0"/>
      <w:divBdr>
        <w:top w:val="none" w:sz="0" w:space="0" w:color="auto"/>
        <w:left w:val="none" w:sz="0" w:space="0" w:color="auto"/>
        <w:bottom w:val="none" w:sz="0" w:space="0" w:color="auto"/>
        <w:right w:val="none" w:sz="0" w:space="0" w:color="auto"/>
      </w:divBdr>
    </w:div>
    <w:div w:id="1823346939">
      <w:bodyDiv w:val="1"/>
      <w:marLeft w:val="0"/>
      <w:marRight w:val="0"/>
      <w:marTop w:val="0"/>
      <w:marBottom w:val="0"/>
      <w:divBdr>
        <w:top w:val="none" w:sz="0" w:space="0" w:color="auto"/>
        <w:left w:val="none" w:sz="0" w:space="0" w:color="auto"/>
        <w:bottom w:val="none" w:sz="0" w:space="0" w:color="auto"/>
        <w:right w:val="none" w:sz="0" w:space="0" w:color="auto"/>
      </w:divBdr>
    </w:div>
    <w:div w:id="1825658454">
      <w:bodyDiv w:val="1"/>
      <w:marLeft w:val="0"/>
      <w:marRight w:val="0"/>
      <w:marTop w:val="0"/>
      <w:marBottom w:val="0"/>
      <w:divBdr>
        <w:top w:val="none" w:sz="0" w:space="0" w:color="auto"/>
        <w:left w:val="none" w:sz="0" w:space="0" w:color="auto"/>
        <w:bottom w:val="none" w:sz="0" w:space="0" w:color="auto"/>
        <w:right w:val="none" w:sz="0" w:space="0" w:color="auto"/>
      </w:divBdr>
    </w:div>
    <w:div w:id="1827357775">
      <w:bodyDiv w:val="1"/>
      <w:marLeft w:val="0"/>
      <w:marRight w:val="0"/>
      <w:marTop w:val="0"/>
      <w:marBottom w:val="0"/>
      <w:divBdr>
        <w:top w:val="none" w:sz="0" w:space="0" w:color="auto"/>
        <w:left w:val="none" w:sz="0" w:space="0" w:color="auto"/>
        <w:bottom w:val="none" w:sz="0" w:space="0" w:color="auto"/>
        <w:right w:val="none" w:sz="0" w:space="0" w:color="auto"/>
      </w:divBdr>
    </w:div>
    <w:div w:id="1828747265">
      <w:bodyDiv w:val="1"/>
      <w:marLeft w:val="0"/>
      <w:marRight w:val="0"/>
      <w:marTop w:val="0"/>
      <w:marBottom w:val="0"/>
      <w:divBdr>
        <w:top w:val="none" w:sz="0" w:space="0" w:color="auto"/>
        <w:left w:val="none" w:sz="0" w:space="0" w:color="auto"/>
        <w:bottom w:val="none" w:sz="0" w:space="0" w:color="auto"/>
        <w:right w:val="none" w:sz="0" w:space="0" w:color="auto"/>
      </w:divBdr>
    </w:div>
    <w:div w:id="1844468125">
      <w:bodyDiv w:val="1"/>
      <w:marLeft w:val="0"/>
      <w:marRight w:val="0"/>
      <w:marTop w:val="0"/>
      <w:marBottom w:val="0"/>
      <w:divBdr>
        <w:top w:val="none" w:sz="0" w:space="0" w:color="auto"/>
        <w:left w:val="none" w:sz="0" w:space="0" w:color="auto"/>
        <w:bottom w:val="none" w:sz="0" w:space="0" w:color="auto"/>
        <w:right w:val="none" w:sz="0" w:space="0" w:color="auto"/>
      </w:divBdr>
    </w:div>
    <w:div w:id="1847553301">
      <w:bodyDiv w:val="1"/>
      <w:marLeft w:val="0"/>
      <w:marRight w:val="0"/>
      <w:marTop w:val="0"/>
      <w:marBottom w:val="0"/>
      <w:divBdr>
        <w:top w:val="none" w:sz="0" w:space="0" w:color="auto"/>
        <w:left w:val="none" w:sz="0" w:space="0" w:color="auto"/>
        <w:bottom w:val="none" w:sz="0" w:space="0" w:color="auto"/>
        <w:right w:val="none" w:sz="0" w:space="0" w:color="auto"/>
      </w:divBdr>
    </w:div>
    <w:div w:id="1876037453">
      <w:bodyDiv w:val="1"/>
      <w:marLeft w:val="0"/>
      <w:marRight w:val="0"/>
      <w:marTop w:val="0"/>
      <w:marBottom w:val="0"/>
      <w:divBdr>
        <w:top w:val="none" w:sz="0" w:space="0" w:color="auto"/>
        <w:left w:val="none" w:sz="0" w:space="0" w:color="auto"/>
        <w:bottom w:val="none" w:sz="0" w:space="0" w:color="auto"/>
        <w:right w:val="none" w:sz="0" w:space="0" w:color="auto"/>
      </w:divBdr>
    </w:div>
    <w:div w:id="1882399860">
      <w:bodyDiv w:val="1"/>
      <w:marLeft w:val="0"/>
      <w:marRight w:val="0"/>
      <w:marTop w:val="0"/>
      <w:marBottom w:val="0"/>
      <w:divBdr>
        <w:top w:val="none" w:sz="0" w:space="0" w:color="auto"/>
        <w:left w:val="none" w:sz="0" w:space="0" w:color="auto"/>
        <w:bottom w:val="none" w:sz="0" w:space="0" w:color="auto"/>
        <w:right w:val="none" w:sz="0" w:space="0" w:color="auto"/>
      </w:divBdr>
    </w:div>
    <w:div w:id="1883324880">
      <w:bodyDiv w:val="1"/>
      <w:marLeft w:val="0"/>
      <w:marRight w:val="0"/>
      <w:marTop w:val="0"/>
      <w:marBottom w:val="0"/>
      <w:divBdr>
        <w:top w:val="none" w:sz="0" w:space="0" w:color="auto"/>
        <w:left w:val="none" w:sz="0" w:space="0" w:color="auto"/>
        <w:bottom w:val="none" w:sz="0" w:space="0" w:color="auto"/>
        <w:right w:val="none" w:sz="0" w:space="0" w:color="auto"/>
      </w:divBdr>
    </w:div>
    <w:div w:id="1892883521">
      <w:bodyDiv w:val="1"/>
      <w:marLeft w:val="0"/>
      <w:marRight w:val="0"/>
      <w:marTop w:val="0"/>
      <w:marBottom w:val="0"/>
      <w:divBdr>
        <w:top w:val="none" w:sz="0" w:space="0" w:color="auto"/>
        <w:left w:val="none" w:sz="0" w:space="0" w:color="auto"/>
        <w:bottom w:val="none" w:sz="0" w:space="0" w:color="auto"/>
        <w:right w:val="none" w:sz="0" w:space="0" w:color="auto"/>
      </w:divBdr>
    </w:div>
    <w:div w:id="1896969123">
      <w:bodyDiv w:val="1"/>
      <w:marLeft w:val="0"/>
      <w:marRight w:val="0"/>
      <w:marTop w:val="0"/>
      <w:marBottom w:val="0"/>
      <w:divBdr>
        <w:top w:val="none" w:sz="0" w:space="0" w:color="auto"/>
        <w:left w:val="none" w:sz="0" w:space="0" w:color="auto"/>
        <w:bottom w:val="none" w:sz="0" w:space="0" w:color="auto"/>
        <w:right w:val="none" w:sz="0" w:space="0" w:color="auto"/>
      </w:divBdr>
    </w:div>
    <w:div w:id="1897202606">
      <w:bodyDiv w:val="1"/>
      <w:marLeft w:val="0"/>
      <w:marRight w:val="0"/>
      <w:marTop w:val="0"/>
      <w:marBottom w:val="0"/>
      <w:divBdr>
        <w:top w:val="none" w:sz="0" w:space="0" w:color="auto"/>
        <w:left w:val="none" w:sz="0" w:space="0" w:color="auto"/>
        <w:bottom w:val="none" w:sz="0" w:space="0" w:color="auto"/>
        <w:right w:val="none" w:sz="0" w:space="0" w:color="auto"/>
      </w:divBdr>
    </w:div>
    <w:div w:id="1900481880">
      <w:bodyDiv w:val="1"/>
      <w:marLeft w:val="0"/>
      <w:marRight w:val="0"/>
      <w:marTop w:val="0"/>
      <w:marBottom w:val="0"/>
      <w:divBdr>
        <w:top w:val="none" w:sz="0" w:space="0" w:color="auto"/>
        <w:left w:val="none" w:sz="0" w:space="0" w:color="auto"/>
        <w:bottom w:val="none" w:sz="0" w:space="0" w:color="auto"/>
        <w:right w:val="none" w:sz="0" w:space="0" w:color="auto"/>
      </w:divBdr>
    </w:div>
    <w:div w:id="1910001291">
      <w:bodyDiv w:val="1"/>
      <w:marLeft w:val="0"/>
      <w:marRight w:val="0"/>
      <w:marTop w:val="0"/>
      <w:marBottom w:val="0"/>
      <w:divBdr>
        <w:top w:val="none" w:sz="0" w:space="0" w:color="auto"/>
        <w:left w:val="none" w:sz="0" w:space="0" w:color="auto"/>
        <w:bottom w:val="none" w:sz="0" w:space="0" w:color="auto"/>
        <w:right w:val="none" w:sz="0" w:space="0" w:color="auto"/>
      </w:divBdr>
    </w:div>
    <w:div w:id="1910340035">
      <w:bodyDiv w:val="1"/>
      <w:marLeft w:val="0"/>
      <w:marRight w:val="0"/>
      <w:marTop w:val="0"/>
      <w:marBottom w:val="0"/>
      <w:divBdr>
        <w:top w:val="none" w:sz="0" w:space="0" w:color="auto"/>
        <w:left w:val="none" w:sz="0" w:space="0" w:color="auto"/>
        <w:bottom w:val="none" w:sz="0" w:space="0" w:color="auto"/>
        <w:right w:val="none" w:sz="0" w:space="0" w:color="auto"/>
      </w:divBdr>
    </w:div>
    <w:div w:id="1911383084">
      <w:bodyDiv w:val="1"/>
      <w:marLeft w:val="0"/>
      <w:marRight w:val="0"/>
      <w:marTop w:val="0"/>
      <w:marBottom w:val="0"/>
      <w:divBdr>
        <w:top w:val="none" w:sz="0" w:space="0" w:color="auto"/>
        <w:left w:val="none" w:sz="0" w:space="0" w:color="auto"/>
        <w:bottom w:val="none" w:sz="0" w:space="0" w:color="auto"/>
        <w:right w:val="none" w:sz="0" w:space="0" w:color="auto"/>
      </w:divBdr>
    </w:div>
    <w:div w:id="1915050245">
      <w:bodyDiv w:val="1"/>
      <w:marLeft w:val="0"/>
      <w:marRight w:val="0"/>
      <w:marTop w:val="0"/>
      <w:marBottom w:val="0"/>
      <w:divBdr>
        <w:top w:val="none" w:sz="0" w:space="0" w:color="auto"/>
        <w:left w:val="none" w:sz="0" w:space="0" w:color="auto"/>
        <w:bottom w:val="none" w:sz="0" w:space="0" w:color="auto"/>
        <w:right w:val="none" w:sz="0" w:space="0" w:color="auto"/>
      </w:divBdr>
    </w:div>
    <w:div w:id="1921214911">
      <w:bodyDiv w:val="1"/>
      <w:marLeft w:val="0"/>
      <w:marRight w:val="0"/>
      <w:marTop w:val="0"/>
      <w:marBottom w:val="0"/>
      <w:divBdr>
        <w:top w:val="none" w:sz="0" w:space="0" w:color="auto"/>
        <w:left w:val="none" w:sz="0" w:space="0" w:color="auto"/>
        <w:bottom w:val="none" w:sz="0" w:space="0" w:color="auto"/>
        <w:right w:val="none" w:sz="0" w:space="0" w:color="auto"/>
      </w:divBdr>
    </w:div>
    <w:div w:id="1934360919">
      <w:bodyDiv w:val="1"/>
      <w:marLeft w:val="0"/>
      <w:marRight w:val="0"/>
      <w:marTop w:val="0"/>
      <w:marBottom w:val="0"/>
      <w:divBdr>
        <w:top w:val="none" w:sz="0" w:space="0" w:color="auto"/>
        <w:left w:val="none" w:sz="0" w:space="0" w:color="auto"/>
        <w:bottom w:val="none" w:sz="0" w:space="0" w:color="auto"/>
        <w:right w:val="none" w:sz="0" w:space="0" w:color="auto"/>
      </w:divBdr>
    </w:div>
    <w:div w:id="1952977896">
      <w:bodyDiv w:val="1"/>
      <w:marLeft w:val="0"/>
      <w:marRight w:val="0"/>
      <w:marTop w:val="0"/>
      <w:marBottom w:val="0"/>
      <w:divBdr>
        <w:top w:val="none" w:sz="0" w:space="0" w:color="auto"/>
        <w:left w:val="none" w:sz="0" w:space="0" w:color="auto"/>
        <w:bottom w:val="none" w:sz="0" w:space="0" w:color="auto"/>
        <w:right w:val="none" w:sz="0" w:space="0" w:color="auto"/>
      </w:divBdr>
    </w:div>
    <w:div w:id="1960262290">
      <w:bodyDiv w:val="1"/>
      <w:marLeft w:val="0"/>
      <w:marRight w:val="0"/>
      <w:marTop w:val="0"/>
      <w:marBottom w:val="0"/>
      <w:divBdr>
        <w:top w:val="none" w:sz="0" w:space="0" w:color="auto"/>
        <w:left w:val="none" w:sz="0" w:space="0" w:color="auto"/>
        <w:bottom w:val="none" w:sz="0" w:space="0" w:color="auto"/>
        <w:right w:val="none" w:sz="0" w:space="0" w:color="auto"/>
      </w:divBdr>
    </w:div>
    <w:div w:id="1960837957">
      <w:bodyDiv w:val="1"/>
      <w:marLeft w:val="0"/>
      <w:marRight w:val="0"/>
      <w:marTop w:val="0"/>
      <w:marBottom w:val="0"/>
      <w:divBdr>
        <w:top w:val="none" w:sz="0" w:space="0" w:color="auto"/>
        <w:left w:val="none" w:sz="0" w:space="0" w:color="auto"/>
        <w:bottom w:val="none" w:sz="0" w:space="0" w:color="auto"/>
        <w:right w:val="none" w:sz="0" w:space="0" w:color="auto"/>
      </w:divBdr>
    </w:div>
    <w:div w:id="1963271305">
      <w:bodyDiv w:val="1"/>
      <w:marLeft w:val="0"/>
      <w:marRight w:val="0"/>
      <w:marTop w:val="0"/>
      <w:marBottom w:val="0"/>
      <w:divBdr>
        <w:top w:val="none" w:sz="0" w:space="0" w:color="auto"/>
        <w:left w:val="none" w:sz="0" w:space="0" w:color="auto"/>
        <w:bottom w:val="none" w:sz="0" w:space="0" w:color="auto"/>
        <w:right w:val="none" w:sz="0" w:space="0" w:color="auto"/>
      </w:divBdr>
    </w:div>
    <w:div w:id="1965771477">
      <w:bodyDiv w:val="1"/>
      <w:marLeft w:val="0"/>
      <w:marRight w:val="0"/>
      <w:marTop w:val="0"/>
      <w:marBottom w:val="0"/>
      <w:divBdr>
        <w:top w:val="none" w:sz="0" w:space="0" w:color="auto"/>
        <w:left w:val="none" w:sz="0" w:space="0" w:color="auto"/>
        <w:bottom w:val="none" w:sz="0" w:space="0" w:color="auto"/>
        <w:right w:val="none" w:sz="0" w:space="0" w:color="auto"/>
      </w:divBdr>
    </w:div>
    <w:div w:id="1971738799">
      <w:bodyDiv w:val="1"/>
      <w:marLeft w:val="0"/>
      <w:marRight w:val="0"/>
      <w:marTop w:val="0"/>
      <w:marBottom w:val="0"/>
      <w:divBdr>
        <w:top w:val="none" w:sz="0" w:space="0" w:color="auto"/>
        <w:left w:val="none" w:sz="0" w:space="0" w:color="auto"/>
        <w:bottom w:val="none" w:sz="0" w:space="0" w:color="auto"/>
        <w:right w:val="none" w:sz="0" w:space="0" w:color="auto"/>
      </w:divBdr>
    </w:div>
    <w:div w:id="1973173022">
      <w:bodyDiv w:val="1"/>
      <w:marLeft w:val="0"/>
      <w:marRight w:val="0"/>
      <w:marTop w:val="0"/>
      <w:marBottom w:val="0"/>
      <w:divBdr>
        <w:top w:val="none" w:sz="0" w:space="0" w:color="auto"/>
        <w:left w:val="none" w:sz="0" w:space="0" w:color="auto"/>
        <w:bottom w:val="none" w:sz="0" w:space="0" w:color="auto"/>
        <w:right w:val="none" w:sz="0" w:space="0" w:color="auto"/>
      </w:divBdr>
    </w:div>
    <w:div w:id="1975869550">
      <w:bodyDiv w:val="1"/>
      <w:marLeft w:val="0"/>
      <w:marRight w:val="0"/>
      <w:marTop w:val="0"/>
      <w:marBottom w:val="0"/>
      <w:divBdr>
        <w:top w:val="none" w:sz="0" w:space="0" w:color="auto"/>
        <w:left w:val="none" w:sz="0" w:space="0" w:color="auto"/>
        <w:bottom w:val="none" w:sz="0" w:space="0" w:color="auto"/>
        <w:right w:val="none" w:sz="0" w:space="0" w:color="auto"/>
      </w:divBdr>
    </w:div>
    <w:div w:id="1983266281">
      <w:bodyDiv w:val="1"/>
      <w:marLeft w:val="0"/>
      <w:marRight w:val="0"/>
      <w:marTop w:val="0"/>
      <w:marBottom w:val="0"/>
      <w:divBdr>
        <w:top w:val="none" w:sz="0" w:space="0" w:color="auto"/>
        <w:left w:val="none" w:sz="0" w:space="0" w:color="auto"/>
        <w:bottom w:val="none" w:sz="0" w:space="0" w:color="auto"/>
        <w:right w:val="none" w:sz="0" w:space="0" w:color="auto"/>
      </w:divBdr>
    </w:div>
    <w:div w:id="1989354704">
      <w:bodyDiv w:val="1"/>
      <w:marLeft w:val="0"/>
      <w:marRight w:val="0"/>
      <w:marTop w:val="0"/>
      <w:marBottom w:val="0"/>
      <w:divBdr>
        <w:top w:val="none" w:sz="0" w:space="0" w:color="auto"/>
        <w:left w:val="none" w:sz="0" w:space="0" w:color="auto"/>
        <w:bottom w:val="none" w:sz="0" w:space="0" w:color="auto"/>
        <w:right w:val="none" w:sz="0" w:space="0" w:color="auto"/>
      </w:divBdr>
    </w:div>
    <w:div w:id="1997371945">
      <w:bodyDiv w:val="1"/>
      <w:marLeft w:val="0"/>
      <w:marRight w:val="0"/>
      <w:marTop w:val="0"/>
      <w:marBottom w:val="0"/>
      <w:divBdr>
        <w:top w:val="none" w:sz="0" w:space="0" w:color="auto"/>
        <w:left w:val="none" w:sz="0" w:space="0" w:color="auto"/>
        <w:bottom w:val="none" w:sz="0" w:space="0" w:color="auto"/>
        <w:right w:val="none" w:sz="0" w:space="0" w:color="auto"/>
      </w:divBdr>
    </w:div>
    <w:div w:id="2003004090">
      <w:bodyDiv w:val="1"/>
      <w:marLeft w:val="0"/>
      <w:marRight w:val="0"/>
      <w:marTop w:val="0"/>
      <w:marBottom w:val="0"/>
      <w:divBdr>
        <w:top w:val="none" w:sz="0" w:space="0" w:color="auto"/>
        <w:left w:val="none" w:sz="0" w:space="0" w:color="auto"/>
        <w:bottom w:val="none" w:sz="0" w:space="0" w:color="auto"/>
        <w:right w:val="none" w:sz="0" w:space="0" w:color="auto"/>
      </w:divBdr>
    </w:div>
    <w:div w:id="2014408351">
      <w:bodyDiv w:val="1"/>
      <w:marLeft w:val="0"/>
      <w:marRight w:val="0"/>
      <w:marTop w:val="0"/>
      <w:marBottom w:val="0"/>
      <w:divBdr>
        <w:top w:val="none" w:sz="0" w:space="0" w:color="auto"/>
        <w:left w:val="none" w:sz="0" w:space="0" w:color="auto"/>
        <w:bottom w:val="none" w:sz="0" w:space="0" w:color="auto"/>
        <w:right w:val="none" w:sz="0" w:space="0" w:color="auto"/>
      </w:divBdr>
    </w:div>
    <w:div w:id="2020233922">
      <w:bodyDiv w:val="1"/>
      <w:marLeft w:val="0"/>
      <w:marRight w:val="0"/>
      <w:marTop w:val="0"/>
      <w:marBottom w:val="0"/>
      <w:divBdr>
        <w:top w:val="none" w:sz="0" w:space="0" w:color="auto"/>
        <w:left w:val="none" w:sz="0" w:space="0" w:color="auto"/>
        <w:bottom w:val="none" w:sz="0" w:space="0" w:color="auto"/>
        <w:right w:val="none" w:sz="0" w:space="0" w:color="auto"/>
      </w:divBdr>
    </w:div>
    <w:div w:id="2022777365">
      <w:bodyDiv w:val="1"/>
      <w:marLeft w:val="0"/>
      <w:marRight w:val="0"/>
      <w:marTop w:val="0"/>
      <w:marBottom w:val="0"/>
      <w:divBdr>
        <w:top w:val="none" w:sz="0" w:space="0" w:color="auto"/>
        <w:left w:val="none" w:sz="0" w:space="0" w:color="auto"/>
        <w:bottom w:val="none" w:sz="0" w:space="0" w:color="auto"/>
        <w:right w:val="none" w:sz="0" w:space="0" w:color="auto"/>
      </w:divBdr>
    </w:div>
    <w:div w:id="2029208082">
      <w:bodyDiv w:val="1"/>
      <w:marLeft w:val="0"/>
      <w:marRight w:val="0"/>
      <w:marTop w:val="0"/>
      <w:marBottom w:val="0"/>
      <w:divBdr>
        <w:top w:val="none" w:sz="0" w:space="0" w:color="auto"/>
        <w:left w:val="none" w:sz="0" w:space="0" w:color="auto"/>
        <w:bottom w:val="none" w:sz="0" w:space="0" w:color="auto"/>
        <w:right w:val="none" w:sz="0" w:space="0" w:color="auto"/>
      </w:divBdr>
    </w:div>
    <w:div w:id="2029940440">
      <w:bodyDiv w:val="1"/>
      <w:marLeft w:val="0"/>
      <w:marRight w:val="0"/>
      <w:marTop w:val="0"/>
      <w:marBottom w:val="0"/>
      <w:divBdr>
        <w:top w:val="none" w:sz="0" w:space="0" w:color="auto"/>
        <w:left w:val="none" w:sz="0" w:space="0" w:color="auto"/>
        <w:bottom w:val="none" w:sz="0" w:space="0" w:color="auto"/>
        <w:right w:val="none" w:sz="0" w:space="0" w:color="auto"/>
      </w:divBdr>
    </w:div>
    <w:div w:id="2030402798">
      <w:bodyDiv w:val="1"/>
      <w:marLeft w:val="0"/>
      <w:marRight w:val="0"/>
      <w:marTop w:val="0"/>
      <w:marBottom w:val="0"/>
      <w:divBdr>
        <w:top w:val="none" w:sz="0" w:space="0" w:color="auto"/>
        <w:left w:val="none" w:sz="0" w:space="0" w:color="auto"/>
        <w:bottom w:val="none" w:sz="0" w:space="0" w:color="auto"/>
        <w:right w:val="none" w:sz="0" w:space="0" w:color="auto"/>
      </w:divBdr>
    </w:div>
    <w:div w:id="2030834025">
      <w:bodyDiv w:val="1"/>
      <w:marLeft w:val="0"/>
      <w:marRight w:val="0"/>
      <w:marTop w:val="0"/>
      <w:marBottom w:val="0"/>
      <w:divBdr>
        <w:top w:val="none" w:sz="0" w:space="0" w:color="auto"/>
        <w:left w:val="none" w:sz="0" w:space="0" w:color="auto"/>
        <w:bottom w:val="none" w:sz="0" w:space="0" w:color="auto"/>
        <w:right w:val="none" w:sz="0" w:space="0" w:color="auto"/>
      </w:divBdr>
    </w:div>
    <w:div w:id="2035957514">
      <w:bodyDiv w:val="1"/>
      <w:marLeft w:val="0"/>
      <w:marRight w:val="0"/>
      <w:marTop w:val="0"/>
      <w:marBottom w:val="0"/>
      <w:divBdr>
        <w:top w:val="none" w:sz="0" w:space="0" w:color="auto"/>
        <w:left w:val="none" w:sz="0" w:space="0" w:color="auto"/>
        <w:bottom w:val="none" w:sz="0" w:space="0" w:color="auto"/>
        <w:right w:val="none" w:sz="0" w:space="0" w:color="auto"/>
      </w:divBdr>
    </w:div>
    <w:div w:id="2036735732">
      <w:bodyDiv w:val="1"/>
      <w:marLeft w:val="0"/>
      <w:marRight w:val="0"/>
      <w:marTop w:val="0"/>
      <w:marBottom w:val="0"/>
      <w:divBdr>
        <w:top w:val="none" w:sz="0" w:space="0" w:color="auto"/>
        <w:left w:val="none" w:sz="0" w:space="0" w:color="auto"/>
        <w:bottom w:val="none" w:sz="0" w:space="0" w:color="auto"/>
        <w:right w:val="none" w:sz="0" w:space="0" w:color="auto"/>
      </w:divBdr>
    </w:div>
    <w:div w:id="2045057931">
      <w:bodyDiv w:val="1"/>
      <w:marLeft w:val="0"/>
      <w:marRight w:val="0"/>
      <w:marTop w:val="0"/>
      <w:marBottom w:val="0"/>
      <w:divBdr>
        <w:top w:val="none" w:sz="0" w:space="0" w:color="auto"/>
        <w:left w:val="none" w:sz="0" w:space="0" w:color="auto"/>
        <w:bottom w:val="none" w:sz="0" w:space="0" w:color="auto"/>
        <w:right w:val="none" w:sz="0" w:space="0" w:color="auto"/>
      </w:divBdr>
    </w:div>
    <w:div w:id="2045130008">
      <w:bodyDiv w:val="1"/>
      <w:marLeft w:val="0"/>
      <w:marRight w:val="0"/>
      <w:marTop w:val="0"/>
      <w:marBottom w:val="0"/>
      <w:divBdr>
        <w:top w:val="none" w:sz="0" w:space="0" w:color="auto"/>
        <w:left w:val="none" w:sz="0" w:space="0" w:color="auto"/>
        <w:bottom w:val="none" w:sz="0" w:space="0" w:color="auto"/>
        <w:right w:val="none" w:sz="0" w:space="0" w:color="auto"/>
      </w:divBdr>
    </w:div>
    <w:div w:id="2049908327">
      <w:bodyDiv w:val="1"/>
      <w:marLeft w:val="0"/>
      <w:marRight w:val="0"/>
      <w:marTop w:val="0"/>
      <w:marBottom w:val="0"/>
      <w:divBdr>
        <w:top w:val="none" w:sz="0" w:space="0" w:color="auto"/>
        <w:left w:val="none" w:sz="0" w:space="0" w:color="auto"/>
        <w:bottom w:val="none" w:sz="0" w:space="0" w:color="auto"/>
        <w:right w:val="none" w:sz="0" w:space="0" w:color="auto"/>
      </w:divBdr>
    </w:div>
    <w:div w:id="2063362979">
      <w:bodyDiv w:val="1"/>
      <w:marLeft w:val="0"/>
      <w:marRight w:val="0"/>
      <w:marTop w:val="0"/>
      <w:marBottom w:val="0"/>
      <w:divBdr>
        <w:top w:val="none" w:sz="0" w:space="0" w:color="auto"/>
        <w:left w:val="none" w:sz="0" w:space="0" w:color="auto"/>
        <w:bottom w:val="none" w:sz="0" w:space="0" w:color="auto"/>
        <w:right w:val="none" w:sz="0" w:space="0" w:color="auto"/>
      </w:divBdr>
    </w:div>
    <w:div w:id="2068453602">
      <w:bodyDiv w:val="1"/>
      <w:marLeft w:val="0"/>
      <w:marRight w:val="0"/>
      <w:marTop w:val="0"/>
      <w:marBottom w:val="0"/>
      <w:divBdr>
        <w:top w:val="none" w:sz="0" w:space="0" w:color="auto"/>
        <w:left w:val="none" w:sz="0" w:space="0" w:color="auto"/>
        <w:bottom w:val="none" w:sz="0" w:space="0" w:color="auto"/>
        <w:right w:val="none" w:sz="0" w:space="0" w:color="auto"/>
      </w:divBdr>
    </w:div>
    <w:div w:id="2072774323">
      <w:bodyDiv w:val="1"/>
      <w:marLeft w:val="0"/>
      <w:marRight w:val="0"/>
      <w:marTop w:val="0"/>
      <w:marBottom w:val="0"/>
      <w:divBdr>
        <w:top w:val="none" w:sz="0" w:space="0" w:color="auto"/>
        <w:left w:val="none" w:sz="0" w:space="0" w:color="auto"/>
        <w:bottom w:val="none" w:sz="0" w:space="0" w:color="auto"/>
        <w:right w:val="none" w:sz="0" w:space="0" w:color="auto"/>
      </w:divBdr>
    </w:div>
    <w:div w:id="2079133608">
      <w:bodyDiv w:val="1"/>
      <w:marLeft w:val="0"/>
      <w:marRight w:val="0"/>
      <w:marTop w:val="0"/>
      <w:marBottom w:val="0"/>
      <w:divBdr>
        <w:top w:val="none" w:sz="0" w:space="0" w:color="auto"/>
        <w:left w:val="none" w:sz="0" w:space="0" w:color="auto"/>
        <w:bottom w:val="none" w:sz="0" w:space="0" w:color="auto"/>
        <w:right w:val="none" w:sz="0" w:space="0" w:color="auto"/>
      </w:divBdr>
    </w:div>
    <w:div w:id="2079859381">
      <w:bodyDiv w:val="1"/>
      <w:marLeft w:val="0"/>
      <w:marRight w:val="0"/>
      <w:marTop w:val="0"/>
      <w:marBottom w:val="0"/>
      <w:divBdr>
        <w:top w:val="none" w:sz="0" w:space="0" w:color="auto"/>
        <w:left w:val="none" w:sz="0" w:space="0" w:color="auto"/>
        <w:bottom w:val="none" w:sz="0" w:space="0" w:color="auto"/>
        <w:right w:val="none" w:sz="0" w:space="0" w:color="auto"/>
      </w:divBdr>
    </w:div>
    <w:div w:id="2079863088">
      <w:bodyDiv w:val="1"/>
      <w:marLeft w:val="0"/>
      <w:marRight w:val="0"/>
      <w:marTop w:val="0"/>
      <w:marBottom w:val="0"/>
      <w:divBdr>
        <w:top w:val="none" w:sz="0" w:space="0" w:color="auto"/>
        <w:left w:val="none" w:sz="0" w:space="0" w:color="auto"/>
        <w:bottom w:val="none" w:sz="0" w:space="0" w:color="auto"/>
        <w:right w:val="none" w:sz="0" w:space="0" w:color="auto"/>
      </w:divBdr>
    </w:div>
    <w:div w:id="2080470956">
      <w:bodyDiv w:val="1"/>
      <w:marLeft w:val="0"/>
      <w:marRight w:val="0"/>
      <w:marTop w:val="0"/>
      <w:marBottom w:val="0"/>
      <w:divBdr>
        <w:top w:val="none" w:sz="0" w:space="0" w:color="auto"/>
        <w:left w:val="none" w:sz="0" w:space="0" w:color="auto"/>
        <w:bottom w:val="none" w:sz="0" w:space="0" w:color="auto"/>
        <w:right w:val="none" w:sz="0" w:space="0" w:color="auto"/>
      </w:divBdr>
    </w:div>
    <w:div w:id="2082483943">
      <w:bodyDiv w:val="1"/>
      <w:marLeft w:val="0"/>
      <w:marRight w:val="0"/>
      <w:marTop w:val="0"/>
      <w:marBottom w:val="0"/>
      <w:divBdr>
        <w:top w:val="none" w:sz="0" w:space="0" w:color="auto"/>
        <w:left w:val="none" w:sz="0" w:space="0" w:color="auto"/>
        <w:bottom w:val="none" w:sz="0" w:space="0" w:color="auto"/>
        <w:right w:val="none" w:sz="0" w:space="0" w:color="auto"/>
      </w:divBdr>
    </w:div>
    <w:div w:id="2084255171">
      <w:bodyDiv w:val="1"/>
      <w:marLeft w:val="0"/>
      <w:marRight w:val="0"/>
      <w:marTop w:val="0"/>
      <w:marBottom w:val="0"/>
      <w:divBdr>
        <w:top w:val="none" w:sz="0" w:space="0" w:color="auto"/>
        <w:left w:val="none" w:sz="0" w:space="0" w:color="auto"/>
        <w:bottom w:val="none" w:sz="0" w:space="0" w:color="auto"/>
        <w:right w:val="none" w:sz="0" w:space="0" w:color="auto"/>
      </w:divBdr>
    </w:div>
    <w:div w:id="2097096243">
      <w:bodyDiv w:val="1"/>
      <w:marLeft w:val="0"/>
      <w:marRight w:val="0"/>
      <w:marTop w:val="0"/>
      <w:marBottom w:val="0"/>
      <w:divBdr>
        <w:top w:val="none" w:sz="0" w:space="0" w:color="auto"/>
        <w:left w:val="none" w:sz="0" w:space="0" w:color="auto"/>
        <w:bottom w:val="none" w:sz="0" w:space="0" w:color="auto"/>
        <w:right w:val="none" w:sz="0" w:space="0" w:color="auto"/>
      </w:divBdr>
    </w:div>
    <w:div w:id="2097439450">
      <w:bodyDiv w:val="1"/>
      <w:marLeft w:val="0"/>
      <w:marRight w:val="0"/>
      <w:marTop w:val="0"/>
      <w:marBottom w:val="0"/>
      <w:divBdr>
        <w:top w:val="none" w:sz="0" w:space="0" w:color="auto"/>
        <w:left w:val="none" w:sz="0" w:space="0" w:color="auto"/>
        <w:bottom w:val="none" w:sz="0" w:space="0" w:color="auto"/>
        <w:right w:val="none" w:sz="0" w:space="0" w:color="auto"/>
      </w:divBdr>
    </w:div>
    <w:div w:id="2100443631">
      <w:bodyDiv w:val="1"/>
      <w:marLeft w:val="0"/>
      <w:marRight w:val="0"/>
      <w:marTop w:val="0"/>
      <w:marBottom w:val="0"/>
      <w:divBdr>
        <w:top w:val="none" w:sz="0" w:space="0" w:color="auto"/>
        <w:left w:val="none" w:sz="0" w:space="0" w:color="auto"/>
        <w:bottom w:val="none" w:sz="0" w:space="0" w:color="auto"/>
        <w:right w:val="none" w:sz="0" w:space="0" w:color="auto"/>
      </w:divBdr>
    </w:div>
    <w:div w:id="2107797657">
      <w:bodyDiv w:val="1"/>
      <w:marLeft w:val="0"/>
      <w:marRight w:val="0"/>
      <w:marTop w:val="0"/>
      <w:marBottom w:val="0"/>
      <w:divBdr>
        <w:top w:val="none" w:sz="0" w:space="0" w:color="auto"/>
        <w:left w:val="none" w:sz="0" w:space="0" w:color="auto"/>
        <w:bottom w:val="none" w:sz="0" w:space="0" w:color="auto"/>
        <w:right w:val="none" w:sz="0" w:space="0" w:color="auto"/>
      </w:divBdr>
    </w:div>
    <w:div w:id="2108386454">
      <w:bodyDiv w:val="1"/>
      <w:marLeft w:val="0"/>
      <w:marRight w:val="0"/>
      <w:marTop w:val="0"/>
      <w:marBottom w:val="0"/>
      <w:divBdr>
        <w:top w:val="none" w:sz="0" w:space="0" w:color="auto"/>
        <w:left w:val="none" w:sz="0" w:space="0" w:color="auto"/>
        <w:bottom w:val="none" w:sz="0" w:space="0" w:color="auto"/>
        <w:right w:val="none" w:sz="0" w:space="0" w:color="auto"/>
      </w:divBdr>
    </w:div>
    <w:div w:id="2110812211">
      <w:bodyDiv w:val="1"/>
      <w:marLeft w:val="0"/>
      <w:marRight w:val="0"/>
      <w:marTop w:val="0"/>
      <w:marBottom w:val="0"/>
      <w:divBdr>
        <w:top w:val="none" w:sz="0" w:space="0" w:color="auto"/>
        <w:left w:val="none" w:sz="0" w:space="0" w:color="auto"/>
        <w:bottom w:val="none" w:sz="0" w:space="0" w:color="auto"/>
        <w:right w:val="none" w:sz="0" w:space="0" w:color="auto"/>
      </w:divBdr>
    </w:div>
    <w:div w:id="2111773124">
      <w:bodyDiv w:val="1"/>
      <w:marLeft w:val="0"/>
      <w:marRight w:val="0"/>
      <w:marTop w:val="0"/>
      <w:marBottom w:val="0"/>
      <w:divBdr>
        <w:top w:val="none" w:sz="0" w:space="0" w:color="auto"/>
        <w:left w:val="none" w:sz="0" w:space="0" w:color="auto"/>
        <w:bottom w:val="none" w:sz="0" w:space="0" w:color="auto"/>
        <w:right w:val="none" w:sz="0" w:space="0" w:color="auto"/>
      </w:divBdr>
    </w:div>
    <w:div w:id="2111924645">
      <w:bodyDiv w:val="1"/>
      <w:marLeft w:val="0"/>
      <w:marRight w:val="0"/>
      <w:marTop w:val="0"/>
      <w:marBottom w:val="0"/>
      <w:divBdr>
        <w:top w:val="none" w:sz="0" w:space="0" w:color="auto"/>
        <w:left w:val="none" w:sz="0" w:space="0" w:color="auto"/>
        <w:bottom w:val="none" w:sz="0" w:space="0" w:color="auto"/>
        <w:right w:val="none" w:sz="0" w:space="0" w:color="auto"/>
      </w:divBdr>
    </w:div>
    <w:div w:id="2121028124">
      <w:bodyDiv w:val="1"/>
      <w:marLeft w:val="0"/>
      <w:marRight w:val="0"/>
      <w:marTop w:val="0"/>
      <w:marBottom w:val="0"/>
      <w:divBdr>
        <w:top w:val="none" w:sz="0" w:space="0" w:color="auto"/>
        <w:left w:val="none" w:sz="0" w:space="0" w:color="auto"/>
        <w:bottom w:val="none" w:sz="0" w:space="0" w:color="auto"/>
        <w:right w:val="none" w:sz="0" w:space="0" w:color="auto"/>
      </w:divBdr>
    </w:div>
    <w:div w:id="2126194979">
      <w:bodyDiv w:val="1"/>
      <w:marLeft w:val="0"/>
      <w:marRight w:val="0"/>
      <w:marTop w:val="0"/>
      <w:marBottom w:val="0"/>
      <w:divBdr>
        <w:top w:val="none" w:sz="0" w:space="0" w:color="auto"/>
        <w:left w:val="none" w:sz="0" w:space="0" w:color="auto"/>
        <w:bottom w:val="none" w:sz="0" w:space="0" w:color="auto"/>
        <w:right w:val="none" w:sz="0" w:space="0" w:color="auto"/>
      </w:divBdr>
    </w:div>
    <w:div w:id="2131974160">
      <w:bodyDiv w:val="1"/>
      <w:marLeft w:val="0"/>
      <w:marRight w:val="0"/>
      <w:marTop w:val="0"/>
      <w:marBottom w:val="0"/>
      <w:divBdr>
        <w:top w:val="none" w:sz="0" w:space="0" w:color="auto"/>
        <w:left w:val="none" w:sz="0" w:space="0" w:color="auto"/>
        <w:bottom w:val="none" w:sz="0" w:space="0" w:color="auto"/>
        <w:right w:val="none" w:sz="0" w:space="0" w:color="auto"/>
      </w:divBdr>
    </w:div>
    <w:div w:id="2133359820">
      <w:bodyDiv w:val="1"/>
      <w:marLeft w:val="0"/>
      <w:marRight w:val="0"/>
      <w:marTop w:val="0"/>
      <w:marBottom w:val="0"/>
      <w:divBdr>
        <w:top w:val="none" w:sz="0" w:space="0" w:color="auto"/>
        <w:left w:val="none" w:sz="0" w:space="0" w:color="auto"/>
        <w:bottom w:val="none" w:sz="0" w:space="0" w:color="auto"/>
        <w:right w:val="none" w:sz="0" w:space="0" w:color="auto"/>
      </w:divBdr>
    </w:div>
    <w:div w:id="2134856980">
      <w:bodyDiv w:val="1"/>
      <w:marLeft w:val="0"/>
      <w:marRight w:val="0"/>
      <w:marTop w:val="0"/>
      <w:marBottom w:val="0"/>
      <w:divBdr>
        <w:top w:val="none" w:sz="0" w:space="0" w:color="auto"/>
        <w:left w:val="none" w:sz="0" w:space="0" w:color="auto"/>
        <w:bottom w:val="none" w:sz="0" w:space="0" w:color="auto"/>
        <w:right w:val="none" w:sz="0" w:space="0" w:color="auto"/>
      </w:divBdr>
    </w:div>
    <w:div w:id="21434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4.jpg@01D4FF80.A0F6E9A0"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cid:image001.jpg@01D19B21.1D9ED6B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19B21.1D9ED6B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B9B0D-BAD2-40B2-814A-D55997D3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25171</Words>
  <Characters>138442</Characters>
  <Application>Microsoft Office Word</Application>
  <DocSecurity>4</DocSecurity>
  <Lines>1153</Lines>
  <Paragraphs>326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Castaño Vargas</dc:creator>
  <cp:keywords/>
  <dc:description/>
  <cp:lastModifiedBy>Martin Calderon Villegas</cp:lastModifiedBy>
  <cp:revision>2</cp:revision>
  <cp:lastPrinted>2019-05-10T21:47:00Z</cp:lastPrinted>
  <dcterms:created xsi:type="dcterms:W3CDTF">2019-05-16T12:48:00Z</dcterms:created>
  <dcterms:modified xsi:type="dcterms:W3CDTF">2019-05-16T12:48:00Z</dcterms:modified>
</cp:coreProperties>
</file>